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center"/>
        <w:rPr>
          <w:rFonts w:ascii="宋体" w:hAnsi="宋体" w:cs="宋体"/>
          <w:b/>
          <w:bCs/>
          <w:color w:val="auto"/>
          <w:sz w:val="48"/>
          <w:szCs w:val="48"/>
          <w:highlight w:val="none"/>
        </w:rPr>
      </w:pPr>
    </w:p>
    <w:p>
      <w:pPr>
        <w:widowControl/>
        <w:spacing w:line="360" w:lineRule="auto"/>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德宏职业学院基础医学院显微镜采购项目</w:t>
      </w:r>
    </w:p>
    <w:p>
      <w:pPr>
        <w:widowControl/>
        <w:spacing w:line="500" w:lineRule="exact"/>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项目编号：DHHCFW-2023-073</w:t>
      </w:r>
    </w:p>
    <w:p>
      <w:pPr>
        <w:jc w:val="center"/>
        <w:rPr>
          <w:rFonts w:ascii="宋体" w:hAnsi="宋体"/>
          <w:b/>
          <w:bCs/>
          <w:color w:val="auto"/>
          <w:spacing w:val="28"/>
          <w:sz w:val="44"/>
          <w:szCs w:val="44"/>
          <w:highlight w:val="none"/>
        </w:rPr>
      </w:pPr>
    </w:p>
    <w:p>
      <w:pPr>
        <w:pStyle w:val="15"/>
        <w:ind w:firstLine="995"/>
        <w:rPr>
          <w:rFonts w:ascii="宋体" w:hAnsi="宋体"/>
          <w:b/>
          <w:bCs/>
          <w:color w:val="auto"/>
          <w:spacing w:val="28"/>
          <w:sz w:val="44"/>
          <w:szCs w:val="44"/>
          <w:highlight w:val="none"/>
        </w:rPr>
      </w:pPr>
    </w:p>
    <w:p>
      <w:pPr>
        <w:pStyle w:val="16"/>
        <w:rPr>
          <w:color w:val="auto"/>
          <w:highlight w:val="none"/>
        </w:rPr>
      </w:pPr>
    </w:p>
    <w:p>
      <w:pPr>
        <w:pStyle w:val="15"/>
        <w:ind w:left="0" w:leftChars="0" w:firstLine="0" w:firstLineChars="0"/>
        <w:rPr>
          <w:rFonts w:ascii="宋体" w:hAnsi="宋体"/>
          <w:b/>
          <w:bCs/>
          <w:color w:val="auto"/>
          <w:spacing w:val="28"/>
          <w:sz w:val="44"/>
          <w:szCs w:val="44"/>
          <w:highlight w:val="none"/>
        </w:rPr>
      </w:pPr>
    </w:p>
    <w:p>
      <w:pPr>
        <w:pStyle w:val="15"/>
        <w:ind w:left="0" w:leftChars="0" w:firstLine="0" w:firstLineChars="0"/>
        <w:rPr>
          <w:rFonts w:ascii="宋体" w:hAnsi="宋体"/>
          <w:b/>
          <w:bCs/>
          <w:color w:val="auto"/>
          <w:spacing w:val="28"/>
          <w:sz w:val="44"/>
          <w:szCs w:val="44"/>
          <w:highlight w:val="none"/>
        </w:rPr>
      </w:pPr>
    </w:p>
    <w:p>
      <w:pPr>
        <w:pStyle w:val="16"/>
        <w:rPr>
          <w:color w:val="auto"/>
          <w:highlight w:val="none"/>
        </w:rPr>
      </w:pPr>
    </w:p>
    <w:p>
      <w:pPr>
        <w:jc w:val="center"/>
        <w:rPr>
          <w:rFonts w:ascii="宋体" w:hAnsi="宋体"/>
          <w:b/>
          <w:bCs/>
          <w:color w:val="auto"/>
          <w:spacing w:val="28"/>
          <w:sz w:val="72"/>
          <w:szCs w:val="72"/>
          <w:highlight w:val="none"/>
        </w:rPr>
      </w:pPr>
      <w:r>
        <w:rPr>
          <w:rFonts w:hint="eastAsia" w:ascii="宋体" w:hAnsi="宋体"/>
          <w:b/>
          <w:bCs/>
          <w:color w:val="auto"/>
          <w:spacing w:val="28"/>
          <w:sz w:val="72"/>
          <w:szCs w:val="72"/>
          <w:highlight w:val="none"/>
        </w:rPr>
        <w:t>询 价 文 件</w:t>
      </w:r>
    </w:p>
    <w:p>
      <w:pPr>
        <w:rPr>
          <w:rFonts w:ascii="宋体" w:hAnsi="宋体"/>
          <w:color w:val="auto"/>
          <w:sz w:val="28"/>
          <w:szCs w:val="28"/>
          <w:highlight w:val="none"/>
        </w:rPr>
      </w:pPr>
    </w:p>
    <w:p>
      <w:pPr>
        <w:pStyle w:val="15"/>
        <w:ind w:left="0" w:leftChars="0" w:firstLine="0" w:firstLineChars="0"/>
        <w:rPr>
          <w:rFonts w:ascii="宋体" w:hAnsi="宋体"/>
          <w:color w:val="auto"/>
          <w:sz w:val="28"/>
          <w:szCs w:val="28"/>
          <w:highlight w:val="none"/>
        </w:rPr>
      </w:pPr>
    </w:p>
    <w:p>
      <w:pPr>
        <w:pStyle w:val="15"/>
        <w:ind w:left="0" w:leftChars="0" w:firstLine="0" w:firstLineChars="0"/>
        <w:rPr>
          <w:rFonts w:ascii="宋体" w:hAnsi="宋体"/>
          <w:color w:val="auto"/>
          <w:sz w:val="28"/>
          <w:szCs w:val="28"/>
          <w:highlight w:val="none"/>
        </w:rPr>
      </w:pPr>
    </w:p>
    <w:p>
      <w:pPr>
        <w:pStyle w:val="15"/>
        <w:ind w:firstLine="560"/>
        <w:rPr>
          <w:rFonts w:ascii="宋体" w:hAnsi="宋体"/>
          <w:color w:val="auto"/>
          <w:sz w:val="28"/>
          <w:szCs w:val="28"/>
          <w:highlight w:val="none"/>
        </w:rPr>
      </w:pPr>
    </w:p>
    <w:p>
      <w:pPr>
        <w:pStyle w:val="16"/>
        <w:rPr>
          <w:color w:val="auto"/>
          <w:highlight w:val="none"/>
        </w:rPr>
      </w:pPr>
    </w:p>
    <w:p>
      <w:pPr>
        <w:spacing w:line="500" w:lineRule="exact"/>
        <w:jc w:val="center"/>
        <w:rPr>
          <w:rFonts w:ascii="宋体" w:hAnsi="宋体"/>
          <w:b/>
          <w:bCs/>
          <w:color w:val="auto"/>
          <w:sz w:val="30"/>
          <w:szCs w:val="30"/>
          <w:highlight w:val="none"/>
        </w:rPr>
      </w:pPr>
      <w:r>
        <w:rPr>
          <w:rFonts w:hint="eastAsia" w:ascii="宋体" w:hAnsi="宋体"/>
          <w:b/>
          <w:bCs/>
          <w:color w:val="auto"/>
          <w:sz w:val="30"/>
          <w:szCs w:val="30"/>
          <w:highlight w:val="none"/>
        </w:rPr>
        <w:t>采购单位:德宏职业学院</w:t>
      </w:r>
    </w:p>
    <w:p>
      <w:pPr>
        <w:spacing w:line="500" w:lineRule="exact"/>
        <w:rPr>
          <w:rFonts w:ascii="宋体" w:hAnsi="宋体"/>
          <w:b/>
          <w:bCs/>
          <w:color w:val="auto"/>
          <w:sz w:val="30"/>
          <w:szCs w:val="30"/>
          <w:highlight w:val="none"/>
        </w:rPr>
      </w:pPr>
    </w:p>
    <w:p>
      <w:pPr>
        <w:spacing w:line="500" w:lineRule="exact"/>
        <w:rPr>
          <w:rFonts w:ascii="宋体" w:hAnsi="宋体"/>
          <w:b/>
          <w:bCs/>
          <w:color w:val="auto"/>
          <w:sz w:val="30"/>
          <w:szCs w:val="30"/>
          <w:highlight w:val="none"/>
        </w:rPr>
      </w:pPr>
    </w:p>
    <w:p>
      <w:pPr>
        <w:spacing w:line="500" w:lineRule="exact"/>
        <w:jc w:val="center"/>
        <w:rPr>
          <w:rFonts w:ascii="宋体" w:hAnsi="宋体"/>
          <w:b/>
          <w:bCs/>
          <w:color w:val="auto"/>
          <w:sz w:val="30"/>
          <w:szCs w:val="30"/>
          <w:highlight w:val="none"/>
        </w:rPr>
      </w:pPr>
      <w:r>
        <w:rPr>
          <w:rFonts w:hint="eastAsia" w:ascii="宋体" w:hAnsi="宋体"/>
          <w:b/>
          <w:bCs/>
          <w:color w:val="auto"/>
          <w:sz w:val="30"/>
          <w:szCs w:val="30"/>
          <w:highlight w:val="none"/>
        </w:rPr>
        <w:t>采购代理机构:德宏州浩创工程管理服务有限公司</w:t>
      </w:r>
    </w:p>
    <w:p>
      <w:pPr>
        <w:pStyle w:val="22"/>
        <w:tabs>
          <w:tab w:val="right" w:leader="dot" w:pos="9298"/>
        </w:tabs>
        <w:jc w:val="center"/>
        <w:rPr>
          <w:color w:val="auto"/>
          <w:sz w:val="44"/>
          <w:szCs w:val="44"/>
          <w:highlight w:val="none"/>
        </w:rPr>
      </w:pPr>
      <w:bookmarkStart w:id="0" w:name="_Toc15014_WPSOffice_Level1"/>
      <w:r>
        <w:rPr>
          <w:rFonts w:hint="eastAsia"/>
          <w:color w:val="auto"/>
          <w:sz w:val="44"/>
          <w:szCs w:val="44"/>
          <w:highlight w:val="none"/>
        </w:rPr>
        <w:br w:type="page"/>
      </w:r>
    </w:p>
    <w:p>
      <w:pPr>
        <w:spacing w:after="156" w:afterLines="50" w:line="360" w:lineRule="auto"/>
        <w:jc w:val="center"/>
        <w:rPr>
          <w:rFonts w:ascii="宋体" w:hAnsi="宋体"/>
          <w:b/>
          <w:color w:val="auto"/>
          <w:sz w:val="32"/>
          <w:szCs w:val="32"/>
          <w:highlight w:val="none"/>
        </w:rPr>
      </w:pPr>
      <w:bookmarkStart w:id="1" w:name="_Toc3901"/>
      <w:bookmarkStart w:id="2" w:name="_Toc576"/>
      <w:bookmarkStart w:id="3" w:name="_Toc24448"/>
      <w:r>
        <w:rPr>
          <w:rFonts w:hint="eastAsia"/>
          <w:b/>
          <w:bCs/>
          <w:color w:val="auto"/>
          <w:sz w:val="40"/>
          <w:szCs w:val="40"/>
          <w:highlight w:val="none"/>
        </w:rPr>
        <w:t>目  录</w:t>
      </w:r>
      <w:bookmarkEnd w:id="1"/>
      <w:bookmarkEnd w:id="2"/>
      <w:bookmarkEnd w:id="3"/>
      <w:bookmarkStart w:id="4" w:name="_Toc6288"/>
      <w:bookmarkStart w:id="5" w:name="_Toc31072"/>
      <w:bookmarkStart w:id="6" w:name="_Toc7352"/>
      <w:bookmarkStart w:id="7" w:name="_Toc469"/>
      <w:bookmarkStart w:id="8" w:name="_Toc2140"/>
      <w:bookmarkStart w:id="9" w:name="_Toc29082"/>
      <w:bookmarkStart w:id="10" w:name="_Toc30598"/>
      <w:bookmarkStart w:id="11" w:name="_Toc9492"/>
      <w:bookmarkStart w:id="12" w:name="_Toc8707"/>
    </w:p>
    <w:p>
      <w:pPr>
        <w:pStyle w:val="22"/>
        <w:tabs>
          <w:tab w:val="right" w:leader="dot" w:pos="9025"/>
        </w:tabs>
        <w:spacing w:line="480" w:lineRule="auto"/>
        <w:rPr>
          <w:rFonts w:ascii="宋体" w:hAnsi="宋体" w:cs="宋体"/>
          <w:color w:val="auto"/>
          <w:sz w:val="24"/>
          <w:szCs w:val="24"/>
          <w:highlight w:val="none"/>
        </w:rPr>
      </w:pP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TOC \o "1-1" \h \u </w:instrText>
      </w:r>
      <w:r>
        <w:rPr>
          <w:rFonts w:hint="eastAsia" w:ascii="宋体" w:hAnsi="宋体" w:cs="宋体"/>
          <w:color w:val="auto"/>
          <w:sz w:val="24"/>
          <w:szCs w:val="24"/>
          <w:highlight w:val="none"/>
        </w:rPr>
        <w:fldChar w:fldCharType="separate"/>
      </w:r>
      <w:r>
        <w:rPr>
          <w:color w:val="auto"/>
          <w:highlight w:val="none"/>
        </w:rPr>
        <w:fldChar w:fldCharType="begin"/>
      </w:r>
      <w:r>
        <w:rPr>
          <w:color w:val="auto"/>
          <w:highlight w:val="none"/>
        </w:rPr>
        <w:instrText xml:space="preserve"> HYPERLINK \l "_Toc13559" </w:instrText>
      </w:r>
      <w:r>
        <w:rPr>
          <w:color w:val="auto"/>
          <w:highlight w:val="none"/>
        </w:rPr>
        <w:fldChar w:fldCharType="separate"/>
      </w:r>
      <w:r>
        <w:rPr>
          <w:rFonts w:hint="eastAsia" w:ascii="宋体" w:hAnsi="宋体" w:cs="宋体"/>
          <w:color w:val="auto"/>
          <w:sz w:val="24"/>
          <w:szCs w:val="24"/>
          <w:highlight w:val="none"/>
        </w:rPr>
        <w:t>第一章  询价公告</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_Toc13559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2"/>
        <w:tabs>
          <w:tab w:val="right" w:leader="dot" w:pos="9025"/>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"_Toc16399" </w:instrText>
      </w:r>
      <w:r>
        <w:rPr>
          <w:color w:val="auto"/>
          <w:highlight w:val="none"/>
        </w:rPr>
        <w:fldChar w:fldCharType="separate"/>
      </w:r>
      <w:r>
        <w:rPr>
          <w:rFonts w:hint="eastAsia" w:ascii="宋体" w:hAnsi="宋体" w:cs="宋体"/>
          <w:color w:val="auto"/>
          <w:sz w:val="24"/>
          <w:szCs w:val="24"/>
          <w:highlight w:val="none"/>
        </w:rPr>
        <w:t>第二章  供应商须知</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_Toc16399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5</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2"/>
        <w:tabs>
          <w:tab w:val="right" w:leader="dot" w:pos="9025"/>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"_Toc14547" </w:instrText>
      </w:r>
      <w:r>
        <w:rPr>
          <w:color w:val="auto"/>
          <w:highlight w:val="none"/>
        </w:rPr>
        <w:fldChar w:fldCharType="separate"/>
      </w:r>
      <w:r>
        <w:rPr>
          <w:rFonts w:hint="eastAsia" w:ascii="宋体" w:hAnsi="宋体" w:cs="宋体"/>
          <w:color w:val="auto"/>
          <w:sz w:val="24"/>
          <w:szCs w:val="24"/>
          <w:highlight w:val="none"/>
        </w:rPr>
        <w:t>第三章  采购需求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_Toc14547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2"/>
        <w:tabs>
          <w:tab w:val="right" w:leader="dot" w:pos="9025"/>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"_Toc25506" </w:instrText>
      </w:r>
      <w:r>
        <w:rPr>
          <w:color w:val="auto"/>
          <w:highlight w:val="none"/>
        </w:rPr>
        <w:fldChar w:fldCharType="separate"/>
      </w:r>
      <w:r>
        <w:rPr>
          <w:rFonts w:hint="eastAsia" w:ascii="宋体" w:hAnsi="宋体" w:cs="宋体"/>
          <w:color w:val="auto"/>
          <w:sz w:val="24"/>
          <w:szCs w:val="24"/>
          <w:highlight w:val="none"/>
        </w:rPr>
        <w:t>第四章  评审标准</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_Toc25506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16</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2"/>
        <w:tabs>
          <w:tab w:val="right" w:leader="dot" w:pos="9025"/>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"_Toc26036" </w:instrText>
      </w:r>
      <w:r>
        <w:rPr>
          <w:color w:val="auto"/>
          <w:highlight w:val="none"/>
        </w:rPr>
        <w:fldChar w:fldCharType="separate"/>
      </w:r>
      <w:r>
        <w:rPr>
          <w:rFonts w:hint="eastAsia" w:ascii="宋体" w:hAnsi="宋体" w:cs="宋体"/>
          <w:color w:val="auto"/>
          <w:sz w:val="24"/>
          <w:szCs w:val="24"/>
          <w:highlight w:val="none"/>
        </w:rPr>
        <w:t>第五章  合同条款及格式</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_Toc26036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2"/>
        <w:tabs>
          <w:tab w:val="right" w:leader="dot" w:pos="9025"/>
        </w:tabs>
        <w:spacing w:line="480" w:lineRule="auto"/>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\l "_Toc21168" </w:instrText>
      </w:r>
      <w:r>
        <w:rPr>
          <w:color w:val="auto"/>
          <w:highlight w:val="none"/>
        </w:rPr>
        <w:fldChar w:fldCharType="separate"/>
      </w:r>
      <w:r>
        <w:rPr>
          <w:rFonts w:hint="eastAsia" w:ascii="宋体" w:hAnsi="宋体" w:cs="宋体"/>
          <w:color w:val="auto"/>
          <w:sz w:val="24"/>
          <w:szCs w:val="24"/>
          <w:highlight w:val="none"/>
        </w:rPr>
        <w:t>第六章  响应文件格式</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_Toc21168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29</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2"/>
        <w:spacing w:line="480" w:lineRule="auto"/>
        <w:rPr>
          <w:color w:val="auto"/>
          <w:highlight w:val="none"/>
        </w:rPr>
        <w:sectPr>
          <w:headerReference r:id="rId3" w:type="default"/>
          <w:pgSz w:w="11905" w:h="16838"/>
          <w:pgMar w:top="1440" w:right="1440" w:bottom="1440" w:left="1440" w:header="850" w:footer="1020" w:gutter="0"/>
          <w:cols w:space="0" w:num="1"/>
          <w:docGrid w:type="lines" w:linePitch="312" w:charSpace="0"/>
        </w:sectPr>
      </w:pPr>
      <w:r>
        <w:rPr>
          <w:rFonts w:hint="eastAsia" w:ascii="宋体" w:hAnsi="宋体" w:cs="宋体"/>
          <w:color w:val="auto"/>
          <w:sz w:val="24"/>
          <w:highlight w:val="none"/>
        </w:rPr>
        <w:fldChar w:fldCharType="end"/>
      </w:r>
    </w:p>
    <w:p>
      <w:pPr>
        <w:spacing w:after="156" w:afterLines="50" w:line="360" w:lineRule="auto"/>
        <w:jc w:val="center"/>
        <w:outlineLvl w:val="0"/>
        <w:rPr>
          <w:rFonts w:ascii="宋体" w:hAnsi="宋体"/>
          <w:b/>
          <w:color w:val="auto"/>
          <w:sz w:val="32"/>
          <w:szCs w:val="32"/>
          <w:highlight w:val="none"/>
        </w:rPr>
      </w:pPr>
      <w:bookmarkStart w:id="13" w:name="_Toc13559"/>
      <w:r>
        <w:rPr>
          <w:rFonts w:hint="eastAsia" w:ascii="宋体" w:hAnsi="宋体"/>
          <w:b/>
          <w:color w:val="auto"/>
          <w:sz w:val="32"/>
          <w:szCs w:val="32"/>
          <w:highlight w:val="none"/>
        </w:rPr>
        <w:t>第一章  询价</w:t>
      </w:r>
      <w:bookmarkEnd w:id="0"/>
      <w:bookmarkEnd w:id="4"/>
      <w:bookmarkEnd w:id="5"/>
      <w:bookmarkEnd w:id="6"/>
      <w:r>
        <w:rPr>
          <w:rFonts w:hint="eastAsia" w:ascii="宋体" w:hAnsi="宋体"/>
          <w:b/>
          <w:color w:val="auto"/>
          <w:sz w:val="32"/>
          <w:szCs w:val="32"/>
          <w:highlight w:val="none"/>
        </w:rPr>
        <w:t>公告</w:t>
      </w:r>
      <w:bookmarkEnd w:id="7"/>
      <w:bookmarkEnd w:id="8"/>
      <w:bookmarkEnd w:id="9"/>
      <w:bookmarkEnd w:id="10"/>
      <w:bookmarkEnd w:id="11"/>
      <w:bookmarkEnd w:id="12"/>
      <w:bookmarkEnd w:id="13"/>
    </w:p>
    <w:p>
      <w:pPr>
        <w:pBdr>
          <w:top w:val="single" w:color="auto" w:sz="4" w:space="1"/>
          <w:left w:val="single" w:color="auto" w:sz="4" w:space="4"/>
          <w:bottom w:val="single" w:color="auto" w:sz="4" w:space="1"/>
          <w:right w:val="single" w:color="auto" w:sz="4" w:space="4"/>
        </w:pBdr>
        <w:spacing w:line="460" w:lineRule="exact"/>
        <w:ind w:firstLine="480" w:firstLineChars="200"/>
        <w:rPr>
          <w:rFonts w:ascii="宋体" w:hAnsi="宋体" w:cs="宋体"/>
          <w:color w:val="auto"/>
          <w:sz w:val="24"/>
          <w:highlight w:val="none"/>
        </w:rPr>
      </w:pPr>
      <w:bookmarkStart w:id="14" w:name="_Toc31476_WPSOffice_Level1"/>
      <w:bookmarkStart w:id="15" w:name="_Toc16246"/>
      <w:r>
        <w:rPr>
          <w:rFonts w:hint="eastAsia" w:ascii="宋体" w:hAnsi="宋体" w:cs="宋体"/>
          <w:color w:val="auto"/>
          <w:sz w:val="24"/>
          <w:highlight w:val="none"/>
          <w:u w:val="single"/>
        </w:rPr>
        <w:t xml:space="preserve">德宏职业学院基础医学院显微镜采购项目 </w:t>
      </w:r>
      <w:r>
        <w:rPr>
          <w:rFonts w:hint="eastAsia" w:ascii="宋体" w:hAnsi="宋体" w:cs="宋体"/>
          <w:color w:val="auto"/>
          <w:sz w:val="24"/>
          <w:highlight w:val="none"/>
        </w:rPr>
        <w:t>的潜在供应商应在</w:t>
      </w:r>
      <w:r>
        <w:rPr>
          <w:rFonts w:hint="eastAsia" w:ascii="宋体" w:hAnsi="宋体" w:cs="宋体"/>
          <w:color w:val="auto"/>
          <w:sz w:val="24"/>
          <w:highlight w:val="none"/>
          <w:u w:val="single"/>
        </w:rPr>
        <w:t xml:space="preserve"> 德宏州芒市阿露窝罗路25号二楼办公室或电子邮件 </w:t>
      </w:r>
      <w:r>
        <w:rPr>
          <w:rFonts w:hint="eastAsia" w:ascii="宋体" w:hAnsi="宋体" w:cs="宋体"/>
          <w:color w:val="auto"/>
          <w:sz w:val="24"/>
          <w:highlight w:val="none"/>
        </w:rPr>
        <w:t>获取询价文件，并于</w:t>
      </w:r>
      <w:r>
        <w:rPr>
          <w:rFonts w:hint="eastAsia" w:ascii="宋体" w:hAnsi="宋体" w:cs="宋体"/>
          <w:color w:val="auto"/>
          <w:sz w:val="24"/>
          <w:highlight w:val="none"/>
          <w:u w:val="single"/>
        </w:rPr>
        <w:t xml:space="preserve"> 2023</w:t>
      </w:r>
      <w:r>
        <w:rPr>
          <w:rFonts w:hint="eastAsia" w:ascii="宋体" w:hAnsi="宋体" w:cs="宋体"/>
          <w:bCs/>
          <w:color w:val="auto"/>
          <w:sz w:val="24"/>
          <w:highlight w:val="none"/>
          <w:u w:val="single"/>
        </w:rPr>
        <w:t>年9月</w:t>
      </w:r>
      <w:r>
        <w:rPr>
          <w:rFonts w:hint="eastAsia" w:ascii="宋体" w:hAnsi="宋体" w:cs="宋体"/>
          <w:bCs/>
          <w:color w:val="auto"/>
          <w:sz w:val="24"/>
          <w:highlight w:val="none"/>
          <w:u w:val="single"/>
          <w:lang w:val="en-US" w:eastAsia="zh-CN"/>
        </w:rPr>
        <w:t>22</w:t>
      </w:r>
      <w:r>
        <w:rPr>
          <w:rFonts w:hint="eastAsia" w:ascii="宋体" w:hAnsi="宋体" w:cs="宋体"/>
          <w:bCs/>
          <w:color w:val="auto"/>
          <w:sz w:val="24"/>
          <w:highlight w:val="none"/>
          <w:u w:val="single"/>
        </w:rPr>
        <w:t>日9点00分</w:t>
      </w:r>
      <w:r>
        <w:rPr>
          <w:rFonts w:hint="eastAsia" w:ascii="宋体" w:hAnsi="宋体" w:cs="宋体"/>
          <w:bCs/>
          <w:color w:val="auto"/>
          <w:sz w:val="24"/>
          <w:highlight w:val="none"/>
        </w:rPr>
        <w:t>（北京时间）前递交响应文件</w:t>
      </w:r>
      <w:r>
        <w:rPr>
          <w:rFonts w:hint="eastAsia" w:ascii="宋体" w:hAnsi="宋体" w:cs="宋体"/>
          <w:color w:val="auto"/>
          <w:sz w:val="24"/>
          <w:highlight w:val="none"/>
        </w:rPr>
        <w:t>。</w:t>
      </w:r>
    </w:p>
    <w:p>
      <w:pPr>
        <w:widowControl/>
        <w:spacing w:line="460" w:lineRule="exact"/>
        <w:rPr>
          <w:rFonts w:ascii="宋体" w:hAnsi="宋体" w:cs="宋体"/>
          <w:b/>
          <w:color w:val="auto"/>
          <w:sz w:val="24"/>
          <w:highlight w:val="none"/>
        </w:rPr>
      </w:pPr>
      <w:bookmarkStart w:id="16" w:name="_Toc27546"/>
      <w:bookmarkStart w:id="17" w:name="_Toc13149"/>
      <w:bookmarkStart w:id="18" w:name="_Toc31049"/>
      <w:bookmarkStart w:id="19" w:name="_Toc18478"/>
      <w:bookmarkStart w:id="20" w:name="_Toc27819"/>
      <w:r>
        <w:rPr>
          <w:rFonts w:hint="eastAsia" w:ascii="宋体" w:hAnsi="宋体" w:cs="宋体"/>
          <w:b/>
          <w:color w:val="auto"/>
          <w:sz w:val="24"/>
          <w:highlight w:val="none"/>
        </w:rPr>
        <w:t>一、项目基本情况</w:t>
      </w:r>
      <w:bookmarkEnd w:id="16"/>
      <w:bookmarkEnd w:id="17"/>
      <w:bookmarkEnd w:id="18"/>
      <w:bookmarkEnd w:id="19"/>
      <w:bookmarkEnd w:id="20"/>
    </w:p>
    <w:p>
      <w:pPr>
        <w:widowControl/>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1.项目编号：DHHCFW-2023-073；</w:t>
      </w:r>
    </w:p>
    <w:p>
      <w:pPr>
        <w:widowControl/>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2.项目名称：德宏职业学院基础医学院显微镜采购项目；</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3.采购方式：询价；</w:t>
      </w:r>
    </w:p>
    <w:p>
      <w:pPr>
        <w:pStyle w:val="24"/>
        <w:spacing w:line="460" w:lineRule="exact"/>
        <w:ind w:firstLine="480" w:firstLineChars="200"/>
        <w:rPr>
          <w:color w:val="auto"/>
          <w:highlight w:val="none"/>
        </w:rPr>
      </w:pPr>
      <w:r>
        <w:rPr>
          <w:rFonts w:hint="eastAsia" w:ascii="宋体" w:hAnsi="宋体"/>
          <w:color w:val="auto"/>
          <w:highlight w:val="none"/>
        </w:rPr>
        <w:t>4.预算金额：72000.00元；</w:t>
      </w:r>
    </w:p>
    <w:p>
      <w:pPr>
        <w:widowControl/>
        <w:spacing w:line="460" w:lineRule="exact"/>
        <w:ind w:firstLine="480" w:firstLineChars="200"/>
        <w:rPr>
          <w:rFonts w:ascii="宋体" w:hAnsi="宋体" w:cs="宋体"/>
          <w:color w:val="auto"/>
          <w:kern w:val="0"/>
          <w:sz w:val="24"/>
          <w:highlight w:val="none"/>
        </w:rPr>
      </w:pPr>
      <w:r>
        <w:rPr>
          <w:rFonts w:hint="eastAsia" w:ascii="宋体" w:hAnsi="宋体" w:cs="宋体"/>
          <w:color w:val="auto"/>
          <w:sz w:val="24"/>
          <w:highlight w:val="none"/>
        </w:rPr>
        <w:t>5.最高限价：72000.00元；</w:t>
      </w:r>
    </w:p>
    <w:p>
      <w:pPr>
        <w:widowControl/>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6.采购需求：</w:t>
      </w:r>
    </w:p>
    <w:tbl>
      <w:tblPr>
        <w:tblStyle w:val="25"/>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1839"/>
        <w:gridCol w:w="766"/>
        <w:gridCol w:w="948"/>
        <w:gridCol w:w="2144"/>
        <w:gridCol w:w="2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82"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序号</w:t>
            </w:r>
          </w:p>
        </w:tc>
        <w:tc>
          <w:tcPr>
            <w:tcW w:w="1001"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产品名称</w:t>
            </w:r>
          </w:p>
        </w:tc>
        <w:tc>
          <w:tcPr>
            <w:tcW w:w="417"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数量</w:t>
            </w:r>
          </w:p>
        </w:tc>
        <w:tc>
          <w:tcPr>
            <w:tcW w:w="516"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单位</w:t>
            </w:r>
          </w:p>
        </w:tc>
        <w:tc>
          <w:tcPr>
            <w:tcW w:w="1167"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单价限价（元）</w:t>
            </w:r>
          </w:p>
        </w:tc>
        <w:tc>
          <w:tcPr>
            <w:tcW w:w="1515"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82"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1001"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lang w:eastAsia="zh-CN"/>
              </w:rPr>
              <w:t>医用</w:t>
            </w:r>
            <w:r>
              <w:rPr>
                <w:rFonts w:hint="eastAsia" w:ascii="宋体" w:hAnsi="宋体" w:cs="宋体"/>
                <w:color w:val="auto"/>
                <w:sz w:val="24"/>
                <w:highlight w:val="none"/>
              </w:rPr>
              <w:t>显微镜</w:t>
            </w:r>
          </w:p>
        </w:tc>
        <w:tc>
          <w:tcPr>
            <w:tcW w:w="417"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20</w:t>
            </w:r>
          </w:p>
        </w:tc>
        <w:tc>
          <w:tcPr>
            <w:tcW w:w="516"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台</w:t>
            </w:r>
          </w:p>
        </w:tc>
        <w:tc>
          <w:tcPr>
            <w:tcW w:w="1167"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3600.00</w:t>
            </w:r>
          </w:p>
        </w:tc>
        <w:tc>
          <w:tcPr>
            <w:tcW w:w="1515"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否</w:t>
            </w:r>
          </w:p>
        </w:tc>
      </w:tr>
    </w:tbl>
    <w:p>
      <w:pPr>
        <w:widowControl/>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7.合同履行期限：合同签订后15日内交货并验收完毕；</w:t>
      </w:r>
    </w:p>
    <w:p>
      <w:pPr>
        <w:widowControl/>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8.本项目不接受联合体。</w:t>
      </w:r>
    </w:p>
    <w:p>
      <w:pPr>
        <w:widowControl/>
        <w:tabs>
          <w:tab w:val="left" w:pos="360"/>
        </w:tabs>
        <w:spacing w:line="460" w:lineRule="exact"/>
        <w:rPr>
          <w:rFonts w:ascii="宋体" w:hAnsi="宋体" w:cs="宋体"/>
          <w:b/>
          <w:color w:val="auto"/>
          <w:sz w:val="24"/>
          <w:highlight w:val="none"/>
        </w:rPr>
      </w:pPr>
      <w:bookmarkStart w:id="21" w:name="_Toc7725"/>
      <w:bookmarkStart w:id="22" w:name="_Toc32127"/>
      <w:bookmarkStart w:id="23" w:name="_Toc107"/>
      <w:bookmarkStart w:id="24" w:name="_Toc31113"/>
      <w:bookmarkStart w:id="25" w:name="_Toc1678"/>
      <w:r>
        <w:rPr>
          <w:rFonts w:hint="eastAsia" w:ascii="宋体" w:hAnsi="宋体" w:cs="宋体"/>
          <w:b/>
          <w:color w:val="auto"/>
          <w:sz w:val="24"/>
          <w:highlight w:val="none"/>
        </w:rPr>
        <w:t>二、申请人的资格要求</w:t>
      </w:r>
      <w:bookmarkEnd w:id="21"/>
      <w:bookmarkEnd w:id="22"/>
      <w:bookmarkEnd w:id="23"/>
      <w:bookmarkEnd w:id="24"/>
      <w:bookmarkEnd w:id="25"/>
    </w:p>
    <w:p>
      <w:pPr>
        <w:pStyle w:val="15"/>
        <w:adjustRightInd w:val="0"/>
        <w:spacing w:after="0" w:line="460" w:lineRule="exact"/>
        <w:ind w:left="0" w:leftChars="0" w:firstLine="480"/>
        <w:rPr>
          <w:rFonts w:ascii="宋体" w:hAnsi="宋体" w:cs="宋体"/>
          <w:color w:val="auto"/>
          <w:sz w:val="24"/>
          <w:highlight w:val="none"/>
        </w:rPr>
      </w:pPr>
      <w:r>
        <w:rPr>
          <w:rFonts w:hint="eastAsia" w:ascii="宋体" w:hAnsi="宋体" w:cs="宋体"/>
          <w:color w:val="auto"/>
          <w:sz w:val="24"/>
          <w:highlight w:val="none"/>
        </w:rPr>
        <w:t>1.满足《中华人民共和国政府采购法》第二十二条规定；</w:t>
      </w:r>
    </w:p>
    <w:p>
      <w:pPr>
        <w:pStyle w:val="15"/>
        <w:adjustRightInd w:val="0"/>
        <w:spacing w:after="0" w:line="460" w:lineRule="exact"/>
        <w:ind w:left="0" w:leftChars="0" w:firstLine="480"/>
        <w:rPr>
          <w:rFonts w:ascii="宋体" w:hAnsi="宋体" w:cs="宋体"/>
          <w:color w:val="auto"/>
          <w:sz w:val="24"/>
          <w:highlight w:val="none"/>
        </w:rPr>
      </w:pPr>
      <w:r>
        <w:rPr>
          <w:rFonts w:hint="eastAsia" w:ascii="宋体" w:hAnsi="宋体" w:cs="宋体"/>
          <w:color w:val="auto"/>
          <w:sz w:val="24"/>
          <w:highlight w:val="none"/>
        </w:rPr>
        <w:t>（1）具有独立承担民事责任的能力。提供法人或者其他组织的营业执照等证明文件。</w:t>
      </w:r>
    </w:p>
    <w:p>
      <w:pPr>
        <w:pStyle w:val="15"/>
        <w:spacing w:after="0" w:line="460" w:lineRule="exact"/>
        <w:ind w:left="0" w:leftChars="0" w:firstLine="480"/>
        <w:rPr>
          <w:rFonts w:ascii="宋体" w:hAnsi="宋体" w:cs="宋体"/>
          <w:color w:val="auto"/>
          <w:sz w:val="24"/>
          <w:highlight w:val="none"/>
        </w:rPr>
      </w:pPr>
      <w:r>
        <w:rPr>
          <w:rFonts w:hint="eastAsia" w:ascii="宋体" w:hAnsi="宋体" w:cs="宋体"/>
          <w:color w:val="auto"/>
          <w:sz w:val="24"/>
          <w:highlight w:val="none"/>
        </w:rPr>
        <w:t>（2）具有良</w:t>
      </w:r>
      <w:r>
        <w:rPr>
          <w:rFonts w:hint="eastAsia" w:ascii="宋体" w:hAnsi="宋体" w:cs="宋体"/>
          <w:color w:val="auto"/>
          <w:sz w:val="24"/>
          <w:highlight w:val="none"/>
          <w:lang w:bidi="ar"/>
        </w:rPr>
        <w:t>好的商业信誉和健全的财务会计制度。</w:t>
      </w:r>
      <w:r>
        <w:rPr>
          <w:rFonts w:hint="eastAsia" w:ascii="宋体" w:hAnsi="宋体" w:cs="宋体"/>
          <w:color w:val="auto"/>
          <w:sz w:val="24"/>
          <w:highlight w:val="none"/>
        </w:rPr>
        <w:t>内容可为以下两者之一：①提供2021年至今任意一年经审计的财务状况报告（至少包含审计报告、资产负债表、利润表、现金流量表），成立未满1年或成立至今未产生经营活动的供应商提供自成立至今的财务报表或财务情况说明；②提供自响应文件提交截止时间前三个月内基本开户银行出具的资信证明。</w:t>
      </w:r>
    </w:p>
    <w:p>
      <w:pPr>
        <w:pStyle w:val="15"/>
        <w:adjustRightInd w:val="0"/>
        <w:spacing w:after="0" w:line="460" w:lineRule="exact"/>
        <w:ind w:left="0" w:leftChars="0" w:firstLine="480"/>
        <w:rPr>
          <w:rFonts w:ascii="宋体" w:hAnsi="宋体" w:cs="宋体"/>
          <w:color w:val="auto"/>
          <w:sz w:val="24"/>
          <w:highlight w:val="none"/>
          <w:lang w:bidi="ar"/>
        </w:rPr>
      </w:pPr>
      <w:r>
        <w:rPr>
          <w:rFonts w:hint="eastAsia" w:ascii="宋体" w:hAnsi="宋体" w:cs="宋体"/>
          <w:color w:val="auto"/>
          <w:sz w:val="24"/>
          <w:highlight w:val="none"/>
          <w:lang w:bidi="ar"/>
        </w:rPr>
        <w:t>（3）具有履行合同所必需的设备和专业技术能力。提供具备履行合同所必需的设备和专业技术能力的证明材料或承诺书。</w:t>
      </w:r>
    </w:p>
    <w:p>
      <w:pPr>
        <w:pStyle w:val="15"/>
        <w:adjustRightInd w:val="0"/>
        <w:spacing w:after="0" w:line="460" w:lineRule="exact"/>
        <w:ind w:left="0" w:leftChars="0" w:firstLine="480"/>
        <w:rPr>
          <w:rFonts w:cs="宋体"/>
          <w:color w:val="auto"/>
          <w:sz w:val="24"/>
          <w:highlight w:val="none"/>
        </w:rPr>
      </w:pPr>
      <w:r>
        <w:rPr>
          <w:rFonts w:hint="eastAsia" w:ascii="宋体" w:hAnsi="宋体" w:cs="宋体"/>
          <w:color w:val="auto"/>
          <w:sz w:val="24"/>
          <w:highlight w:val="none"/>
          <w:lang w:bidi="ar"/>
        </w:rPr>
        <w:t>（4）有依法缴纳税收和社会保障资金的良好记录。</w:t>
      </w:r>
      <w:r>
        <w:rPr>
          <w:rFonts w:ascii="宋体" w:hAnsi="宋体" w:cs="宋体"/>
          <w:color w:val="auto"/>
          <w:sz w:val="24"/>
          <w:highlight w:val="none"/>
          <w:lang w:bidi="ar"/>
        </w:rPr>
        <w:t>①</w:t>
      </w:r>
      <w:r>
        <w:rPr>
          <w:rFonts w:hint="eastAsia" w:ascii="宋体" w:hAnsi="宋体" w:cs="宋体"/>
          <w:color w:val="auto"/>
          <w:sz w:val="24"/>
          <w:highlight w:val="none"/>
        </w:rPr>
        <w:t>提供2022年1月至今任意1个月缴纳税收的证明材料，依法免税的，应提供依法免税的相关证明文件，成立未满1个月</w:t>
      </w:r>
      <w:r>
        <w:rPr>
          <w:rFonts w:hint="eastAsia" w:cs="宋体"/>
          <w:color w:val="auto"/>
          <w:sz w:val="24"/>
          <w:highlight w:val="none"/>
        </w:rPr>
        <w:t>或</w:t>
      </w:r>
      <w:r>
        <w:rPr>
          <w:rFonts w:hint="eastAsia" w:ascii="宋体" w:hAnsi="宋体" w:cs="宋体"/>
          <w:color w:val="auto"/>
          <w:sz w:val="24"/>
          <w:highlight w:val="none"/>
        </w:rPr>
        <w:t>成立至今</w:t>
      </w:r>
      <w:r>
        <w:rPr>
          <w:rFonts w:hint="eastAsia" w:cs="宋体"/>
          <w:color w:val="auto"/>
          <w:sz w:val="24"/>
          <w:highlight w:val="none"/>
        </w:rPr>
        <w:t>未产生经营活动的</w:t>
      </w:r>
      <w:r>
        <w:rPr>
          <w:rFonts w:hint="eastAsia" w:ascii="宋体" w:hAnsi="宋体" w:cs="宋体"/>
          <w:color w:val="auto"/>
          <w:sz w:val="24"/>
          <w:highlight w:val="none"/>
        </w:rPr>
        <w:t>供应商</w:t>
      </w:r>
      <w:r>
        <w:rPr>
          <w:rFonts w:hint="eastAsia" w:cs="宋体"/>
          <w:color w:val="auto"/>
          <w:sz w:val="24"/>
          <w:highlight w:val="none"/>
        </w:rPr>
        <w:t>自行提供情况说明；</w:t>
      </w:r>
      <w:r>
        <w:rPr>
          <w:rFonts w:ascii="宋体" w:hAnsi="宋体" w:cs="宋体"/>
          <w:color w:val="auto"/>
          <w:sz w:val="24"/>
          <w:highlight w:val="none"/>
          <w:lang w:bidi="ar"/>
        </w:rPr>
        <w:t>②</w:t>
      </w:r>
      <w:r>
        <w:rPr>
          <w:rFonts w:hint="eastAsia" w:ascii="宋体" w:hAnsi="宋体" w:cs="宋体"/>
          <w:color w:val="auto"/>
          <w:sz w:val="24"/>
          <w:highlight w:val="none"/>
        </w:rPr>
        <w:t>提供2022年1月至今任意1个月缴纳社会保障资金的证明材料，依法免缴的，应提供依法免缴的相关证明文件，成立未满1个月的无需提供</w:t>
      </w:r>
      <w:r>
        <w:rPr>
          <w:rFonts w:hint="eastAsia" w:cs="宋体"/>
          <w:color w:val="auto"/>
          <w:sz w:val="24"/>
          <w:highlight w:val="none"/>
        </w:rPr>
        <w:t>。</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（5）参加政府采购活动前三年内，在经营活动中没有重大违法记录。提供参加政府采购活动前三年内在经营活动中没有重大违法记录的书面声明。</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（6）法律、行政法规规定的其他条件。</w:t>
      </w:r>
    </w:p>
    <w:p>
      <w:pPr>
        <w:spacing w:line="460" w:lineRule="exact"/>
        <w:ind w:firstLine="480" w:firstLineChars="200"/>
        <w:rPr>
          <w:rFonts w:ascii="宋体" w:hAnsi="宋体" w:cs="宋体"/>
          <w:color w:val="auto"/>
          <w:sz w:val="24"/>
          <w:highlight w:val="none"/>
        </w:rPr>
      </w:pPr>
      <w:r>
        <w:rPr>
          <w:rFonts w:ascii="宋体" w:hAnsi="宋体" w:cs="宋体"/>
          <w:color w:val="auto"/>
          <w:sz w:val="24"/>
          <w:highlight w:val="none"/>
          <w:lang w:bidi="ar"/>
        </w:rPr>
        <w:t>①</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460" w:lineRule="exact"/>
        <w:ind w:firstLine="480" w:firstLineChars="200"/>
        <w:rPr>
          <w:rFonts w:ascii="宋体" w:hAnsi="宋体" w:cs="宋体"/>
          <w:b/>
          <w:bCs/>
          <w:color w:val="auto"/>
          <w:sz w:val="24"/>
          <w:highlight w:val="none"/>
        </w:rPr>
      </w:pPr>
      <w:r>
        <w:rPr>
          <w:rFonts w:ascii="宋体" w:hAnsi="宋体" w:cs="宋体"/>
          <w:color w:val="auto"/>
          <w:sz w:val="24"/>
          <w:highlight w:val="none"/>
          <w:lang w:bidi="ar"/>
        </w:rPr>
        <w:t>②</w:t>
      </w:r>
      <w:r>
        <w:rPr>
          <w:rFonts w:hint="eastAsia" w:ascii="宋体" w:hAnsi="宋体" w:cs="宋体"/>
          <w:color w:val="auto"/>
          <w:sz w:val="24"/>
          <w:highlight w:val="none"/>
        </w:rPr>
        <w:t>供应商及法定代表人在“信用中国”未被列入失信被执行人名单；供应商在“信用中国”未被列入重大税收违法失信主体、在“中国政府采购网”中未被列入：政府采购严重违法失信行为记录名单。</w:t>
      </w:r>
      <w:r>
        <w:rPr>
          <w:rFonts w:hint="eastAsia" w:ascii="宋体" w:hAnsi="宋体" w:cs="宋体"/>
          <w:b/>
          <w:bCs/>
          <w:color w:val="auto"/>
          <w:sz w:val="24"/>
          <w:highlight w:val="none"/>
        </w:rPr>
        <w:t>（注：以上网站均由采购人或采购代理机构在评审时查询，若供应商或法定代表人有不良信誉，视为不满足资格要求，响应文件无效。）</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2.落实政府采购政策需满足的资格要求：无</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3.本项目的特定资格要求：提供有效的《中华人民共和国医疗器械经营许可证》或《医疗器械经营备案凭证》</w:t>
      </w:r>
    </w:p>
    <w:p>
      <w:pPr>
        <w:widowControl/>
        <w:spacing w:line="460" w:lineRule="exact"/>
        <w:rPr>
          <w:rFonts w:ascii="宋体" w:hAnsi="宋体" w:cs="宋体"/>
          <w:b/>
          <w:color w:val="auto"/>
          <w:sz w:val="24"/>
          <w:highlight w:val="none"/>
        </w:rPr>
      </w:pPr>
      <w:bookmarkStart w:id="26" w:name="_Toc25314"/>
      <w:bookmarkStart w:id="27" w:name="_Toc5101"/>
      <w:bookmarkStart w:id="28" w:name="_Toc12833"/>
      <w:bookmarkStart w:id="29" w:name="_Toc31250"/>
      <w:bookmarkStart w:id="30" w:name="_Toc27269"/>
      <w:r>
        <w:rPr>
          <w:rFonts w:hint="eastAsia" w:ascii="宋体" w:hAnsi="宋体" w:cs="宋体"/>
          <w:b/>
          <w:color w:val="auto"/>
          <w:sz w:val="24"/>
          <w:highlight w:val="none"/>
        </w:rPr>
        <w:t>三、获取采购文件</w:t>
      </w:r>
      <w:bookmarkEnd w:id="26"/>
      <w:bookmarkEnd w:id="27"/>
      <w:bookmarkEnd w:id="28"/>
      <w:bookmarkEnd w:id="29"/>
      <w:bookmarkEnd w:id="30"/>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1.时间：2023年9月1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日至2023年9月1</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日，每天上午8:30至11:30，下午14:30至17:30（北京时间，法定节假日除外）</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2.地点：德宏州芒市阿露窝罗路25号二楼办公室</w:t>
      </w:r>
    </w:p>
    <w:p>
      <w:pPr>
        <w:spacing w:line="46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3.方式：</w:t>
      </w:r>
      <w:r>
        <w:rPr>
          <w:rFonts w:hint="eastAsia" w:ascii="宋体" w:hAnsi="宋体"/>
          <w:color w:val="auto"/>
          <w:sz w:val="24"/>
          <w:highlight w:val="none"/>
        </w:rPr>
        <w:t>现场获取或电子邮件获取，</w:t>
      </w:r>
      <w:r>
        <w:rPr>
          <w:rFonts w:hint="eastAsia" w:ascii="宋体" w:hAnsi="宋体" w:cs="宋体"/>
          <w:b/>
          <w:bCs/>
          <w:color w:val="auto"/>
          <w:sz w:val="24"/>
          <w:highlight w:val="none"/>
        </w:rPr>
        <w:t>获取询价文件时需提供下列材料</w:t>
      </w:r>
      <w:r>
        <w:rPr>
          <w:rFonts w:hint="eastAsia" w:ascii="宋体" w:hAnsi="宋体"/>
          <w:color w:val="auto"/>
          <w:sz w:val="24"/>
          <w:highlight w:val="none"/>
        </w:rPr>
        <w:t>（若提供的资料不全或不符合要求的，将拒绝领取询价文件）</w:t>
      </w:r>
      <w:r>
        <w:rPr>
          <w:rFonts w:hint="eastAsia" w:ascii="宋体" w:hAnsi="宋体" w:cs="宋体"/>
          <w:b/>
          <w:bCs/>
          <w:color w:val="auto"/>
          <w:sz w:val="24"/>
          <w:highlight w:val="none"/>
        </w:rPr>
        <w:t>：</w:t>
      </w:r>
    </w:p>
    <w:p>
      <w:pPr>
        <w:widowControl/>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（1）提供法人或者其他组织的营业执照等证明文件，复印件加盖单位公章；</w:t>
      </w:r>
    </w:p>
    <w:p>
      <w:pPr>
        <w:widowControl/>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（2）法定代表人身份证明书原件及身份证复印件，加盖单位公章；</w:t>
      </w:r>
    </w:p>
    <w:p>
      <w:pPr>
        <w:widowControl/>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（3）授权委托书原件，授权委托书中须注明所投项目名称、联系人姓名等信息及授权委托人（报名人）身份证复印件，加盖单位公章；（如有）</w:t>
      </w:r>
    </w:p>
    <w:p>
      <w:pPr>
        <w:spacing w:line="460" w:lineRule="exact"/>
        <w:ind w:firstLine="480" w:firstLineChars="200"/>
        <w:rPr>
          <w:rFonts w:ascii="宋体" w:hAnsi="宋体" w:cs="宋体"/>
          <w:b/>
          <w:bCs/>
          <w:color w:val="auto"/>
          <w:sz w:val="24"/>
          <w:highlight w:val="none"/>
        </w:rPr>
      </w:pPr>
      <w:r>
        <w:rPr>
          <w:rFonts w:hint="eastAsia" w:ascii="宋体" w:hAnsi="宋体"/>
          <w:color w:val="auto"/>
          <w:sz w:val="24"/>
          <w:highlight w:val="none"/>
        </w:rPr>
        <w:t>供应商以电子邮件方式获取询价文件的，须将以上资料以电子邮件的方式发送至代理机构邮箱：1607047876@qq.com，邮件主题：项目名称+公司名称；邮件内容：列明公司名称、法定代表人或授权代表人姓名及联系方式；邮件附件：需采用A4纸幅面，将报名材料加盖企业鲜章，按顺序制作成1个PDF格式文件，文件名称与主题一致。</w:t>
      </w:r>
    </w:p>
    <w:p>
      <w:pPr>
        <w:spacing w:line="46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注：我公司仅接受报名，不对供应商资格进行审查，供应商是否具备参与资格，以询价小组审查结果为准。</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4.售价：100元/份，</w:t>
      </w:r>
      <w:r>
        <w:rPr>
          <w:rFonts w:hint="eastAsia" w:ascii="宋体" w:hAnsi="宋体"/>
          <w:color w:val="auto"/>
          <w:sz w:val="24"/>
          <w:highlight w:val="none"/>
        </w:rPr>
        <w:t xml:space="preserve">售后不退, </w:t>
      </w:r>
      <w:r>
        <w:rPr>
          <w:rFonts w:hint="eastAsia" w:ascii="宋体" w:hAnsi="宋体" w:cs="宋体"/>
          <w:color w:val="auto"/>
          <w:sz w:val="24"/>
          <w:highlight w:val="none"/>
        </w:rPr>
        <w:t>报名时由采购代理公司收取。</w:t>
      </w:r>
    </w:p>
    <w:p>
      <w:pPr>
        <w:tabs>
          <w:tab w:val="left" w:pos="7179"/>
        </w:tabs>
        <w:spacing w:line="460" w:lineRule="exact"/>
        <w:rPr>
          <w:rFonts w:hint="eastAsia" w:ascii="宋体" w:hAnsi="宋体" w:eastAsia="宋体" w:cs="宋体"/>
          <w:b/>
          <w:color w:val="auto"/>
          <w:sz w:val="24"/>
          <w:highlight w:val="none"/>
          <w:lang w:eastAsia="zh-CN"/>
        </w:rPr>
      </w:pPr>
      <w:bookmarkStart w:id="31" w:name="_Toc28359005"/>
      <w:bookmarkStart w:id="32" w:name="_Toc35393793"/>
      <w:bookmarkStart w:id="33" w:name="_Toc28359082"/>
      <w:bookmarkStart w:id="34" w:name="_Toc35393624"/>
      <w:bookmarkStart w:id="35" w:name="_Toc30396"/>
      <w:bookmarkStart w:id="36" w:name="_Toc29395"/>
      <w:bookmarkStart w:id="37" w:name="_Toc3451"/>
      <w:bookmarkStart w:id="38" w:name="_Toc29869"/>
      <w:bookmarkStart w:id="39" w:name="_Toc32632"/>
      <w:r>
        <w:rPr>
          <w:rFonts w:hint="eastAsia" w:ascii="宋体" w:hAnsi="宋体" w:cs="宋体"/>
          <w:b/>
          <w:color w:val="auto"/>
          <w:sz w:val="24"/>
          <w:highlight w:val="none"/>
        </w:rPr>
        <w:t>四、</w:t>
      </w:r>
      <w:bookmarkEnd w:id="31"/>
      <w:bookmarkEnd w:id="32"/>
      <w:bookmarkEnd w:id="33"/>
      <w:bookmarkEnd w:id="34"/>
      <w:r>
        <w:rPr>
          <w:rFonts w:hint="eastAsia" w:ascii="宋体" w:hAnsi="宋体" w:cs="宋体"/>
          <w:b/>
          <w:color w:val="auto"/>
          <w:sz w:val="24"/>
          <w:highlight w:val="none"/>
        </w:rPr>
        <w:t>响应文件提交</w:t>
      </w:r>
      <w:bookmarkEnd w:id="35"/>
      <w:bookmarkEnd w:id="36"/>
      <w:bookmarkEnd w:id="37"/>
      <w:bookmarkEnd w:id="38"/>
      <w:bookmarkEnd w:id="39"/>
      <w:r>
        <w:rPr>
          <w:rFonts w:hint="eastAsia" w:ascii="宋体" w:hAnsi="宋体" w:cs="宋体"/>
          <w:b/>
          <w:color w:val="auto"/>
          <w:sz w:val="24"/>
          <w:highlight w:val="none"/>
          <w:lang w:eastAsia="zh-CN"/>
        </w:rPr>
        <w:tab/>
      </w:r>
    </w:p>
    <w:p>
      <w:pPr>
        <w:spacing w:line="460" w:lineRule="exact"/>
        <w:ind w:firstLine="480" w:firstLineChars="200"/>
        <w:rPr>
          <w:rFonts w:ascii="宋体" w:hAnsi="宋体" w:cs="宋体"/>
          <w:bCs/>
          <w:color w:val="auto"/>
          <w:sz w:val="24"/>
          <w:highlight w:val="none"/>
        </w:rPr>
      </w:pPr>
      <w:r>
        <w:rPr>
          <w:rFonts w:hint="eastAsia" w:ascii="宋体" w:hAnsi="宋体" w:cs="宋体"/>
          <w:color w:val="auto"/>
          <w:sz w:val="24"/>
          <w:highlight w:val="none"/>
        </w:rPr>
        <w:t>1.截止时间：2</w:t>
      </w:r>
      <w:r>
        <w:rPr>
          <w:rFonts w:hint="eastAsia" w:ascii="宋体" w:hAnsi="宋体" w:cs="宋体"/>
          <w:bCs/>
          <w:color w:val="auto"/>
          <w:sz w:val="24"/>
          <w:highlight w:val="none"/>
        </w:rPr>
        <w:t>023年9月2</w:t>
      </w:r>
      <w:r>
        <w:rPr>
          <w:rFonts w:hint="eastAsia" w:ascii="宋体" w:hAnsi="宋体" w:cs="宋体"/>
          <w:bCs/>
          <w:color w:val="auto"/>
          <w:sz w:val="24"/>
          <w:highlight w:val="none"/>
          <w:lang w:val="en-US" w:eastAsia="zh-CN"/>
        </w:rPr>
        <w:t>2</w:t>
      </w:r>
      <w:r>
        <w:rPr>
          <w:rFonts w:hint="eastAsia" w:ascii="宋体" w:hAnsi="宋体" w:cs="宋体"/>
          <w:bCs/>
          <w:color w:val="auto"/>
          <w:sz w:val="24"/>
          <w:highlight w:val="none"/>
        </w:rPr>
        <w:t>日9点00分（北京时间）</w:t>
      </w:r>
    </w:p>
    <w:p>
      <w:pPr>
        <w:spacing w:line="4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2.地</w:t>
      </w:r>
      <w:r>
        <w:rPr>
          <w:rFonts w:hint="eastAsia" w:ascii="宋体" w:hAnsi="宋体"/>
          <w:color w:val="auto"/>
          <w:sz w:val="24"/>
          <w:highlight w:val="none"/>
        </w:rPr>
        <w:t>点：</w:t>
      </w:r>
      <w:r>
        <w:rPr>
          <w:rFonts w:ascii="宋体" w:hAnsi="宋体"/>
          <w:color w:val="auto"/>
          <w:sz w:val="24"/>
          <w:highlight w:val="none"/>
        </w:rPr>
        <w:t>①</w:t>
      </w:r>
      <w:r>
        <w:rPr>
          <w:rFonts w:hint="eastAsia" w:ascii="宋体" w:hAnsi="宋体"/>
          <w:b/>
          <w:bCs/>
          <w:color w:val="auto"/>
          <w:sz w:val="24"/>
          <w:highlight w:val="none"/>
        </w:rPr>
        <w:t>现场递交</w:t>
      </w:r>
      <w:r>
        <w:rPr>
          <w:rFonts w:hint="eastAsia" w:ascii="宋体" w:hAnsi="宋体"/>
          <w:color w:val="auto"/>
          <w:sz w:val="24"/>
          <w:highlight w:val="none"/>
        </w:rPr>
        <w:t>：德宏州芒市阿露窝罗路25号三楼会议室；</w:t>
      </w:r>
      <w:r>
        <w:rPr>
          <w:rFonts w:ascii="宋体" w:hAnsi="宋体"/>
          <w:color w:val="auto"/>
          <w:sz w:val="24"/>
          <w:highlight w:val="none"/>
        </w:rPr>
        <w:t>②</w:t>
      </w:r>
      <w:r>
        <w:rPr>
          <w:rFonts w:hint="eastAsia" w:ascii="宋体" w:hAnsi="宋体"/>
          <w:b/>
          <w:bCs/>
          <w:color w:val="auto"/>
          <w:sz w:val="24"/>
          <w:highlight w:val="none"/>
        </w:rPr>
        <w:t>邮寄递交</w:t>
      </w:r>
      <w:r>
        <w:rPr>
          <w:rFonts w:hint="eastAsia" w:ascii="宋体" w:hAnsi="宋体"/>
          <w:color w:val="auto"/>
          <w:sz w:val="24"/>
          <w:highlight w:val="none"/>
        </w:rPr>
        <w:t>：</w:t>
      </w:r>
      <w:r>
        <w:rPr>
          <w:rFonts w:hint="eastAsia" w:ascii="宋体" w:hAnsi="宋体" w:cs="宋体"/>
          <w:color w:val="auto"/>
          <w:sz w:val="24"/>
          <w:highlight w:val="none"/>
        </w:rPr>
        <w:t>在响应文件提交截止时间前邮寄至德宏州浩创工程管理服务有限公司。</w:t>
      </w:r>
      <w:r>
        <w:rPr>
          <w:rFonts w:hint="eastAsia" w:ascii="宋体" w:hAnsi="宋体" w:cs="宋体"/>
          <w:b/>
          <w:bCs/>
          <w:color w:val="auto"/>
          <w:sz w:val="24"/>
          <w:highlight w:val="none"/>
        </w:rPr>
        <w:t>备注：供应商无需参加询价会议</w:t>
      </w:r>
      <w:r>
        <w:rPr>
          <w:rFonts w:hint="eastAsia" w:ascii="宋体" w:hAnsi="宋体" w:cs="宋体"/>
          <w:color w:val="auto"/>
          <w:sz w:val="24"/>
          <w:highlight w:val="none"/>
        </w:rPr>
        <w:t>。</w:t>
      </w:r>
    </w:p>
    <w:p>
      <w:pPr>
        <w:spacing w:line="460" w:lineRule="exact"/>
        <w:rPr>
          <w:rFonts w:ascii="宋体" w:hAnsi="宋体" w:cs="宋体"/>
          <w:b/>
          <w:color w:val="auto"/>
          <w:sz w:val="24"/>
          <w:highlight w:val="none"/>
        </w:rPr>
      </w:pPr>
      <w:bookmarkStart w:id="40" w:name="_Toc10015"/>
      <w:bookmarkStart w:id="41" w:name="_Toc31581"/>
      <w:bookmarkStart w:id="42" w:name="_Toc3656"/>
      <w:bookmarkStart w:id="43" w:name="_Toc66"/>
      <w:bookmarkStart w:id="44" w:name="_Toc25544"/>
      <w:r>
        <w:rPr>
          <w:rFonts w:hint="eastAsia" w:ascii="宋体" w:hAnsi="宋体" w:cs="宋体"/>
          <w:b/>
          <w:color w:val="auto"/>
          <w:sz w:val="24"/>
          <w:highlight w:val="none"/>
        </w:rPr>
        <w:t>五、开启</w:t>
      </w:r>
      <w:bookmarkEnd w:id="40"/>
      <w:bookmarkEnd w:id="41"/>
      <w:bookmarkEnd w:id="42"/>
      <w:bookmarkEnd w:id="43"/>
      <w:bookmarkEnd w:id="44"/>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1.时间：2023年9月2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日9点00分（北京时间）</w:t>
      </w:r>
    </w:p>
    <w:p>
      <w:pPr>
        <w:spacing w:line="4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2.地点：</w:t>
      </w:r>
      <w:r>
        <w:rPr>
          <w:rFonts w:hint="eastAsia" w:ascii="宋体" w:hAnsi="宋体"/>
          <w:color w:val="auto"/>
          <w:sz w:val="24"/>
          <w:highlight w:val="none"/>
        </w:rPr>
        <w:t>德宏州芒市阿露窝罗路25号三楼会议室</w:t>
      </w:r>
    </w:p>
    <w:p>
      <w:pPr>
        <w:spacing w:line="460" w:lineRule="exact"/>
        <w:rPr>
          <w:rFonts w:ascii="宋体" w:hAnsi="宋体" w:cs="宋体"/>
          <w:b/>
          <w:color w:val="auto"/>
          <w:sz w:val="24"/>
          <w:highlight w:val="none"/>
        </w:rPr>
      </w:pPr>
      <w:bookmarkStart w:id="45" w:name="_Toc20682"/>
      <w:bookmarkStart w:id="46" w:name="_Toc25079"/>
      <w:bookmarkStart w:id="47" w:name="_Toc17895"/>
      <w:bookmarkStart w:id="48" w:name="_Toc23005"/>
      <w:bookmarkStart w:id="49" w:name="_Toc13966"/>
      <w:r>
        <w:rPr>
          <w:rFonts w:hint="eastAsia" w:ascii="宋体" w:hAnsi="宋体" w:cs="宋体"/>
          <w:b/>
          <w:color w:val="auto"/>
          <w:sz w:val="24"/>
          <w:highlight w:val="none"/>
        </w:rPr>
        <w:t>六、公告期限</w:t>
      </w:r>
      <w:bookmarkEnd w:id="45"/>
      <w:bookmarkEnd w:id="46"/>
      <w:bookmarkEnd w:id="47"/>
      <w:bookmarkEnd w:id="48"/>
      <w:bookmarkEnd w:id="49"/>
    </w:p>
    <w:p>
      <w:pPr>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自本公告发布之日起3个工作日</w:t>
      </w:r>
      <w:r>
        <w:rPr>
          <w:rFonts w:hint="eastAsia" w:ascii="宋体" w:hAnsi="宋体" w:cs="宋体"/>
          <w:color w:val="auto"/>
          <w:sz w:val="24"/>
          <w:highlight w:val="none"/>
        </w:rPr>
        <w:t>（2023年9月</w:t>
      </w:r>
      <w:r>
        <w:rPr>
          <w:rFonts w:hint="eastAsia" w:ascii="宋体" w:hAnsi="宋体" w:cs="宋体"/>
          <w:color w:val="auto"/>
          <w:sz w:val="24"/>
          <w:highlight w:val="none"/>
          <w:lang w:val="en-US" w:eastAsia="zh-CN"/>
        </w:rPr>
        <w:t>14</w:t>
      </w:r>
      <w:r>
        <w:rPr>
          <w:rFonts w:hint="eastAsia" w:ascii="宋体" w:hAnsi="宋体" w:cs="宋体"/>
          <w:color w:val="auto"/>
          <w:sz w:val="24"/>
          <w:highlight w:val="none"/>
        </w:rPr>
        <w:t>日—2023年9月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日）</w:t>
      </w:r>
      <w:r>
        <w:rPr>
          <w:rFonts w:hint="eastAsia" w:ascii="宋体" w:hAnsi="宋体" w:cs="宋体"/>
          <w:bCs/>
          <w:color w:val="auto"/>
          <w:sz w:val="24"/>
          <w:highlight w:val="none"/>
        </w:rPr>
        <w:t>。</w:t>
      </w:r>
    </w:p>
    <w:p>
      <w:pPr>
        <w:spacing w:line="460" w:lineRule="exact"/>
        <w:rPr>
          <w:rFonts w:ascii="宋体" w:hAnsi="宋体" w:cs="宋体"/>
          <w:b/>
          <w:color w:val="auto"/>
          <w:sz w:val="24"/>
          <w:highlight w:val="none"/>
        </w:rPr>
      </w:pPr>
      <w:bookmarkStart w:id="50" w:name="_Toc17291"/>
      <w:bookmarkStart w:id="51" w:name="_Toc10676"/>
      <w:bookmarkStart w:id="52" w:name="_Toc25496"/>
      <w:bookmarkStart w:id="53" w:name="_Toc17138"/>
      <w:bookmarkStart w:id="54" w:name="_Toc23108"/>
      <w:r>
        <w:rPr>
          <w:rFonts w:hint="eastAsia" w:ascii="宋体" w:hAnsi="宋体" w:cs="宋体"/>
          <w:b/>
          <w:color w:val="auto"/>
          <w:sz w:val="24"/>
          <w:highlight w:val="none"/>
        </w:rPr>
        <w:t>七、其他补充事宜</w:t>
      </w:r>
      <w:bookmarkEnd w:id="50"/>
      <w:bookmarkEnd w:id="51"/>
      <w:bookmarkEnd w:id="52"/>
      <w:bookmarkEnd w:id="53"/>
      <w:bookmarkEnd w:id="54"/>
    </w:p>
    <w:p>
      <w:pPr>
        <w:pStyle w:val="15"/>
        <w:spacing w:after="0" w:line="460" w:lineRule="exact"/>
        <w:ind w:left="0" w:leftChars="0" w:firstLine="482"/>
        <w:rPr>
          <w:rFonts w:ascii="宋体" w:hAnsi="宋体" w:cs="宋体"/>
          <w:b/>
          <w:bCs/>
          <w:color w:val="auto"/>
          <w:sz w:val="24"/>
          <w:highlight w:val="none"/>
        </w:rPr>
      </w:pPr>
      <w:r>
        <w:rPr>
          <w:rFonts w:hint="eastAsia" w:ascii="宋体" w:hAnsi="宋体" w:cs="宋体"/>
          <w:b/>
          <w:color w:val="auto"/>
          <w:sz w:val="24"/>
          <w:highlight w:val="none"/>
        </w:rPr>
        <w:t>1.</w:t>
      </w:r>
      <w:r>
        <w:rPr>
          <w:rFonts w:hint="eastAsia" w:ascii="宋体" w:hAnsi="宋体" w:cs="宋体"/>
          <w:b/>
          <w:bCs/>
          <w:color w:val="auto"/>
          <w:sz w:val="24"/>
          <w:highlight w:val="none"/>
        </w:rPr>
        <w:t>相关费用及保证金</w:t>
      </w:r>
    </w:p>
    <w:p>
      <w:pPr>
        <w:pStyle w:val="15"/>
        <w:spacing w:after="0" w:line="460" w:lineRule="exact"/>
        <w:ind w:left="0" w:leftChars="0" w:firstLine="480"/>
        <w:rPr>
          <w:rFonts w:ascii="宋体" w:hAnsi="宋体" w:cs="宋体"/>
          <w:color w:val="auto"/>
          <w:sz w:val="24"/>
          <w:highlight w:val="none"/>
        </w:rPr>
      </w:pPr>
      <w:r>
        <w:rPr>
          <w:rFonts w:hint="eastAsia" w:ascii="宋体" w:hAnsi="宋体" w:cs="宋体"/>
          <w:color w:val="auto"/>
          <w:sz w:val="24"/>
          <w:highlight w:val="none"/>
        </w:rPr>
        <w:t>（1）相关费用：成交服务费根据“政府采购代理机构管理暂行办法”的规定，由成交人向采购代理机构支付。</w:t>
      </w:r>
    </w:p>
    <w:p>
      <w:pPr>
        <w:pStyle w:val="15"/>
        <w:spacing w:after="0" w:line="460" w:lineRule="exact"/>
        <w:ind w:left="0" w:leftChars="0" w:firstLine="480"/>
        <w:rPr>
          <w:rFonts w:ascii="宋体" w:hAnsi="宋体" w:cs="宋体"/>
          <w:color w:val="auto"/>
          <w:sz w:val="24"/>
          <w:highlight w:val="none"/>
        </w:rPr>
      </w:pPr>
      <w:r>
        <w:rPr>
          <w:rFonts w:hint="eastAsia" w:ascii="宋体" w:hAnsi="宋体"/>
          <w:color w:val="auto"/>
          <w:sz w:val="24"/>
          <w:highlight w:val="none"/>
        </w:rPr>
        <w:t>（2）保证金：无</w:t>
      </w:r>
    </w:p>
    <w:p>
      <w:pPr>
        <w:widowControl/>
        <w:tabs>
          <w:tab w:val="left" w:pos="1260"/>
        </w:tabs>
        <w:spacing w:line="4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b/>
          <w:bCs/>
          <w:color w:val="auto"/>
          <w:sz w:val="24"/>
          <w:highlight w:val="none"/>
        </w:rPr>
        <w:t>采购信息发布及结果公告网站</w:t>
      </w:r>
    </w:p>
    <w:p>
      <w:pPr>
        <w:widowControl/>
        <w:tabs>
          <w:tab w:val="left" w:pos="1260"/>
        </w:tabs>
        <w:spacing w:line="460" w:lineRule="exact"/>
        <w:ind w:firstLine="480" w:firstLineChars="200"/>
        <w:rPr>
          <w:rFonts w:ascii="宋体" w:hAnsi="宋体" w:cs="宋体"/>
          <w:b/>
          <w:color w:val="auto"/>
          <w:sz w:val="24"/>
          <w:highlight w:val="none"/>
        </w:rPr>
      </w:pPr>
      <w:r>
        <w:rPr>
          <w:rFonts w:hint="eastAsia" w:ascii="宋体" w:hAnsi="宋体"/>
          <w:color w:val="auto"/>
          <w:sz w:val="24"/>
          <w:highlight w:val="none"/>
        </w:rPr>
        <w:t>本公告在</w:t>
      </w:r>
      <w:r>
        <w:rPr>
          <w:rFonts w:hint="eastAsia" w:ascii="宋体" w:hAnsi="宋体" w:cs="宋体"/>
          <w:color w:val="auto"/>
          <w:sz w:val="24"/>
          <w:highlight w:val="none"/>
        </w:rPr>
        <w:t>中国招标投标公共服务平台（</w:t>
      </w:r>
      <w:r>
        <w:rPr>
          <w:rFonts w:hint="eastAsia" w:ascii="宋体" w:hAnsi="宋体" w:cstheme="minorBidi"/>
          <w:color w:val="auto"/>
          <w:sz w:val="24"/>
          <w:highlight w:val="none"/>
        </w:rPr>
        <w:t>网址：</w:t>
      </w:r>
      <w:r>
        <w:rPr>
          <w:rFonts w:hint="eastAsia" w:ascii="宋体" w:hAnsi="宋体" w:cs="宋体"/>
          <w:color w:val="auto"/>
          <w:sz w:val="24"/>
          <w:highlight w:val="none"/>
        </w:rPr>
        <w:t>http://www.cebpubservice.com/）、招标网</w:t>
      </w:r>
      <w:r>
        <w:rPr>
          <w:rFonts w:hint="eastAsia" w:ascii="宋体" w:hAnsi="宋体" w:cstheme="minorBidi"/>
          <w:color w:val="auto"/>
          <w:sz w:val="24"/>
          <w:highlight w:val="none"/>
        </w:rPr>
        <w:t>（网址：https://www.zhaobiao.cn/）</w:t>
      </w:r>
      <w:r>
        <w:rPr>
          <w:rFonts w:hint="eastAsia" w:ascii="宋体" w:hAnsi="宋体"/>
          <w:color w:val="auto"/>
          <w:sz w:val="24"/>
          <w:highlight w:val="none"/>
        </w:rPr>
        <w:t>发布</w:t>
      </w:r>
      <w:r>
        <w:rPr>
          <w:rFonts w:hint="eastAsia" w:ascii="宋体" w:hAnsi="宋体" w:cs="宋体"/>
          <w:bCs/>
          <w:color w:val="auto"/>
          <w:sz w:val="24"/>
          <w:highlight w:val="none"/>
        </w:rPr>
        <w:t>，我公司对其他网站或媒体转载的公告及公告内容不承担任何责任</w:t>
      </w:r>
      <w:r>
        <w:rPr>
          <w:rFonts w:hint="eastAsia" w:ascii="宋体" w:hAnsi="宋体" w:cs="宋体"/>
          <w:color w:val="auto"/>
          <w:sz w:val="24"/>
          <w:highlight w:val="none"/>
        </w:rPr>
        <w:t>。</w:t>
      </w:r>
    </w:p>
    <w:p>
      <w:pPr>
        <w:spacing w:line="460" w:lineRule="exact"/>
        <w:rPr>
          <w:rFonts w:ascii="宋体" w:hAnsi="宋体" w:cs="宋体"/>
          <w:b/>
          <w:bCs/>
          <w:color w:val="auto"/>
          <w:sz w:val="24"/>
          <w:highlight w:val="none"/>
        </w:rPr>
      </w:pPr>
      <w:bookmarkStart w:id="55" w:name="_Toc3605"/>
      <w:bookmarkStart w:id="56" w:name="_Toc14487"/>
      <w:r>
        <w:rPr>
          <w:rFonts w:hint="eastAsia" w:ascii="宋体" w:hAnsi="宋体" w:cs="宋体"/>
          <w:b/>
          <w:bCs/>
          <w:color w:val="auto"/>
          <w:sz w:val="24"/>
          <w:highlight w:val="none"/>
        </w:rPr>
        <w:t>八、凡对本次采购提出的询问，请按以下方式联系</w:t>
      </w:r>
      <w:bookmarkEnd w:id="55"/>
      <w:bookmarkEnd w:id="56"/>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pacing w:line="460" w:lineRule="exact"/>
        <w:ind w:firstLine="480" w:firstLineChars="200"/>
        <w:jc w:val="left"/>
        <w:rPr>
          <w:rFonts w:ascii="宋体" w:hAnsi="宋体" w:cs="宋体"/>
          <w:color w:val="auto"/>
          <w:sz w:val="24"/>
          <w:highlight w:val="none"/>
        </w:rPr>
      </w:pPr>
      <w:bookmarkStart w:id="57" w:name="_Toc28359009"/>
      <w:bookmarkStart w:id="58" w:name="_Toc28359086"/>
      <w:r>
        <w:rPr>
          <w:rFonts w:hint="eastAsia" w:ascii="宋体" w:hAnsi="宋体" w:cs="宋体"/>
          <w:color w:val="auto"/>
          <w:sz w:val="24"/>
          <w:highlight w:val="none"/>
        </w:rPr>
        <w:t>名 称：</w:t>
      </w:r>
      <w:r>
        <w:rPr>
          <w:rFonts w:hint="eastAsia" w:ascii="宋体" w:hAnsi="宋体" w:eastAsiaTheme="minorEastAsia"/>
          <w:color w:val="auto"/>
          <w:sz w:val="24"/>
          <w:szCs w:val="22"/>
          <w:highlight w:val="none"/>
        </w:rPr>
        <w:t>德宏职业学院</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统一社会信用代码：</w:t>
      </w:r>
      <w:r>
        <w:rPr>
          <w:rFonts w:hint="eastAsia" w:ascii="宋体" w:hAnsi="宋体" w:eastAsiaTheme="minorEastAsia"/>
          <w:color w:val="auto"/>
          <w:sz w:val="24"/>
          <w:szCs w:val="22"/>
          <w:highlight w:val="none"/>
        </w:rPr>
        <w:t>125331004327855266</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eastAsiaTheme="minorEastAsia"/>
          <w:color w:val="auto"/>
          <w:sz w:val="24"/>
          <w:szCs w:val="22"/>
          <w:highlight w:val="none"/>
        </w:rPr>
        <w:t>德宏州芒市营水路11号</w:t>
      </w:r>
    </w:p>
    <w:p>
      <w:pPr>
        <w:spacing w:line="460" w:lineRule="exact"/>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rPr>
        <w:t>联系方式：</w:t>
      </w:r>
      <w:r>
        <w:rPr>
          <w:rFonts w:hint="eastAsia" w:ascii="宋体" w:hAnsi="宋体" w:cs="宋体"/>
          <w:color w:val="auto"/>
          <w:sz w:val="24"/>
          <w:szCs w:val="22"/>
          <w:highlight w:val="none"/>
        </w:rPr>
        <w:t xml:space="preserve">唐老师  </w:t>
      </w:r>
      <w:r>
        <w:rPr>
          <w:rFonts w:hint="eastAsia" w:ascii="宋体" w:hAnsi="宋体" w:cs="宋体"/>
          <w:color w:val="auto"/>
          <w:sz w:val="24"/>
          <w:highlight w:val="none"/>
        </w:rPr>
        <w:t>13908822108</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2.采购代理机构信息</w:t>
      </w:r>
      <w:bookmarkEnd w:id="57"/>
      <w:bookmarkEnd w:id="58"/>
    </w:p>
    <w:p>
      <w:pPr>
        <w:spacing w:line="460" w:lineRule="exact"/>
        <w:ind w:firstLine="480" w:firstLineChars="200"/>
        <w:jc w:val="left"/>
        <w:rPr>
          <w:rFonts w:ascii="宋体" w:hAnsi="宋体" w:cs="宋体"/>
          <w:color w:val="auto"/>
          <w:sz w:val="24"/>
          <w:highlight w:val="none"/>
        </w:rPr>
      </w:pPr>
      <w:bookmarkStart w:id="59" w:name="_Toc28359087"/>
      <w:bookmarkStart w:id="60" w:name="_Toc28359010"/>
      <w:r>
        <w:rPr>
          <w:rFonts w:hint="eastAsia" w:ascii="宋体" w:hAnsi="宋体" w:cs="宋体"/>
          <w:color w:val="auto"/>
          <w:sz w:val="24"/>
          <w:highlight w:val="none"/>
        </w:rPr>
        <w:t>名 称：德宏州浩创工程管理服务有限公司</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统一社会信用代码：91533103MA6N9LMY3X</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地　址：德宏州芒市阿露窝罗路25号</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联系方式：0692-2129529</w:t>
      </w:r>
    </w:p>
    <w:p>
      <w:pPr>
        <w:spacing w:line="4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3.项目联系方式</w:t>
      </w:r>
      <w:bookmarkEnd w:id="59"/>
      <w:bookmarkEnd w:id="60"/>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项目联系人：罗琦（招标人），李明春（招标代理机构）</w:t>
      </w:r>
    </w:p>
    <w:p>
      <w:pPr>
        <w:spacing w:line="460" w:lineRule="exact"/>
        <w:ind w:firstLine="480" w:firstLineChars="200"/>
        <w:rPr>
          <w:rFonts w:ascii="宋体" w:hAnsi="宋体"/>
          <w:b/>
          <w:color w:val="auto"/>
          <w:sz w:val="36"/>
          <w:szCs w:val="36"/>
          <w:highlight w:val="none"/>
        </w:rPr>
      </w:pPr>
      <w:r>
        <w:rPr>
          <w:rFonts w:hint="eastAsia" w:ascii="宋体" w:hAnsi="宋体" w:cs="宋体"/>
          <w:color w:val="auto"/>
          <w:sz w:val="24"/>
          <w:highlight w:val="none"/>
        </w:rPr>
        <w:t>电　话：18669255767（招标人），0692-2129529（招标代理机构）</w:t>
      </w:r>
      <w:r>
        <w:rPr>
          <w:rFonts w:hint="eastAsia" w:ascii="宋体" w:hAnsi="宋体"/>
          <w:b/>
          <w:color w:val="auto"/>
          <w:sz w:val="36"/>
          <w:szCs w:val="36"/>
          <w:highlight w:val="none"/>
        </w:rPr>
        <w:br w:type="page"/>
      </w:r>
    </w:p>
    <w:p>
      <w:pPr>
        <w:snapToGrid w:val="0"/>
        <w:spacing w:after="156" w:afterLines="50" w:line="360" w:lineRule="auto"/>
        <w:jc w:val="center"/>
        <w:outlineLvl w:val="0"/>
        <w:rPr>
          <w:rFonts w:ascii="宋体" w:hAnsi="宋体"/>
          <w:b/>
          <w:color w:val="auto"/>
          <w:sz w:val="32"/>
          <w:szCs w:val="32"/>
          <w:highlight w:val="none"/>
        </w:rPr>
      </w:pPr>
      <w:bookmarkStart w:id="61" w:name="_Toc10616"/>
      <w:bookmarkStart w:id="62" w:name="_Toc16399"/>
      <w:bookmarkStart w:id="63" w:name="_Toc7062"/>
      <w:bookmarkStart w:id="64" w:name="_Toc13121"/>
      <w:bookmarkStart w:id="65" w:name="_Toc26162"/>
      <w:bookmarkStart w:id="66" w:name="_Toc7846"/>
      <w:bookmarkStart w:id="67" w:name="_Toc16220"/>
      <w:bookmarkStart w:id="68" w:name="_Toc20849"/>
      <w:bookmarkStart w:id="69" w:name="_Toc3588"/>
      <w:r>
        <w:rPr>
          <w:rFonts w:hint="eastAsia" w:ascii="宋体" w:hAnsi="宋体"/>
          <w:b/>
          <w:color w:val="auto"/>
          <w:sz w:val="32"/>
          <w:szCs w:val="32"/>
          <w:highlight w:val="none"/>
        </w:rPr>
        <w:t>第二章  供应商须知</w:t>
      </w:r>
      <w:bookmarkEnd w:id="14"/>
      <w:bookmarkEnd w:id="15"/>
      <w:bookmarkEnd w:id="61"/>
      <w:bookmarkEnd w:id="62"/>
      <w:bookmarkEnd w:id="63"/>
      <w:bookmarkEnd w:id="64"/>
      <w:bookmarkEnd w:id="65"/>
      <w:bookmarkEnd w:id="66"/>
      <w:bookmarkEnd w:id="67"/>
      <w:bookmarkEnd w:id="68"/>
      <w:bookmarkEnd w:id="69"/>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有意合作的供应商请认真阅读、并充分理解询价文件的全部内容（包括所有的补充、修改内容、重要事项、格式、条款和技术规范要求等）。供应商没有按照询价文件要求提交全部资料，或者没有对询价文件在各方面都做出实质性响应，将为供应商带来风险，有可能导致其询价被拒绝，或被认定为无效。</w:t>
      </w:r>
    </w:p>
    <w:p>
      <w:pPr>
        <w:spacing w:line="460" w:lineRule="exact"/>
        <w:rPr>
          <w:rFonts w:ascii="宋体" w:hAnsi="宋体"/>
          <w:b/>
          <w:color w:val="auto"/>
          <w:sz w:val="24"/>
          <w:highlight w:val="none"/>
        </w:rPr>
      </w:pPr>
      <w:bookmarkStart w:id="70" w:name="_Toc2940"/>
      <w:bookmarkStart w:id="71" w:name="_Toc29691"/>
      <w:bookmarkStart w:id="72" w:name="_Toc25310"/>
      <w:bookmarkStart w:id="73" w:name="_Toc31162"/>
      <w:bookmarkStart w:id="74" w:name="_Toc3096"/>
      <w:r>
        <w:rPr>
          <w:rFonts w:hint="eastAsia" w:ascii="宋体" w:hAnsi="宋体"/>
          <w:b/>
          <w:color w:val="auto"/>
          <w:sz w:val="24"/>
          <w:highlight w:val="none"/>
        </w:rPr>
        <w:t>一、总则</w:t>
      </w:r>
      <w:bookmarkEnd w:id="70"/>
      <w:bookmarkEnd w:id="71"/>
      <w:bookmarkEnd w:id="72"/>
      <w:bookmarkEnd w:id="73"/>
      <w:bookmarkEnd w:id="74"/>
    </w:p>
    <w:p>
      <w:pPr>
        <w:spacing w:line="460" w:lineRule="exact"/>
        <w:ind w:firstLine="482" w:firstLineChars="200"/>
        <w:rPr>
          <w:rFonts w:ascii="宋体" w:hAnsi="宋体"/>
          <w:color w:val="auto"/>
          <w:sz w:val="24"/>
          <w:highlight w:val="none"/>
        </w:rPr>
      </w:pPr>
      <w:r>
        <w:rPr>
          <w:rFonts w:hint="eastAsia" w:ascii="宋体" w:hAnsi="宋体"/>
          <w:b/>
          <w:bCs/>
          <w:color w:val="auto"/>
          <w:sz w:val="24"/>
          <w:highlight w:val="none"/>
        </w:rPr>
        <w:t>1.适用范围</w:t>
      </w:r>
      <w:r>
        <w:rPr>
          <w:rFonts w:hint="eastAsia" w:ascii="宋体" w:hAnsi="宋体"/>
          <w:color w:val="auto"/>
          <w:sz w:val="24"/>
          <w:highlight w:val="none"/>
        </w:rPr>
        <w:t>：本询价文件适用于本采购所述项目的采购。</w:t>
      </w:r>
    </w:p>
    <w:p>
      <w:pPr>
        <w:spacing w:line="460" w:lineRule="exact"/>
        <w:ind w:firstLine="482" w:firstLineChars="200"/>
        <w:rPr>
          <w:rFonts w:ascii="宋体" w:hAnsi="宋体"/>
          <w:color w:val="auto"/>
          <w:sz w:val="24"/>
          <w:highlight w:val="none"/>
        </w:rPr>
      </w:pPr>
      <w:r>
        <w:rPr>
          <w:rFonts w:hint="eastAsia" w:ascii="宋体" w:hAnsi="宋体"/>
          <w:b/>
          <w:bCs/>
          <w:color w:val="auto"/>
          <w:sz w:val="24"/>
          <w:highlight w:val="none"/>
        </w:rPr>
        <w:t>2.定义</w:t>
      </w:r>
      <w:r>
        <w:rPr>
          <w:rFonts w:hint="eastAsia" w:ascii="宋体" w:hAnsi="宋体" w:cs="宋体"/>
          <w:color w:val="auto"/>
          <w:sz w:val="24"/>
          <w:highlight w:val="none"/>
        </w:rPr>
        <w:t>：</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“采购人”系指：德宏职业学院。</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“采购代理机构”系指：德宏州浩创工程管理服务有限公司。</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“供应商”系指：参加询价的法人或者其他组织。</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“法人”系指：具有民事权利能力和民事行为能力，依法独立享有民事权利和承担民事义务的组织。</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“企业法人”系指：具有国家规定的独立财产，有健全的组织机构、组织章程和固定场所，能够独立承担民事责任、享有民事权利和承担民事义务的经济组织。</w:t>
      </w:r>
    </w:p>
    <w:p>
      <w:pPr>
        <w:snapToGrid w:val="0"/>
        <w:spacing w:line="460" w:lineRule="exact"/>
        <w:ind w:firstLine="480" w:firstLineChars="200"/>
        <w:rPr>
          <w:rFonts w:ascii="宋体" w:hAnsi="宋体"/>
          <w:b/>
          <w:color w:val="auto"/>
          <w:sz w:val="24"/>
          <w:highlight w:val="none"/>
        </w:rPr>
      </w:pPr>
      <w:r>
        <w:rPr>
          <w:rFonts w:hint="eastAsia" w:ascii="宋体" w:hAnsi="宋体" w:cs="宋体"/>
          <w:color w:val="auto"/>
          <w:sz w:val="24"/>
          <w:highlight w:val="none"/>
        </w:rPr>
        <w:t>“法定代表人”系指：依照法律或法人组织章程规定，代表法人行使职权的负责人。</w:t>
      </w:r>
    </w:p>
    <w:p>
      <w:pPr>
        <w:snapToGrid w:val="0"/>
        <w:spacing w:line="46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3.相关费用</w:t>
      </w:r>
    </w:p>
    <w:p>
      <w:pPr>
        <w:pStyle w:val="15"/>
        <w:spacing w:after="0" w:line="460" w:lineRule="exact"/>
        <w:ind w:left="0" w:leftChars="0" w:firstLine="480"/>
        <w:rPr>
          <w:rFonts w:ascii="宋体" w:hAnsi="宋体" w:cs="宋体"/>
          <w:color w:val="auto"/>
          <w:sz w:val="24"/>
          <w:highlight w:val="none"/>
        </w:rPr>
      </w:pPr>
      <w:r>
        <w:rPr>
          <w:rFonts w:hint="eastAsia" w:ascii="宋体" w:hAnsi="宋体" w:cs="宋体"/>
          <w:color w:val="auto"/>
          <w:sz w:val="24"/>
          <w:highlight w:val="none"/>
        </w:rPr>
        <w:t>（1）成交服务费根据“政府采购代理机构管理暂行办法”的规定，由成交人向采购代理机构支付，成交服务费以成交金额为基数，100万元以内部分1.5%；成交服务费计算后下浮20%向中标人收取。</w:t>
      </w:r>
    </w:p>
    <w:p>
      <w:pPr>
        <w:pStyle w:val="15"/>
        <w:spacing w:after="0" w:line="460" w:lineRule="exact"/>
        <w:ind w:left="0" w:leftChars="0" w:firstLine="480"/>
        <w:rPr>
          <w:rFonts w:ascii="宋体" w:hAnsi="宋体" w:cs="宋体"/>
          <w:color w:val="auto"/>
          <w:sz w:val="24"/>
          <w:highlight w:val="none"/>
        </w:rPr>
      </w:pPr>
      <w:r>
        <w:rPr>
          <w:rFonts w:hint="eastAsia" w:ascii="宋体" w:hAnsi="宋体" w:cs="宋体"/>
          <w:color w:val="auto"/>
          <w:sz w:val="24"/>
          <w:highlight w:val="none"/>
        </w:rPr>
        <w:t>说明：成交人应在领取“成交通知书”前向采购代理机构一次付清。</w:t>
      </w:r>
    </w:p>
    <w:p>
      <w:pPr>
        <w:pStyle w:val="15"/>
        <w:spacing w:after="0" w:line="460" w:lineRule="exact"/>
        <w:ind w:left="0" w:leftChars="0" w:firstLine="480"/>
        <w:rPr>
          <w:rFonts w:ascii="宋体" w:hAnsi="宋体" w:cs="宋体"/>
          <w:color w:val="auto"/>
          <w:sz w:val="24"/>
          <w:highlight w:val="none"/>
        </w:rPr>
      </w:pPr>
      <w:r>
        <w:rPr>
          <w:rFonts w:hint="eastAsia" w:ascii="宋体" w:hAnsi="宋体" w:cs="宋体"/>
          <w:color w:val="auto"/>
          <w:sz w:val="24"/>
          <w:highlight w:val="none"/>
        </w:rPr>
        <w:t>（2）供应商应承担其参加本询价活动编制响应文件与递交响应文件所涉及的一切费用。</w:t>
      </w:r>
    </w:p>
    <w:p>
      <w:pPr>
        <w:snapToGrid w:val="0"/>
        <w:spacing w:line="46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4.报价</w:t>
      </w:r>
    </w:p>
    <w:p>
      <w:pPr>
        <w:spacing w:line="460" w:lineRule="exact"/>
        <w:ind w:firstLine="480" w:firstLineChars="200"/>
        <w:rPr>
          <w:rFonts w:ascii="宋体" w:hAnsi="宋体" w:cs="宋体"/>
          <w:color w:val="auto"/>
          <w:sz w:val="24"/>
          <w:highlight w:val="none"/>
        </w:rPr>
      </w:pPr>
      <w:r>
        <w:rPr>
          <w:rFonts w:hint="eastAsia" w:ascii="宋体" w:hAnsi="宋体" w:cs="宋体"/>
          <w:bCs/>
          <w:color w:val="auto"/>
          <w:sz w:val="24"/>
          <w:highlight w:val="none"/>
        </w:rPr>
        <w:t>（1）</w:t>
      </w:r>
      <w:r>
        <w:rPr>
          <w:rFonts w:hint="eastAsia" w:ascii="宋体" w:hAnsi="宋体" w:cs="宋体"/>
          <w:color w:val="auto"/>
          <w:sz w:val="24"/>
          <w:highlight w:val="none"/>
          <w:lang w:val="zh-CN"/>
        </w:rPr>
        <w:t>报价以人民币为结算单位，包括：本项目产品、产品的运输装卸、安装、调试、验收、维护费、质保等伴随的服务及各种税费等全部费用</w:t>
      </w:r>
      <w:r>
        <w:rPr>
          <w:rFonts w:hint="eastAsia" w:ascii="宋体" w:hAnsi="宋体" w:cs="宋体"/>
          <w:color w:val="auto"/>
          <w:sz w:val="24"/>
          <w:highlight w:val="none"/>
        </w:rPr>
        <w:t>。</w:t>
      </w:r>
    </w:p>
    <w:p>
      <w:pPr>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（2）任何有选择的报价将不予接受，只允许有一个报价。供应商对同一项目报价有两个(含两个)以上报价且未书面声明以哪个为准，响应文件无效。</w:t>
      </w:r>
    </w:p>
    <w:p>
      <w:pPr>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（3）报价表中标明的价格在合同执行过程中是固定不变的，不得以任何理由予以变更。</w:t>
      </w:r>
    </w:p>
    <w:p>
      <w:pPr>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（4）由供应商支付的所有税费，都应包括在供应商提交的响应文件报价之内，成交后，采购人不另行支付。</w:t>
      </w:r>
    </w:p>
    <w:p>
      <w:pPr>
        <w:snapToGrid w:val="0"/>
        <w:spacing w:line="460" w:lineRule="exact"/>
        <w:ind w:firstLine="480" w:firstLineChars="200"/>
        <w:rPr>
          <w:rFonts w:ascii="宋体" w:hAnsi="宋体"/>
          <w:b/>
          <w:color w:val="auto"/>
          <w:sz w:val="24"/>
          <w:highlight w:val="none"/>
        </w:rPr>
      </w:pPr>
      <w:r>
        <w:rPr>
          <w:rFonts w:hint="eastAsia" w:ascii="宋体" w:hAnsi="宋体" w:cs="宋体"/>
          <w:bCs/>
          <w:color w:val="auto"/>
          <w:sz w:val="24"/>
          <w:highlight w:val="none"/>
        </w:rPr>
        <w:t>（5）供应商应按照“第三章采购需求”规定的内容、责任范围以及合同条款进行报价。并按确定的格式报出总价和分项价格。报价中不得包含询价文件要求以外的内容，否则，在评审时不予核减。出现漏报的供应商，要求在原报价不变的前提下，增加漏报的项目；如供应商不接受，则响应文件无效。</w:t>
      </w:r>
    </w:p>
    <w:p>
      <w:pPr>
        <w:snapToGrid w:val="0"/>
        <w:spacing w:line="460" w:lineRule="exact"/>
        <w:rPr>
          <w:rFonts w:ascii="宋体" w:hAnsi="宋体" w:cs="宋体"/>
          <w:b/>
          <w:color w:val="auto"/>
          <w:sz w:val="24"/>
          <w:highlight w:val="none"/>
        </w:rPr>
      </w:pPr>
      <w:bookmarkStart w:id="75" w:name="_Toc3108"/>
      <w:bookmarkStart w:id="76" w:name="_Toc12431"/>
      <w:bookmarkStart w:id="77" w:name="_Toc15086"/>
      <w:bookmarkStart w:id="78" w:name="_Toc18424"/>
      <w:bookmarkStart w:id="79" w:name="_Toc9823"/>
      <w:r>
        <w:rPr>
          <w:rFonts w:hint="eastAsia" w:ascii="宋体" w:hAnsi="宋体" w:cs="宋体"/>
          <w:b/>
          <w:color w:val="auto"/>
          <w:sz w:val="24"/>
          <w:highlight w:val="none"/>
        </w:rPr>
        <w:t>二、询价文件的编制说明</w:t>
      </w:r>
      <w:bookmarkEnd w:id="75"/>
      <w:bookmarkEnd w:id="76"/>
      <w:bookmarkEnd w:id="77"/>
      <w:bookmarkEnd w:id="78"/>
      <w:bookmarkEnd w:id="79"/>
    </w:p>
    <w:p>
      <w:pPr>
        <w:snapToGrid w:val="0"/>
        <w:spacing w:line="4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1.询价文件的组成</w:t>
      </w:r>
    </w:p>
    <w:p>
      <w:pPr>
        <w:snapToGrid w:val="0"/>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（1）询价公告</w:t>
      </w:r>
    </w:p>
    <w:p>
      <w:pPr>
        <w:snapToGrid w:val="0"/>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（2）供应商须知</w:t>
      </w:r>
    </w:p>
    <w:p>
      <w:pPr>
        <w:snapToGrid w:val="0"/>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（3）采购需求</w:t>
      </w:r>
    </w:p>
    <w:p>
      <w:pPr>
        <w:snapToGrid w:val="0"/>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（4）评审办法</w:t>
      </w:r>
    </w:p>
    <w:p>
      <w:pPr>
        <w:snapToGrid w:val="0"/>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（5）合同条款及格式</w:t>
      </w:r>
    </w:p>
    <w:p>
      <w:pPr>
        <w:snapToGrid w:val="0"/>
        <w:spacing w:line="460" w:lineRule="exact"/>
        <w:ind w:firstLine="480" w:firstLineChars="200"/>
        <w:rPr>
          <w:rFonts w:ascii="宋体" w:hAnsi="宋体" w:cs="宋体"/>
          <w:bCs/>
          <w:color w:val="auto"/>
          <w:sz w:val="24"/>
          <w:highlight w:val="none"/>
        </w:rPr>
      </w:pPr>
      <w:r>
        <w:rPr>
          <w:rFonts w:hint="eastAsia" w:ascii="宋体" w:hAnsi="宋体" w:cs="宋体"/>
          <w:bCs/>
          <w:color w:val="auto"/>
          <w:sz w:val="24"/>
          <w:highlight w:val="none"/>
        </w:rPr>
        <w:t>（6）响应文件格式</w:t>
      </w:r>
    </w:p>
    <w:p>
      <w:pPr>
        <w:snapToGrid w:val="0"/>
        <w:spacing w:line="460" w:lineRule="exact"/>
        <w:ind w:firstLine="480" w:firstLineChars="200"/>
        <w:rPr>
          <w:rFonts w:ascii="宋体" w:hAnsi="宋体"/>
          <w:bCs/>
          <w:color w:val="auto"/>
          <w:sz w:val="24"/>
          <w:highlight w:val="none"/>
        </w:rPr>
      </w:pPr>
      <w:r>
        <w:rPr>
          <w:rFonts w:hint="eastAsia" w:ascii="宋体" w:hAnsi="宋体" w:cs="宋体"/>
          <w:bCs/>
          <w:color w:val="auto"/>
          <w:sz w:val="24"/>
          <w:highlight w:val="none"/>
        </w:rPr>
        <w:t>（7）采购代理机构就本询价项目发出的澄清、修改、补充文件。</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2.询价文件的答疑</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应商应仔细阅读和检查询价文件的全部内容。如发现缺页或附件不全，应及时向采购人提出，以便补齐。如有疑问，应在提交响应文件截止时间至少3日前以书面形式向采购人提出，要求采购人对询价文件予以澄清。采购代理机构应当在3个工作日内对供应商依法提出的询问做出答复，但答复的内容不得涉及商业秘密。</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pacing w:val="-6"/>
          <w:sz w:val="24"/>
          <w:highlight w:val="none"/>
        </w:rPr>
        <w:t>供应商在规定的时间内未对询价文件提出疑问的，</w:t>
      </w:r>
      <w:r>
        <w:rPr>
          <w:rFonts w:hint="eastAsia" w:ascii="宋体" w:hAnsi="宋体" w:cs="宋体"/>
          <w:color w:val="auto"/>
          <w:sz w:val="24"/>
          <w:highlight w:val="none"/>
        </w:rPr>
        <w:t>将</w:t>
      </w:r>
      <w:r>
        <w:rPr>
          <w:rFonts w:hint="eastAsia" w:ascii="宋体" w:hAnsi="宋体" w:cs="宋体"/>
          <w:color w:val="auto"/>
          <w:spacing w:val="-6"/>
          <w:sz w:val="24"/>
          <w:highlight w:val="none"/>
        </w:rPr>
        <w:t>视其为无异议。</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3.询价文件的澄清、修改</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采购人或者采购代理机构可以对已发出的谈询价文件进行必要的澄清或者修改，澄清或者修改的内容作为询价文件的组成部分；澄清或者修改的内容可能影响响应编制的，采购人、采购代理机构应当在提交响应文件截止之日3个工作日前，以书面形式通知所有接收询价文件的供应商，不足3个工作日的，应当顺延提交响应文件截止之日。</w:t>
      </w:r>
    </w:p>
    <w:p>
      <w:pPr>
        <w:widowControl/>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（2）当询价文件、询价文件澄清、修改内容后前相互矛盾时，以最后发出的为准。</w:t>
      </w:r>
    </w:p>
    <w:p>
      <w:pPr>
        <w:snapToGrid w:val="0"/>
        <w:spacing w:line="460" w:lineRule="exact"/>
        <w:ind w:firstLine="456" w:firstLineChars="200"/>
        <w:rPr>
          <w:rFonts w:ascii="宋体" w:hAnsi="宋体" w:cs="宋体"/>
          <w:color w:val="auto"/>
          <w:spacing w:val="-6"/>
          <w:sz w:val="24"/>
          <w:highlight w:val="none"/>
        </w:rPr>
      </w:pPr>
      <w:r>
        <w:rPr>
          <w:rFonts w:hint="eastAsia" w:ascii="宋体" w:hAnsi="宋体" w:cs="宋体"/>
          <w:color w:val="auto"/>
          <w:spacing w:val="-6"/>
          <w:sz w:val="24"/>
          <w:highlight w:val="none"/>
        </w:rPr>
        <w:t>（3）供应商确认收到询价文件澄清的方式：盖章确认后，以电子邮件形式向采购代理机构发送彩色扫描件，接收邮箱：1607047876@qq.com；格式详见附件。</w:t>
      </w:r>
    </w:p>
    <w:p>
      <w:pPr>
        <w:snapToGrid w:val="0"/>
        <w:spacing w:line="460" w:lineRule="exact"/>
        <w:ind w:firstLine="456" w:firstLineChars="200"/>
        <w:rPr>
          <w:rFonts w:ascii="宋体" w:hAnsi="宋体"/>
          <w:b/>
          <w:color w:val="auto"/>
          <w:sz w:val="24"/>
          <w:highlight w:val="none"/>
        </w:rPr>
      </w:pPr>
      <w:r>
        <w:rPr>
          <w:rFonts w:hint="eastAsia" w:ascii="宋体" w:hAnsi="宋体" w:cs="宋体"/>
          <w:color w:val="auto"/>
          <w:spacing w:val="-6"/>
          <w:sz w:val="24"/>
          <w:highlight w:val="none"/>
        </w:rPr>
        <w:t>（4）对</w:t>
      </w:r>
      <w:r>
        <w:rPr>
          <w:rFonts w:hint="eastAsia" w:ascii="宋体" w:hAnsi="宋体" w:cs="宋体"/>
          <w:color w:val="auto"/>
          <w:sz w:val="24"/>
          <w:highlight w:val="none"/>
        </w:rPr>
        <w:t>询价</w:t>
      </w:r>
      <w:r>
        <w:rPr>
          <w:rFonts w:hint="eastAsia" w:ascii="宋体" w:hAnsi="宋体" w:cs="宋体"/>
          <w:color w:val="auto"/>
          <w:spacing w:val="-6"/>
          <w:sz w:val="24"/>
          <w:highlight w:val="none"/>
        </w:rPr>
        <w:t>文件中描述有歧义或前后不一致的地方，</w:t>
      </w:r>
      <w:r>
        <w:rPr>
          <w:rFonts w:hint="eastAsia" w:ascii="宋体" w:hAnsi="宋体" w:cs="宋体"/>
          <w:color w:val="auto"/>
          <w:sz w:val="24"/>
          <w:highlight w:val="none"/>
        </w:rPr>
        <w:t>询价</w:t>
      </w:r>
      <w:r>
        <w:rPr>
          <w:rFonts w:hint="eastAsia" w:ascii="宋体" w:hAnsi="宋体" w:cs="宋体"/>
          <w:color w:val="auto"/>
          <w:spacing w:val="-6"/>
          <w:sz w:val="24"/>
          <w:highlight w:val="none"/>
        </w:rPr>
        <w:t>小组有权进行评判，但对同一条款的评判应适用于每个供应商</w:t>
      </w:r>
      <w:r>
        <w:rPr>
          <w:rFonts w:hint="eastAsia" w:ascii="宋体" w:hAnsi="宋体" w:cs="宋体"/>
          <w:color w:val="auto"/>
          <w:sz w:val="24"/>
          <w:highlight w:val="none"/>
        </w:rPr>
        <w:t>。</w:t>
      </w:r>
    </w:p>
    <w:p>
      <w:pPr>
        <w:snapToGrid w:val="0"/>
        <w:spacing w:line="460" w:lineRule="exact"/>
        <w:rPr>
          <w:rFonts w:ascii="宋体" w:hAnsi="宋体"/>
          <w:b/>
          <w:color w:val="auto"/>
          <w:sz w:val="24"/>
          <w:highlight w:val="none"/>
        </w:rPr>
      </w:pPr>
      <w:bookmarkStart w:id="80" w:name="_Toc3182"/>
      <w:bookmarkStart w:id="81" w:name="_Toc171"/>
      <w:bookmarkStart w:id="82" w:name="_Toc20807"/>
      <w:bookmarkStart w:id="83" w:name="_Toc14546"/>
      <w:bookmarkStart w:id="84" w:name="_Toc12161"/>
      <w:r>
        <w:rPr>
          <w:rFonts w:hint="eastAsia" w:ascii="宋体" w:hAnsi="宋体"/>
          <w:b/>
          <w:color w:val="auto"/>
          <w:sz w:val="24"/>
          <w:highlight w:val="none"/>
        </w:rPr>
        <w:t>三、响应文件编制要求</w:t>
      </w:r>
      <w:bookmarkEnd w:id="80"/>
      <w:bookmarkEnd w:id="81"/>
      <w:bookmarkEnd w:id="82"/>
      <w:bookmarkEnd w:id="83"/>
      <w:bookmarkEnd w:id="84"/>
    </w:p>
    <w:p>
      <w:pPr>
        <w:snapToGrid w:val="0"/>
        <w:spacing w:line="460" w:lineRule="exact"/>
        <w:ind w:firstLine="482" w:firstLineChars="200"/>
        <w:jc w:val="left"/>
        <w:rPr>
          <w:rFonts w:ascii="宋体" w:hAnsi="宋体"/>
          <w:color w:val="auto"/>
          <w:sz w:val="24"/>
          <w:highlight w:val="none"/>
        </w:rPr>
      </w:pPr>
      <w:r>
        <w:rPr>
          <w:rFonts w:hint="eastAsia" w:ascii="宋体" w:hAnsi="宋体"/>
          <w:b/>
          <w:color w:val="auto"/>
          <w:sz w:val="24"/>
          <w:highlight w:val="none"/>
        </w:rPr>
        <w:t>1.供应商应仔细阅读询价文件的所有内容，</w:t>
      </w:r>
      <w:r>
        <w:rPr>
          <w:rFonts w:hint="eastAsia" w:ascii="宋体" w:hAnsi="宋体"/>
          <w:color w:val="auto"/>
          <w:sz w:val="24"/>
          <w:highlight w:val="none"/>
        </w:rPr>
        <w:t>按询价文件的要求提供响应文件，并保证所提供的全部资料的真实性。</w:t>
      </w:r>
    </w:p>
    <w:p>
      <w:pPr>
        <w:snapToGrid w:val="0"/>
        <w:spacing w:line="460" w:lineRule="exact"/>
        <w:ind w:firstLine="480" w:firstLineChars="200"/>
        <w:jc w:val="left"/>
        <w:rPr>
          <w:rFonts w:ascii="宋体" w:hAnsi="宋体"/>
          <w:b/>
          <w:color w:val="auto"/>
          <w:sz w:val="24"/>
          <w:highlight w:val="none"/>
        </w:rPr>
      </w:pPr>
      <w:r>
        <w:rPr>
          <w:rFonts w:hint="eastAsia" w:ascii="宋体" w:hAnsi="宋体" w:cs="宋体"/>
          <w:color w:val="auto"/>
          <w:sz w:val="24"/>
          <w:highlight w:val="none"/>
        </w:rPr>
        <w:t>2.无论是否递交响应文件，供应商都应将询价文件及有关的补充、更正文件视为保密文件。</w:t>
      </w:r>
    </w:p>
    <w:p>
      <w:pPr>
        <w:snapToGrid w:val="0"/>
        <w:spacing w:line="46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3.语言和计量单位。</w:t>
      </w:r>
      <w:r>
        <w:rPr>
          <w:rFonts w:hint="eastAsia" w:ascii="宋体" w:hAnsi="宋体"/>
          <w:color w:val="auto"/>
          <w:sz w:val="24"/>
          <w:highlight w:val="none"/>
        </w:rPr>
        <w:t>询价文件及供应商就询价交换的文件和来往信件，应以中文书写。除在询价文件的技术规范要求中另有规定外，计量单位应使用中华人民共和国法定计量单位。</w:t>
      </w:r>
    </w:p>
    <w:p>
      <w:pPr>
        <w:snapToGrid w:val="0"/>
        <w:spacing w:line="460" w:lineRule="exact"/>
        <w:ind w:firstLine="482" w:firstLineChars="200"/>
        <w:jc w:val="left"/>
        <w:rPr>
          <w:rFonts w:ascii="宋体" w:hAnsi="宋体"/>
          <w:color w:val="auto"/>
          <w:sz w:val="24"/>
          <w:highlight w:val="none"/>
        </w:rPr>
      </w:pPr>
      <w:r>
        <w:rPr>
          <w:rFonts w:hint="eastAsia" w:ascii="宋体" w:hAnsi="宋体"/>
          <w:b/>
          <w:color w:val="auto"/>
          <w:sz w:val="24"/>
          <w:highlight w:val="none"/>
        </w:rPr>
        <w:t>4.若供应商所投产品的技术要求与采购人的要求有偏离的，</w:t>
      </w:r>
      <w:r>
        <w:rPr>
          <w:rFonts w:hint="eastAsia" w:ascii="宋体" w:hAnsi="宋体"/>
          <w:color w:val="auto"/>
          <w:sz w:val="24"/>
          <w:highlight w:val="none"/>
        </w:rPr>
        <w:t>供应商应逐项提供</w:t>
      </w:r>
      <w:r>
        <w:rPr>
          <w:rFonts w:hint="eastAsia" w:ascii="宋体" w:hAnsi="宋体" w:cs="宋体"/>
          <w:color w:val="auto"/>
          <w:sz w:val="24"/>
          <w:highlight w:val="none"/>
        </w:rPr>
        <w:t>产品配置列表和技术偏离说明</w:t>
      </w:r>
      <w:r>
        <w:rPr>
          <w:rFonts w:hint="eastAsia" w:ascii="宋体" w:hAnsi="宋体"/>
          <w:color w:val="auto"/>
          <w:sz w:val="24"/>
          <w:highlight w:val="none"/>
        </w:rPr>
        <w:t>，作为询价的依据。</w:t>
      </w:r>
    </w:p>
    <w:p>
      <w:pPr>
        <w:snapToGrid w:val="0"/>
        <w:spacing w:line="460" w:lineRule="exact"/>
        <w:ind w:firstLine="482" w:firstLineChars="200"/>
        <w:jc w:val="left"/>
        <w:rPr>
          <w:rFonts w:ascii="宋体" w:hAnsi="宋体"/>
          <w:color w:val="auto"/>
          <w:sz w:val="24"/>
          <w:highlight w:val="none"/>
        </w:rPr>
      </w:pPr>
      <w:r>
        <w:rPr>
          <w:rFonts w:hint="eastAsia" w:ascii="宋体" w:hAnsi="宋体"/>
          <w:b/>
          <w:color w:val="auto"/>
          <w:sz w:val="24"/>
          <w:highlight w:val="none"/>
        </w:rPr>
        <w:t>5.响应文件构成。</w:t>
      </w:r>
      <w:r>
        <w:rPr>
          <w:rFonts w:hint="eastAsia" w:ascii="宋体" w:hAnsi="宋体" w:cs="宋体"/>
          <w:b/>
          <w:color w:val="auto"/>
          <w:sz w:val="24"/>
          <w:highlight w:val="none"/>
        </w:rPr>
        <w:t>响应文件应按“第六章 响应文件格式”要求统一填写打印（响应文件规定要签名的地方除外），并按顺序装订成册。对未经装订的响应文件可能发生的文件散落或缺损，由此产生的后果由供应商承担。</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6.询价有效期</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（1）自提交响应文件截止之日起90天内，响应文件保持有效。有效期短于这个规定期限的响应文件，将被拒绝。</w:t>
      </w:r>
    </w:p>
    <w:p>
      <w:pPr>
        <w:spacing w:line="460" w:lineRule="exact"/>
        <w:ind w:firstLine="480" w:firstLineChars="200"/>
        <w:rPr>
          <w:rFonts w:ascii="宋体" w:hAnsi="宋体"/>
          <w:b/>
          <w:color w:val="auto"/>
          <w:sz w:val="24"/>
          <w:highlight w:val="none"/>
        </w:rPr>
      </w:pPr>
      <w:r>
        <w:rPr>
          <w:rFonts w:hint="eastAsia" w:ascii="宋体" w:hAnsi="宋体" w:cs="宋体"/>
          <w:color w:val="auto"/>
          <w:sz w:val="24"/>
          <w:highlight w:val="none"/>
        </w:rPr>
        <w:t>（2）特殊情况下，采购代理机构可于询价有效期期满之前，要求供应商延长其有效期。供应商可以拒绝或同意上述要求。对于同意该要求的供应商，采购代理机构既不要求也不允许其修改响应文件。</w:t>
      </w:r>
    </w:p>
    <w:p>
      <w:pPr>
        <w:snapToGrid w:val="0"/>
        <w:spacing w:line="460" w:lineRule="exact"/>
        <w:ind w:firstLine="482" w:firstLineChars="200"/>
        <w:rPr>
          <w:rFonts w:ascii="宋体" w:hAnsi="宋体"/>
          <w:b/>
          <w:color w:val="auto"/>
          <w:sz w:val="24"/>
          <w:highlight w:val="none"/>
        </w:rPr>
      </w:pPr>
      <w:r>
        <w:rPr>
          <w:rFonts w:hint="eastAsia" w:ascii="宋体" w:hAnsi="宋体"/>
          <w:b/>
          <w:color w:val="auto"/>
          <w:sz w:val="24"/>
          <w:highlight w:val="none"/>
        </w:rPr>
        <w:t>7.响应文件的签署及规定。组成响应文件的各项资料均须遵守本条。</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（1）供应商应填写全称，同时加盖单位公章。</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（2）响应文件必须由法人代表或授权代表签字并加盖单位公章。</w:t>
      </w:r>
    </w:p>
    <w:p>
      <w:pPr>
        <w:autoSpaceDE w:val="0"/>
        <w:autoSpaceDN w:val="0"/>
        <w:adjustRightInd w:val="0"/>
        <w:spacing w:line="460" w:lineRule="exact"/>
        <w:ind w:firstLine="480" w:firstLineChars="200"/>
        <w:jc w:val="left"/>
        <w:rPr>
          <w:rFonts w:ascii="宋体" w:hAnsi="宋体"/>
          <w:color w:val="auto"/>
          <w:kern w:val="0"/>
          <w:sz w:val="24"/>
          <w:highlight w:val="none"/>
        </w:rPr>
      </w:pPr>
      <w:r>
        <w:rPr>
          <w:rFonts w:hint="eastAsia" w:ascii="宋体" w:hAnsi="宋体"/>
          <w:color w:val="auto"/>
          <w:sz w:val="24"/>
          <w:highlight w:val="none"/>
        </w:rPr>
        <w:t>（3）响应</w:t>
      </w:r>
      <w:r>
        <w:rPr>
          <w:rFonts w:hint="eastAsia" w:ascii="宋体" w:hAnsi="宋体" w:cs="宋体"/>
          <w:color w:val="auto"/>
          <w:kern w:val="0"/>
          <w:sz w:val="24"/>
          <w:highlight w:val="none"/>
        </w:rPr>
        <w:t>文件须正本一份和副本二份。副本可以用正本的复印件。如果正本与副本不符，以正本为准。</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（4）响应文件必须用不退色墨水填写或打印，注明“正本”和“副本”字样。</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（5）响应文件不得涂改和增删，如有修改错漏处，必须由同一签署人签字或盖章。</w:t>
      </w:r>
    </w:p>
    <w:p>
      <w:pPr>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（6）响应文件因字迹潦草、表达不清或材料模糊无法辨认所引起的后果由供应商负责。</w:t>
      </w:r>
    </w:p>
    <w:p>
      <w:pPr>
        <w:snapToGrid w:val="0"/>
        <w:spacing w:line="460" w:lineRule="exact"/>
        <w:rPr>
          <w:rFonts w:ascii="宋体" w:hAnsi="宋体"/>
          <w:b/>
          <w:color w:val="auto"/>
          <w:sz w:val="24"/>
          <w:highlight w:val="none"/>
        </w:rPr>
      </w:pPr>
      <w:bookmarkStart w:id="85" w:name="_Toc8509"/>
      <w:bookmarkStart w:id="86" w:name="_Toc29309"/>
      <w:bookmarkStart w:id="87" w:name="_Toc21930"/>
      <w:bookmarkStart w:id="88" w:name="_Toc13408"/>
      <w:bookmarkStart w:id="89" w:name="_Toc10280"/>
      <w:r>
        <w:rPr>
          <w:rFonts w:hint="eastAsia" w:ascii="宋体" w:hAnsi="宋体"/>
          <w:b/>
          <w:color w:val="auto"/>
          <w:sz w:val="24"/>
          <w:highlight w:val="none"/>
        </w:rPr>
        <w:t>四、响应文件的递交</w:t>
      </w:r>
      <w:bookmarkEnd w:id="85"/>
      <w:bookmarkEnd w:id="86"/>
      <w:bookmarkEnd w:id="87"/>
      <w:bookmarkEnd w:id="88"/>
      <w:bookmarkEnd w:id="89"/>
    </w:p>
    <w:p>
      <w:pPr>
        <w:snapToGrid w:val="0"/>
        <w:spacing w:line="460" w:lineRule="exact"/>
        <w:ind w:firstLine="482" w:firstLineChars="200"/>
        <w:jc w:val="left"/>
        <w:rPr>
          <w:rFonts w:ascii="宋体" w:hAnsi="宋体"/>
          <w:b/>
          <w:color w:val="auto"/>
          <w:sz w:val="24"/>
          <w:highlight w:val="none"/>
        </w:rPr>
      </w:pPr>
      <w:r>
        <w:rPr>
          <w:rFonts w:hint="eastAsia" w:ascii="宋体" w:hAnsi="宋体"/>
          <w:b/>
          <w:color w:val="auto"/>
          <w:sz w:val="24"/>
          <w:highlight w:val="none"/>
        </w:rPr>
        <w:t>1.响应</w:t>
      </w:r>
      <w:r>
        <w:rPr>
          <w:rFonts w:hint="eastAsia" w:ascii="宋体" w:hAnsi="宋体" w:cs="宋体"/>
          <w:b/>
          <w:color w:val="auto"/>
          <w:kern w:val="0"/>
          <w:sz w:val="24"/>
          <w:highlight w:val="none"/>
        </w:rPr>
        <w:t>文件须</w:t>
      </w:r>
      <w:r>
        <w:rPr>
          <w:rFonts w:hint="eastAsia" w:ascii="宋体" w:hAnsi="宋体"/>
          <w:b/>
          <w:color w:val="auto"/>
          <w:sz w:val="24"/>
          <w:highlight w:val="none"/>
        </w:rPr>
        <w:t>密封包装，并在封口处加盖单位公章。</w:t>
      </w:r>
      <w:r>
        <w:rPr>
          <w:rFonts w:hint="eastAsia" w:ascii="宋体" w:hAnsi="宋体"/>
          <w:color w:val="auto"/>
          <w:sz w:val="24"/>
          <w:highlight w:val="none"/>
        </w:rPr>
        <w:t>封皮上信息应包含项目名称、供应商名称，并注明“X年X月X日X时前不得启封”字样。</w:t>
      </w:r>
    </w:p>
    <w:p>
      <w:pPr>
        <w:snapToGrid w:val="0"/>
        <w:spacing w:line="460" w:lineRule="exact"/>
        <w:ind w:firstLine="480" w:firstLineChars="200"/>
        <w:jc w:val="left"/>
        <w:rPr>
          <w:rFonts w:ascii="宋体" w:hAnsi="宋体" w:cs="宋体"/>
          <w:b/>
          <w:color w:val="auto"/>
          <w:sz w:val="24"/>
          <w:highlight w:val="none"/>
        </w:rPr>
      </w:pPr>
      <w:r>
        <w:rPr>
          <w:rFonts w:hint="eastAsia" w:ascii="宋体" w:hAnsi="宋体" w:cs="宋体"/>
          <w:color w:val="auto"/>
          <w:sz w:val="24"/>
          <w:highlight w:val="none"/>
        </w:rPr>
        <w:t>2.在响应文件提交截止时间前提交密封的响应文件（一正二副）、</w:t>
      </w:r>
      <w:r>
        <w:rPr>
          <w:rFonts w:hint="eastAsia" w:ascii="宋体" w:hAnsi="宋体" w:cs="宋体"/>
          <w:bCs/>
          <w:color w:val="auto"/>
          <w:sz w:val="24"/>
          <w:highlight w:val="none"/>
        </w:rPr>
        <w:t>U盘或光盘一份（</w:t>
      </w:r>
      <w:r>
        <w:rPr>
          <w:rFonts w:hint="eastAsia" w:ascii="宋体" w:hAnsi="宋体" w:cs="宋体"/>
          <w:color w:val="auto"/>
          <w:sz w:val="24"/>
          <w:szCs w:val="22"/>
          <w:highlight w:val="none"/>
        </w:rPr>
        <w:t>内刻录电子标书，电子标书格式：加盖公章后的彩色扫描PDF文件，电子标书内容须与响应文件正本一致</w:t>
      </w:r>
      <w:r>
        <w:rPr>
          <w:rFonts w:hint="eastAsia" w:ascii="宋体" w:hAnsi="宋体" w:cs="宋体"/>
          <w:bCs/>
          <w:color w:val="auto"/>
          <w:sz w:val="24"/>
          <w:highlight w:val="none"/>
        </w:rPr>
        <w:t>）。</w:t>
      </w:r>
    </w:p>
    <w:p>
      <w:pPr>
        <w:snapToGrid w:val="0"/>
        <w:spacing w:line="46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3.拒绝响应文件的情形</w:t>
      </w:r>
    </w:p>
    <w:p>
      <w:pPr>
        <w:snapToGri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（1）未在提交响应文件截止时间前送达指定地点的；</w:t>
      </w:r>
    </w:p>
    <w:p>
      <w:pPr>
        <w:snapToGrid w:val="0"/>
        <w:spacing w:line="460" w:lineRule="exact"/>
        <w:ind w:firstLine="480" w:firstLineChars="200"/>
        <w:rPr>
          <w:rFonts w:ascii="宋体" w:hAnsi="宋体"/>
          <w:b/>
          <w:color w:val="auto"/>
          <w:sz w:val="24"/>
          <w:highlight w:val="none"/>
        </w:rPr>
      </w:pPr>
      <w:r>
        <w:rPr>
          <w:rFonts w:hint="eastAsia" w:ascii="宋体" w:hAnsi="宋体" w:cs="宋体"/>
          <w:color w:val="auto"/>
          <w:sz w:val="24"/>
          <w:highlight w:val="none"/>
        </w:rPr>
        <w:t>（2）未按询价文件的要求密封和标记的。</w:t>
      </w:r>
    </w:p>
    <w:p>
      <w:pPr>
        <w:snapToGrid w:val="0"/>
        <w:spacing w:line="460" w:lineRule="exact"/>
        <w:rPr>
          <w:rFonts w:ascii="宋体" w:hAnsi="宋体"/>
          <w:b/>
          <w:color w:val="auto"/>
          <w:sz w:val="24"/>
          <w:highlight w:val="none"/>
        </w:rPr>
      </w:pPr>
      <w:bookmarkStart w:id="90" w:name="_Toc3195"/>
      <w:bookmarkStart w:id="91" w:name="_Toc30385"/>
      <w:bookmarkStart w:id="92" w:name="_Toc28220"/>
      <w:bookmarkStart w:id="93" w:name="_Toc18695"/>
      <w:bookmarkStart w:id="94" w:name="_Toc22966"/>
      <w:r>
        <w:rPr>
          <w:rFonts w:hint="eastAsia" w:ascii="宋体" w:hAnsi="宋体"/>
          <w:b/>
          <w:color w:val="auto"/>
          <w:sz w:val="24"/>
          <w:highlight w:val="none"/>
        </w:rPr>
        <w:t>五、</w:t>
      </w:r>
      <w:r>
        <w:rPr>
          <w:rFonts w:hint="eastAsia" w:ascii="宋体" w:hAnsi="宋体" w:cs="宋体"/>
          <w:b/>
          <w:color w:val="auto"/>
          <w:sz w:val="24"/>
          <w:highlight w:val="none"/>
        </w:rPr>
        <w:t>询价会议及评审</w:t>
      </w:r>
      <w:bookmarkEnd w:id="90"/>
      <w:bookmarkEnd w:id="91"/>
      <w:bookmarkEnd w:id="92"/>
      <w:bookmarkEnd w:id="93"/>
      <w:bookmarkEnd w:id="94"/>
    </w:p>
    <w:p>
      <w:pPr>
        <w:snapToGri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1.组建询价小组：根据项目特点从</w:t>
      </w:r>
      <w:r>
        <w:rPr>
          <w:rFonts w:hint="eastAsia" w:ascii="宋体" w:hAnsi="宋体" w:cs="宋体"/>
          <w:bCs/>
          <w:color w:val="auto"/>
          <w:kern w:val="0"/>
          <w:sz w:val="24"/>
          <w:highlight w:val="none"/>
        </w:rPr>
        <w:t>专家库中</w:t>
      </w:r>
      <w:r>
        <w:rPr>
          <w:rFonts w:hint="eastAsia" w:ascii="宋体" w:hAnsi="宋体" w:cs="宋体"/>
          <w:color w:val="auto"/>
          <w:sz w:val="24"/>
          <w:highlight w:val="none"/>
        </w:rPr>
        <w:t>随机抽取2人，采购人代表1人，共3人组成</w:t>
      </w:r>
      <w:r>
        <w:rPr>
          <w:rFonts w:hint="eastAsia" w:ascii="宋体" w:hAnsi="宋体" w:cs="宋体"/>
          <w:bCs/>
          <w:color w:val="auto"/>
          <w:kern w:val="0"/>
          <w:sz w:val="24"/>
          <w:highlight w:val="none"/>
        </w:rPr>
        <w:t>询价小组</w:t>
      </w:r>
      <w:r>
        <w:rPr>
          <w:rFonts w:hint="eastAsia" w:ascii="宋体" w:hAnsi="宋体" w:cs="宋体"/>
          <w:color w:val="auto"/>
          <w:sz w:val="24"/>
          <w:highlight w:val="none"/>
        </w:rPr>
        <w:t>。</w:t>
      </w:r>
    </w:p>
    <w:p>
      <w:pPr>
        <w:snapToGri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2.询价会议。</w:t>
      </w:r>
    </w:p>
    <w:p>
      <w:pPr>
        <w:snapToGri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（1）采购人按询价文件规定的时间、地点组织询价会议。询价会议由采购代理机构主持，采购人代表、供应商代表（如有）及有关工作人员参加。</w:t>
      </w:r>
    </w:p>
    <w:p>
      <w:pPr>
        <w:snapToGri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（2）开启响应文件前分别查验各响应文件密封情况，确认无误后拆封。</w:t>
      </w:r>
    </w:p>
    <w:p>
      <w:pPr>
        <w:snapToGri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3.评审。</w:t>
      </w:r>
    </w:p>
    <w:p>
      <w:pPr>
        <w:snapToGri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（1）资格审查：询价会议结束后，询价小组依法对供应商的资格进行审查，未通过资格审查的响应文件无效，审查标准详见第四章。</w:t>
      </w:r>
    </w:p>
    <w:p>
      <w:pPr>
        <w:snapToGri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（2）符合性审查：询价小组对符合资格的供应商的响应文件进行符合性审查，未通过符合性审查的响应文件无效，审查标准详见第四章。</w:t>
      </w:r>
    </w:p>
    <w:p>
      <w:pPr>
        <w:snapToGri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（3）编写评审报告：询价小组应当根据评审记录和评审结果编写评审报告。</w:t>
      </w:r>
    </w:p>
    <w:p>
      <w:pPr>
        <w:spacing w:line="460" w:lineRule="exact"/>
        <w:ind w:firstLine="482" w:firstLineChars="200"/>
        <w:rPr>
          <w:rFonts w:ascii="宋体" w:hAnsi="宋体" w:cs="宋体"/>
          <w:color w:val="auto"/>
          <w:sz w:val="24"/>
          <w:highlight w:val="none"/>
        </w:rPr>
      </w:pPr>
      <w:bookmarkStart w:id="95" w:name="_Toc5320"/>
      <w:bookmarkStart w:id="96" w:name="_Toc31393"/>
      <w:bookmarkStart w:id="97" w:name="_Toc1880"/>
      <w:bookmarkStart w:id="98" w:name="_Toc14737"/>
      <w:bookmarkStart w:id="99" w:name="_Toc9454"/>
      <w:r>
        <w:rPr>
          <w:rFonts w:hint="eastAsia"/>
          <w:b/>
          <w:bCs/>
          <w:color w:val="auto"/>
          <w:sz w:val="24"/>
          <w:highlight w:val="none"/>
        </w:rPr>
        <w:t>说明：询价过程全程录音录像，相关影像资料将刻盘、存档。</w:t>
      </w:r>
    </w:p>
    <w:p>
      <w:pPr>
        <w:spacing w:line="460" w:lineRule="exact"/>
        <w:rPr>
          <w:rFonts w:ascii="宋体" w:hAnsi="宋体"/>
          <w:b/>
          <w:color w:val="auto"/>
          <w:sz w:val="24"/>
          <w:highlight w:val="none"/>
        </w:rPr>
      </w:pPr>
      <w:r>
        <w:rPr>
          <w:rFonts w:hint="eastAsia" w:ascii="宋体" w:hAnsi="宋体" w:cs="宋体"/>
          <w:b/>
          <w:color w:val="auto"/>
          <w:kern w:val="0"/>
          <w:sz w:val="24"/>
          <w:highlight w:val="none"/>
        </w:rPr>
        <w:t>六、评定</w:t>
      </w:r>
      <w:r>
        <w:rPr>
          <w:rFonts w:hint="eastAsia" w:ascii="宋体" w:hAnsi="宋体"/>
          <w:b/>
          <w:color w:val="auto"/>
          <w:sz w:val="24"/>
          <w:highlight w:val="none"/>
        </w:rPr>
        <w:t>成交的标准</w:t>
      </w:r>
      <w:bookmarkEnd w:id="95"/>
      <w:bookmarkEnd w:id="96"/>
      <w:bookmarkEnd w:id="97"/>
      <w:bookmarkEnd w:id="98"/>
      <w:bookmarkEnd w:id="99"/>
    </w:p>
    <w:p>
      <w:pPr>
        <w:spacing w:line="460" w:lineRule="exact"/>
        <w:ind w:firstLine="480" w:firstLineChars="200"/>
        <w:rPr>
          <w:rFonts w:ascii="宋体" w:hAnsi="宋体"/>
          <w:color w:val="auto"/>
          <w:sz w:val="24"/>
          <w:highlight w:val="none"/>
        </w:rPr>
      </w:pPr>
      <w:r>
        <w:rPr>
          <w:rFonts w:hint="eastAsia" w:ascii="宋体" w:hAnsi="宋体" w:cs="宋体"/>
          <w:color w:val="auto"/>
          <w:sz w:val="24"/>
          <w:highlight w:val="none"/>
        </w:rPr>
        <w:t>询价</w:t>
      </w:r>
      <w:r>
        <w:rPr>
          <w:rFonts w:hint="eastAsia" w:ascii="宋体" w:hAnsi="宋体"/>
          <w:color w:val="auto"/>
          <w:sz w:val="24"/>
          <w:highlight w:val="none"/>
        </w:rPr>
        <w:t>小组从质量和服务均能满足询价文件实质性响应要求的供应商中，按照最后报价由低到高的顺序推荐成交候选人。</w:t>
      </w:r>
    </w:p>
    <w:p>
      <w:pPr>
        <w:spacing w:line="460" w:lineRule="exact"/>
        <w:rPr>
          <w:rFonts w:ascii="宋体" w:hAnsi="宋体" w:cs="宋体"/>
          <w:b/>
          <w:color w:val="auto"/>
          <w:sz w:val="24"/>
          <w:highlight w:val="none"/>
        </w:rPr>
      </w:pPr>
      <w:bookmarkStart w:id="100" w:name="_Toc1921"/>
      <w:bookmarkStart w:id="101" w:name="_Toc18348"/>
      <w:bookmarkStart w:id="102" w:name="_Toc6732"/>
      <w:bookmarkStart w:id="103" w:name="_Toc21344"/>
      <w:bookmarkStart w:id="104" w:name="_Toc25474"/>
      <w:r>
        <w:rPr>
          <w:rFonts w:hint="eastAsia" w:ascii="宋体" w:hAnsi="宋体" w:cs="宋体"/>
          <w:b/>
          <w:color w:val="auto"/>
          <w:sz w:val="24"/>
          <w:highlight w:val="none"/>
        </w:rPr>
        <w:t>七、询价终止</w:t>
      </w:r>
      <w:bookmarkEnd w:id="100"/>
      <w:bookmarkEnd w:id="101"/>
      <w:bookmarkEnd w:id="102"/>
      <w:bookmarkEnd w:id="103"/>
      <w:bookmarkEnd w:id="104"/>
    </w:p>
    <w:p>
      <w:pPr>
        <w:spacing w:line="4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出现下列情形之一的，采购人或者采购代理机构应当终止询价采购活动，发布项目终止公告并说明原因，重新开展采购活动：</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1.因情况变化，不再符合规定的询价采购方式适用的情形的；</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2.出现影响采购公正的违法、违规行为的；</w:t>
      </w:r>
    </w:p>
    <w:p>
      <w:pPr>
        <w:spacing w:line="460" w:lineRule="exact"/>
        <w:ind w:firstLine="480" w:firstLineChars="200"/>
        <w:rPr>
          <w:rFonts w:ascii="宋体" w:hAnsi="宋体"/>
          <w:b/>
          <w:color w:val="auto"/>
          <w:sz w:val="24"/>
          <w:highlight w:val="none"/>
        </w:rPr>
      </w:pPr>
      <w:r>
        <w:rPr>
          <w:rFonts w:hint="eastAsia" w:ascii="宋体" w:hAnsi="宋体" w:cs="宋体"/>
          <w:color w:val="auto"/>
          <w:sz w:val="24"/>
          <w:highlight w:val="none"/>
        </w:rPr>
        <w:t>3.在采购过程中符合竞争要求的供应商或者报价未超过采购预算的供应商不足3家的。</w:t>
      </w:r>
    </w:p>
    <w:p>
      <w:pPr>
        <w:snapToGrid w:val="0"/>
        <w:spacing w:line="460" w:lineRule="exact"/>
        <w:rPr>
          <w:rFonts w:ascii="宋体" w:hAnsi="宋体"/>
          <w:b/>
          <w:color w:val="auto"/>
          <w:sz w:val="24"/>
          <w:highlight w:val="none"/>
        </w:rPr>
      </w:pPr>
      <w:bookmarkStart w:id="105" w:name="_Toc21620"/>
      <w:bookmarkStart w:id="106" w:name="_Toc27828"/>
      <w:bookmarkStart w:id="107" w:name="_Toc8369"/>
      <w:bookmarkStart w:id="108" w:name="_Toc16949"/>
      <w:bookmarkStart w:id="109" w:name="_Toc15014"/>
      <w:r>
        <w:rPr>
          <w:rFonts w:hint="eastAsia" w:ascii="宋体" w:hAnsi="宋体"/>
          <w:b/>
          <w:color w:val="auto"/>
          <w:sz w:val="24"/>
          <w:highlight w:val="none"/>
        </w:rPr>
        <w:t>八、</w:t>
      </w:r>
      <w:r>
        <w:rPr>
          <w:rFonts w:hint="eastAsia" w:ascii="宋体" w:hAnsi="宋体" w:cs="宋体"/>
          <w:b/>
          <w:color w:val="auto"/>
          <w:sz w:val="24"/>
          <w:highlight w:val="none"/>
        </w:rPr>
        <w:t>成交结果事项</w:t>
      </w:r>
      <w:bookmarkEnd w:id="105"/>
      <w:bookmarkEnd w:id="106"/>
      <w:bookmarkEnd w:id="107"/>
      <w:bookmarkEnd w:id="108"/>
      <w:bookmarkEnd w:id="109"/>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（一）成交供应商的确定</w:t>
      </w:r>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1.采购代理机构在评审结束后2个工作日内将评审报告送采购人确认。</w:t>
      </w:r>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2.采购人在收到评审报告后5个工作日内，从评审报告提出的成交候选供应商，按照评审报告中推荐的成交候选供应商顺序确定成交供应商。</w:t>
      </w:r>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（二）成交通知书</w:t>
      </w:r>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1.成交供应商确定后，成交结果由采购代理机构</w:t>
      </w:r>
      <w:r>
        <w:rPr>
          <w:rFonts w:hint="eastAsia" w:ascii="宋体" w:hAnsi="宋体"/>
          <w:color w:val="auto"/>
          <w:sz w:val="24"/>
          <w:highlight w:val="none"/>
        </w:rPr>
        <w:t>在</w:t>
      </w:r>
      <w:r>
        <w:rPr>
          <w:rFonts w:hint="eastAsia" w:ascii="宋体" w:hAnsi="宋体" w:cs="宋体"/>
          <w:color w:val="auto"/>
          <w:sz w:val="24"/>
          <w:highlight w:val="none"/>
        </w:rPr>
        <w:t>中国招标投标公共服务平台、招标网上</w:t>
      </w:r>
      <w:r>
        <w:rPr>
          <w:rFonts w:hint="eastAsia" w:ascii="宋体" w:hAnsi="宋体" w:cs="宋体"/>
          <w:color w:val="auto"/>
          <w:kern w:val="0"/>
          <w:sz w:val="24"/>
          <w:highlight w:val="none"/>
        </w:rPr>
        <w:t>进行公告；</w:t>
      </w:r>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2.公告期1个工作日，发出成交结果公告的同时向成交供应商发出成交通知书，向未成交的供应商发出评审结果通知书；</w:t>
      </w:r>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（三）签订合同</w:t>
      </w:r>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1.采购人与成交供应商应当在成交通知书发出之日起30日内，按照询价文件和成交供应商响应文件的约定，与成交供应商签订书面合同。所签订的合同不得对询价文件和成交供应商响应文件作实质性修改。</w:t>
      </w:r>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2.《成交通知书》将作为签订合同的重要依据，是合同的一个组成部分，对采购方和成交方具有法律效力。</w:t>
      </w:r>
    </w:p>
    <w:p>
      <w:pPr>
        <w:snapToGrid w:val="0"/>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3.成交供应商的响应文件及评审过程中有关澄清文件均作为合同附件。</w:t>
      </w:r>
    </w:p>
    <w:p>
      <w:pPr>
        <w:pStyle w:val="15"/>
        <w:spacing w:after="0" w:line="460" w:lineRule="exact"/>
        <w:ind w:left="0" w:leftChars="0" w:firstLine="0" w:firstLineChars="0"/>
        <w:rPr>
          <w:rFonts w:ascii="宋体" w:hAnsi="宋体" w:cs="宋体"/>
          <w:b/>
          <w:bCs/>
          <w:color w:val="auto"/>
          <w:sz w:val="24"/>
          <w:highlight w:val="none"/>
        </w:rPr>
      </w:pPr>
      <w:bookmarkStart w:id="110" w:name="_Toc18828"/>
      <w:bookmarkStart w:id="111" w:name="_Toc22133"/>
      <w:bookmarkStart w:id="112" w:name="_Toc1192"/>
      <w:bookmarkStart w:id="113" w:name="_Toc3093"/>
      <w:bookmarkStart w:id="114" w:name="_Toc16959"/>
      <w:bookmarkStart w:id="115" w:name="_Toc18902"/>
      <w:bookmarkStart w:id="116" w:name="_Toc20084"/>
      <w:r>
        <w:rPr>
          <w:rFonts w:hint="eastAsia" w:ascii="宋体" w:hAnsi="宋体" w:cs="宋体"/>
          <w:b/>
          <w:bCs/>
          <w:color w:val="auto"/>
          <w:sz w:val="24"/>
          <w:highlight w:val="none"/>
        </w:rPr>
        <w:t>九、</w:t>
      </w:r>
      <w:bookmarkEnd w:id="110"/>
      <w:bookmarkEnd w:id="111"/>
      <w:bookmarkEnd w:id="112"/>
      <w:bookmarkEnd w:id="113"/>
      <w:bookmarkEnd w:id="114"/>
      <w:r>
        <w:rPr>
          <w:rFonts w:hint="eastAsia" w:ascii="宋体" w:hAnsi="宋体" w:cs="宋体"/>
          <w:b/>
          <w:bCs/>
          <w:color w:val="auto"/>
          <w:sz w:val="24"/>
          <w:highlight w:val="none"/>
        </w:rPr>
        <w:t>价格评审优惠政策</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1.小型和微型企业</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根据《关于印发&lt;政府采购促进中小企业发展管理办法&gt;的通知》（财库〔2020〕46号）的规定，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（2）符合中小企业划分标准的个体工商户，在政府采购活动中视同中小企业。</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在政府采购活动中，供应商提供的货物符合下列情形的，享受《关于印发&lt;政府采购促进中小企业发展管理办法&gt;的通知》（财库〔2020〕46号）规定的中小企业扶持政策：货物由中小企业制造，即货物由中小企业生产且使用该中小企业商号或者注册商标。</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（4）在货物采购项目中，供应商提供的货物既有中小企业制造货物，也有大型企业制造货物的，不享受本办法规定的中小企业扶持政策。</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中小企业参加政府采购活动，应当出具《关于印发&lt;政府采购促进中小企业发展管理办法&gt;的通知》（财库〔2020〕46号）规定的《中小企业声明函》（详见响应文件格式），否则不得享受相关中小企业扶持政策。</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依据《关于印发&lt;政府采购促进中小企业发展管理办法&gt;的通知》（财库〔2020〕46号）规定享受扶持政策获得政府采购合同的，小微企业不得将合同分包给大中型企业，中型企业不得将合同分包给大型企业。</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（6）根据《关于进一步加大政府采购支持中小企业力度的通知》（</w:t>
      </w:r>
      <w:r>
        <w:rPr>
          <w:rFonts w:hint="eastAsia" w:ascii="仿宋" w:hAnsi="仿宋" w:eastAsia="仿宋" w:cs="仿宋"/>
          <w:color w:val="auto"/>
          <w:kern w:val="0"/>
          <w:sz w:val="24"/>
          <w:highlight w:val="none"/>
          <w:shd w:val="clear" w:color="auto" w:fill="FFFFFF"/>
          <w:lang w:bidi="ar"/>
        </w:rPr>
        <w:t> </w:t>
      </w:r>
      <w:r>
        <w:rPr>
          <w:rFonts w:hint="eastAsia" w:ascii="宋体" w:hAnsi="宋体" w:cs="宋体"/>
          <w:color w:val="auto"/>
          <w:sz w:val="24"/>
          <w:highlight w:val="none"/>
        </w:rPr>
        <w:t>财库〔2022〕19号）规定，本项目针对小微企业报价给予10%的扣除，用扣除后的价格参与评审。</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即：评标价=报价×(1-10%)。</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8）成交供应商享受本办法规定的中小企业扶持政策的，采购人、采购代理机构应当随成交结果公开成交供应商的《中小企业声明函》。供应商按照本办法规定提供声明函内容不实的，属于提供虚假材料谋取成交，依照《中华人民共和国政府采购法》等国家有关规定追究相应责任。</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2.监狱企业</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根据《关于政府采购支持监狱企业发展有关问题的通知》（财库[2014]68号）的规定，监狱企业优惠政策，监狱企业参与本项目询价时，提供由省级以上监狱管理局、戒毒管理局（含新疆生产建设兵团）出具的属于监狱企业的证明文件的，视同小型、微型企业。</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3.残疾人福利性单位</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根据《关于促进残疾人就业政府采购政策的通知》（财库[2017]141号）的规定，残疾人福利性单位优惠政策，残疾人福利性单位参与本项目询价时，提供《残疾人福利性单位声明函》并对声明的真实性负责，视同小型、微型企业。</w:t>
      </w:r>
    </w:p>
    <w:p>
      <w:pPr>
        <w:spacing w:line="460" w:lineRule="exact"/>
        <w:ind w:firstLine="482" w:firstLineChars="200"/>
        <w:rPr>
          <w:rFonts w:ascii="宋体" w:hAnsi="宋体" w:cs="宋体"/>
          <w:b/>
          <w:bCs/>
          <w:color w:val="auto"/>
          <w:szCs w:val="21"/>
          <w:highlight w:val="none"/>
        </w:rPr>
      </w:pPr>
      <w:r>
        <w:rPr>
          <w:rFonts w:hint="eastAsia" w:ascii="宋体" w:hAnsi="宋体" w:cs="宋体"/>
          <w:b/>
          <w:bCs/>
          <w:color w:val="auto"/>
          <w:sz w:val="24"/>
          <w:highlight w:val="none"/>
        </w:rPr>
        <w:t>4.本项目所属行业：工业</w:t>
      </w:r>
    </w:p>
    <w:p>
      <w:pPr>
        <w:spacing w:line="46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划型标准：</w:t>
      </w:r>
    </w:p>
    <w:p>
      <w:pPr>
        <w:spacing w:line="460" w:lineRule="exact"/>
        <w:ind w:firstLine="482" w:firstLineChars="200"/>
        <w:rPr>
          <w:rFonts w:ascii="宋体" w:hAnsi="宋体" w:cs="宋体"/>
          <w:color w:val="auto"/>
          <w:sz w:val="24"/>
          <w:highlight w:val="none"/>
        </w:rPr>
      </w:pPr>
      <w:r>
        <w:rPr>
          <w:rFonts w:hint="eastAsia" w:ascii="宋体" w:hAnsi="宋体" w:cs="宋体"/>
          <w:b/>
          <w:bCs/>
          <w:color w:val="auto"/>
          <w:sz w:val="24"/>
          <w:highlight w:val="none"/>
        </w:rPr>
        <w:t>工业。</w:t>
      </w:r>
      <w:r>
        <w:rPr>
          <w:rFonts w:hint="eastAsia" w:ascii="宋体" w:hAnsi="宋体" w:cs="宋体"/>
          <w:color w:val="auto"/>
          <w:sz w:val="24"/>
          <w:highlight w:val="none"/>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widowControl/>
        <w:spacing w:line="460" w:lineRule="exact"/>
        <w:ind w:firstLine="240" w:firstLineChars="100"/>
        <w:jc w:val="left"/>
        <w:rPr>
          <w:rFonts w:ascii="宋体" w:hAnsi="宋体" w:cs="宋体"/>
          <w:b/>
          <w:bCs/>
          <w:color w:val="auto"/>
          <w:sz w:val="24"/>
          <w:highlight w:val="none"/>
        </w:rPr>
      </w:pPr>
      <w:r>
        <w:rPr>
          <w:rFonts w:hint="eastAsia" w:ascii="宋体" w:hAnsi="宋体" w:cs="宋体"/>
          <w:color w:val="auto"/>
          <w:sz w:val="24"/>
          <w:highlight w:val="none"/>
        </w:rPr>
        <w:t>供应商对本企业类型判断有困难的，可以登录工业和信息化部官方网站，在“公共服务平台”模块中，使用“中小企业规模类型自测小程序”进行测定。</w:t>
      </w:r>
    </w:p>
    <w:p>
      <w:pPr>
        <w:widowControl/>
        <w:spacing w:line="460" w:lineRule="exact"/>
        <w:jc w:val="left"/>
        <w:rPr>
          <w:rFonts w:ascii="宋体" w:hAnsi="宋体" w:cs="宋体"/>
          <w:color w:val="auto"/>
          <w:kern w:val="0"/>
          <w:sz w:val="24"/>
          <w:highlight w:val="none"/>
        </w:rPr>
      </w:pPr>
      <w:r>
        <w:rPr>
          <w:rFonts w:hint="eastAsia" w:ascii="宋体" w:hAnsi="宋体" w:cs="宋体"/>
          <w:b/>
          <w:bCs/>
          <w:color w:val="auto"/>
          <w:sz w:val="24"/>
          <w:highlight w:val="none"/>
        </w:rPr>
        <w:t>十、优先采购政策</w:t>
      </w:r>
    </w:p>
    <w:p>
      <w:pPr>
        <w:spacing w:line="46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 xml:space="preserve">根据《财政部 发展改革委 生态环境部 市场监管总局关于调整优化节能产品、环境标志产品政府采购执行机制的通知》(财库〔2019〕9号)要求，所报产品属于环境标志产品政府采购品目清单、节能产品政府采购品目清单范围内未标注“★”的，应当依据国家确定的认证机构出具的、处于有效期之内的节能产品、环境标志产品认证证书，对获得证书的产品实施政府优先采购。 </w:t>
      </w:r>
      <w:r>
        <w:rPr>
          <w:rFonts w:hint="eastAsia" w:ascii="宋体" w:hAnsi="宋体" w:cs="宋体"/>
          <w:b/>
          <w:bCs/>
          <w:color w:val="auto"/>
          <w:kern w:val="0"/>
          <w:sz w:val="24"/>
          <w:highlight w:val="none"/>
        </w:rPr>
        <w:t>需提供国家确定的认证机构出具的、处于有效期之内的节能产品、环境标志产品认证证书或“中国政府采购网”的节能、环境标志产品查询（http://www.ccgp.gov.cn/jnhb/jnhbqd/）结果截图。</w:t>
      </w:r>
    </w:p>
    <w:bookmarkEnd w:id="115"/>
    <w:bookmarkEnd w:id="116"/>
    <w:p>
      <w:pPr>
        <w:spacing w:line="460" w:lineRule="exact"/>
        <w:rPr>
          <w:rFonts w:ascii="宋体" w:hAnsi="宋体" w:cs="宋体"/>
          <w:b/>
          <w:color w:val="auto"/>
          <w:sz w:val="24"/>
          <w:highlight w:val="none"/>
        </w:rPr>
      </w:pPr>
      <w:bookmarkStart w:id="117" w:name="_Toc13876"/>
      <w:bookmarkStart w:id="118" w:name="_Toc7385"/>
      <w:bookmarkStart w:id="119" w:name="_Toc84"/>
      <w:bookmarkStart w:id="120" w:name="_Toc14172"/>
      <w:bookmarkStart w:id="121" w:name="_Toc3289"/>
      <w:r>
        <w:rPr>
          <w:rFonts w:hint="eastAsia" w:ascii="宋体" w:hAnsi="宋体" w:cs="宋体"/>
          <w:b/>
          <w:color w:val="auto"/>
          <w:sz w:val="24"/>
          <w:highlight w:val="none"/>
        </w:rPr>
        <w:t>十一、质疑与投诉</w:t>
      </w:r>
      <w:bookmarkEnd w:id="117"/>
      <w:bookmarkEnd w:id="118"/>
      <w:bookmarkEnd w:id="119"/>
      <w:bookmarkEnd w:id="120"/>
      <w:bookmarkEnd w:id="121"/>
    </w:p>
    <w:p>
      <w:pPr>
        <w:spacing w:line="46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（一）质疑</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应商认为询价文件、采购过程或者成交结果使自己的权益受到损害的，可以在知道或者应知其权益受到损害之日起7个工作日内，以书面形式向采购人、采购代理机构提出质疑。供应商在法定质疑期内一次性提出针对同一采购程序环节的质疑。</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2.提出质疑的供应商（以下简称质疑供应商）应当是参与所质疑项目采购活动的供应商。</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潜在供应商已依法获取其可质疑的询价文件的，可以对该文件提出质疑。对询价文件提出质疑的，应当在获取询价文件或者询价文件公告期限届满之日起7个工作日内提出。</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3.供应商提出质疑应当提交质疑函和必要的证明材料。质疑函应当包括下列内容：</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（1）供应商的姓名或者名称、地址、邮编、联系人及联系电话；</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（2）质疑项目的名称、编号；</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（3）具体、明确的质疑事项和与质疑事项相关的请求；</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（4）事实依据；</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（5）必要的法律依据；</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（6）提出质疑的日期。</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供应商为自然人的，应当由本人签字；供应商为法人或者其他组织的，应当由法定代表人、主要负责人，或者其授权代表签字或者盖章，并加盖公章。</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4.接收质疑函的方式、联系电话和通讯地址</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对询价文件、采购过程或者成交结果有质疑的应以书面形式递交至德宏州浩创工程管理服务有限公司，地址：德宏州芒市阿露窝罗路25号，联系电话：0692-2129529。</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5.采购人、采购代理机构不得拒收质疑供应商在法定质疑期内发出的质疑函，应当在收到质疑函后7个工作日内作出答复，并以书面形式通知质疑供应商和其他有关供应商。</w:t>
      </w:r>
    </w:p>
    <w:p>
      <w:pPr>
        <w:spacing w:line="460" w:lineRule="exact"/>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（二）投诉</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1.质疑供应商对采购人、采购代理机构的答复不满意，或者采购人、采购代理机构未在规定时间内作出答复的，可以在答复期满后15个工作日内同级财政部门提起投诉。</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2.投诉人投诉时,应当提交投诉书和必要的证明材料，并按照被投诉采购人、采购代理机构（以下简称被投诉人）和与投诉事项有关的供应商数量提供投诉书的副本。投诉书应当包括下列内容：</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（1）投诉人和被投诉人的姓名或者名称、通讯地址、邮编、联系人及联系电话；</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（2）质疑和质疑答复情况说明及相关证明材料；</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（3）具体、明确的投诉事项和与投诉事项相关的投诉请求；</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（4）事实依据；</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（5）法律依据；</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（6）提起投诉的日期。</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投诉人为自然人的，应当由本人签字；投诉人为法人或者其他组织的，应当由法定代表人、主要负责人，或者其授权代表签字或者盖章，并加盖公章。</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3.投诉人提起投诉应当符合下列条件：</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（1）提起投诉前已依法进行质疑；</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（2）投诉书内容符合本办法的规定；</w:t>
      </w:r>
    </w:p>
    <w:p>
      <w:pPr>
        <w:snapToGrid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（3）在投诉有效期限内提起投诉；</w:t>
      </w:r>
    </w:p>
    <w:p>
      <w:pPr>
        <w:snapToGrid w:val="0"/>
        <w:spacing w:line="460" w:lineRule="exact"/>
        <w:ind w:firstLine="480" w:firstLineChars="200"/>
        <w:rPr>
          <w:rFonts w:ascii="宋体" w:hAnsi="宋体" w:cs="宋体"/>
          <w:color w:val="auto"/>
          <w:sz w:val="24"/>
          <w:szCs w:val="22"/>
          <w:highlight w:val="none"/>
        </w:rPr>
      </w:pPr>
      <w:r>
        <w:rPr>
          <w:rFonts w:hint="eastAsia" w:ascii="宋体" w:hAnsi="宋体" w:cs="宋体"/>
          <w:color w:val="auto"/>
          <w:sz w:val="24"/>
          <w:highlight w:val="none"/>
        </w:rPr>
        <w:t>（4）</w:t>
      </w:r>
      <w:r>
        <w:rPr>
          <w:rFonts w:hint="eastAsia" w:ascii="宋体" w:hAnsi="宋体" w:cs="宋体"/>
          <w:color w:val="auto"/>
          <w:sz w:val="24"/>
          <w:szCs w:val="22"/>
          <w:highlight w:val="none"/>
        </w:rPr>
        <w:t>同一投诉事项未经财政部门投诉处理；</w:t>
      </w:r>
    </w:p>
    <w:p>
      <w:pPr>
        <w:snapToGrid w:val="0"/>
        <w:spacing w:line="460" w:lineRule="exact"/>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（5）财政部规定的其他条件。</w:t>
      </w:r>
    </w:p>
    <w:p>
      <w:pPr>
        <w:widowControl/>
        <w:spacing w:line="460" w:lineRule="exact"/>
        <w:ind w:firstLine="480" w:firstLineChars="200"/>
        <w:jc w:val="left"/>
        <w:rPr>
          <w:color w:val="auto"/>
          <w:highlight w:val="none"/>
        </w:rPr>
      </w:pPr>
      <w:r>
        <w:rPr>
          <w:rFonts w:hint="eastAsia" w:ascii="宋体" w:hAnsi="宋体" w:cs="宋体"/>
          <w:color w:val="auto"/>
          <w:sz w:val="24"/>
          <w:szCs w:val="22"/>
          <w:highlight w:val="none"/>
        </w:rPr>
        <w:t>4.供应商投诉的事项不得超出已质疑事项的范围，但基于质疑答复内容提出的投诉事项除外。</w:t>
      </w:r>
    </w:p>
    <w:p>
      <w:pPr>
        <w:rPr>
          <w:rStyle w:val="78"/>
          <w:rFonts w:ascii="宋体" w:hAnsi="宋体"/>
          <w:color w:val="auto"/>
          <w:sz w:val="28"/>
          <w:szCs w:val="28"/>
          <w:highlight w:val="none"/>
        </w:rPr>
      </w:pPr>
      <w:bookmarkStart w:id="122" w:name="_Toc30796"/>
      <w:bookmarkStart w:id="123" w:name="_Toc21071"/>
      <w:bookmarkStart w:id="124" w:name="_Toc11483"/>
      <w:bookmarkStart w:id="125" w:name="_Toc27917"/>
      <w:bookmarkStart w:id="126" w:name="_Toc17350"/>
      <w:bookmarkStart w:id="127" w:name="_Toc24853"/>
      <w:bookmarkStart w:id="128" w:name="_Toc14823"/>
      <w:bookmarkStart w:id="129" w:name="_Toc20184"/>
      <w:bookmarkStart w:id="130" w:name="_Toc16744"/>
      <w:r>
        <w:rPr>
          <w:rStyle w:val="78"/>
          <w:rFonts w:hint="eastAsia" w:ascii="宋体" w:hAnsi="宋体"/>
          <w:color w:val="auto"/>
          <w:sz w:val="28"/>
          <w:szCs w:val="28"/>
          <w:highlight w:val="none"/>
        </w:rPr>
        <w:br w:type="page"/>
      </w:r>
    </w:p>
    <w:p>
      <w:pPr>
        <w:rPr>
          <w:rStyle w:val="78"/>
          <w:rFonts w:ascii="宋体" w:hAnsi="宋体"/>
          <w:color w:val="auto"/>
          <w:sz w:val="28"/>
          <w:szCs w:val="28"/>
          <w:highlight w:val="none"/>
        </w:rPr>
      </w:pPr>
      <w:r>
        <w:rPr>
          <w:rStyle w:val="78"/>
          <w:rFonts w:hint="eastAsia" w:ascii="宋体" w:hAnsi="宋体"/>
          <w:color w:val="auto"/>
          <w:sz w:val="28"/>
          <w:szCs w:val="28"/>
          <w:highlight w:val="none"/>
        </w:rPr>
        <w:t>附件</w:t>
      </w:r>
      <w:bookmarkEnd w:id="122"/>
      <w:r>
        <w:rPr>
          <w:rStyle w:val="78"/>
          <w:rFonts w:hint="eastAsia" w:ascii="宋体" w:hAnsi="宋体"/>
          <w:color w:val="auto"/>
          <w:sz w:val="28"/>
          <w:szCs w:val="28"/>
          <w:highlight w:val="none"/>
        </w:rPr>
        <w:t>：确认通知</w:t>
      </w:r>
      <w:bookmarkEnd w:id="123"/>
      <w:bookmarkEnd w:id="124"/>
    </w:p>
    <w:p>
      <w:pPr>
        <w:spacing w:line="32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pacing w:line="32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pacing w:line="360" w:lineRule="auto"/>
        <w:jc w:val="center"/>
        <w:rPr>
          <w:rFonts w:ascii="宋体" w:hAnsi="宋体"/>
          <w:b/>
          <w:bCs/>
          <w:color w:val="auto"/>
          <w:sz w:val="24"/>
          <w:highlight w:val="none"/>
        </w:rPr>
      </w:pPr>
      <w:r>
        <w:rPr>
          <w:rFonts w:hint="eastAsia" w:ascii="宋体" w:hAnsi="宋体"/>
          <w:b/>
          <w:bCs/>
          <w:color w:val="auto"/>
          <w:sz w:val="24"/>
          <w:highlight w:val="none"/>
        </w:rPr>
        <w:t>确认通知</w:t>
      </w:r>
    </w:p>
    <w:p>
      <w:pPr>
        <w:spacing w:line="360" w:lineRule="auto"/>
        <w:rPr>
          <w:rFonts w:ascii="宋体" w:hAnsi="宋体"/>
          <w:color w:val="auto"/>
          <w:sz w:val="24"/>
          <w:highlight w:val="none"/>
        </w:rPr>
      </w:pPr>
      <w:r>
        <w:rPr>
          <w:rFonts w:hint="eastAsia" w:ascii="宋体" w:hAnsi="宋体"/>
          <w:color w:val="auto"/>
          <w:sz w:val="24"/>
          <w:highlight w:val="none"/>
        </w:rPr>
        <w:t xml:space="preserve"> </w:t>
      </w:r>
    </w:p>
    <w:p>
      <w:pPr>
        <w:spacing w:line="360" w:lineRule="auto"/>
        <w:rPr>
          <w:rFonts w:ascii="宋体" w:hAnsi="宋体"/>
          <w:color w:val="auto"/>
          <w:sz w:val="24"/>
          <w:highlight w:val="none"/>
        </w:rPr>
      </w:pP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r>
        <w:rPr>
          <w:rFonts w:hint="eastAsia" w:ascii="宋体" w:hAnsi="宋体"/>
          <w:color w:val="auto"/>
          <w:sz w:val="24"/>
          <w:highlight w:val="none"/>
        </w:rPr>
        <w:t>(采购人名称)：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你方于</w:t>
      </w:r>
      <w:r>
        <w:rPr>
          <w:rFonts w:hint="eastAsia" w:ascii="宋体" w:hAnsi="宋体" w:eastAsia="Times New Roman"/>
          <w:color w:val="auto"/>
          <w:sz w:val="24"/>
          <w:highlight w:val="none"/>
          <w:u w:val="single"/>
        </w:rPr>
        <w:t xml:space="preserve">     </w:t>
      </w:r>
      <w:r>
        <w:rPr>
          <w:rFonts w:hint="eastAsia" w:ascii="宋体" w:hAnsi="宋体" w:eastAsia="Times New Roman"/>
          <w:color w:val="auto"/>
          <w:sz w:val="24"/>
          <w:highlight w:val="none"/>
        </w:rPr>
        <w:t>年</w:t>
      </w:r>
      <w:r>
        <w:rPr>
          <w:rFonts w:hint="eastAsia" w:ascii="宋体" w:hAnsi="宋体" w:eastAsia="Times New Roman"/>
          <w:color w:val="auto"/>
          <w:sz w:val="24"/>
          <w:highlight w:val="none"/>
          <w:u w:val="single"/>
        </w:rPr>
        <w:t xml:space="preserve">   </w:t>
      </w:r>
      <w:r>
        <w:rPr>
          <w:rFonts w:hint="eastAsia" w:ascii="宋体" w:hAnsi="宋体" w:eastAsia="Times New Roman"/>
          <w:color w:val="auto"/>
          <w:sz w:val="24"/>
          <w:highlight w:val="none"/>
        </w:rPr>
        <w:t>月</w:t>
      </w:r>
      <w:r>
        <w:rPr>
          <w:rFonts w:hint="eastAsia" w:ascii="宋体" w:hAnsi="宋体" w:eastAsia="Times New Roman"/>
          <w:color w:val="auto"/>
          <w:sz w:val="24"/>
          <w:highlight w:val="none"/>
          <w:u w:val="single"/>
        </w:rPr>
        <w:t xml:space="preserve">   </w:t>
      </w:r>
      <w:r>
        <w:rPr>
          <w:rFonts w:hint="eastAsia" w:ascii="宋体" w:hAnsi="宋体" w:eastAsia="Times New Roman"/>
          <w:color w:val="auto"/>
          <w:sz w:val="24"/>
          <w:highlight w:val="none"/>
        </w:rPr>
        <w:t>日</w:t>
      </w:r>
      <w:r>
        <w:rPr>
          <w:rFonts w:hint="eastAsia" w:ascii="宋体" w:hAnsi="宋体"/>
          <w:color w:val="auto"/>
          <w:sz w:val="24"/>
          <w:highlight w:val="none"/>
        </w:rPr>
        <w:t>发出的</w:t>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r>
        <w:rPr>
          <w:rFonts w:hint="eastAsia" w:ascii="宋体" w:hAnsi="宋体"/>
          <w:color w:val="auto"/>
          <w:sz w:val="24"/>
          <w:highlight w:val="none"/>
        </w:rPr>
        <w:t>(项目名称)关于</w:t>
      </w:r>
      <w:r>
        <w:rPr>
          <w:rFonts w:hint="eastAsia" w:ascii="宋体" w:hAnsi="宋体"/>
          <w:color w:val="auto"/>
          <w:sz w:val="24"/>
          <w:highlight w:val="none"/>
          <w:u w:val="single"/>
        </w:rPr>
        <w:t>询价文件的澄清/修改</w:t>
      </w:r>
      <w:r>
        <w:rPr>
          <w:rFonts w:hint="eastAsia" w:ascii="宋体" w:hAnsi="宋体"/>
          <w:color w:val="auto"/>
          <w:sz w:val="24"/>
          <w:highlight w:val="none"/>
        </w:rPr>
        <w:t>的通知，我方已于</w:t>
      </w:r>
      <w:r>
        <w:rPr>
          <w:rFonts w:hint="eastAsia" w:ascii="宋体" w:hAnsi="宋体" w:eastAsia="Times New Roman"/>
          <w:color w:val="auto"/>
          <w:sz w:val="24"/>
          <w:highlight w:val="none"/>
          <w:u w:val="single"/>
        </w:rPr>
        <w:t xml:space="preserve">     </w:t>
      </w:r>
      <w:r>
        <w:rPr>
          <w:rFonts w:hint="eastAsia" w:ascii="宋体" w:hAnsi="宋体" w:eastAsia="Times New Roman"/>
          <w:color w:val="auto"/>
          <w:sz w:val="24"/>
          <w:highlight w:val="none"/>
        </w:rPr>
        <w:t>年</w:t>
      </w:r>
      <w:r>
        <w:rPr>
          <w:rFonts w:hint="eastAsia" w:ascii="宋体" w:hAnsi="宋体" w:eastAsia="Times New Roman"/>
          <w:color w:val="auto"/>
          <w:sz w:val="24"/>
          <w:highlight w:val="none"/>
          <w:u w:val="single"/>
        </w:rPr>
        <w:t xml:space="preserve">   </w:t>
      </w:r>
      <w:r>
        <w:rPr>
          <w:rFonts w:hint="eastAsia" w:ascii="宋体" w:hAnsi="宋体" w:eastAsia="Times New Roman"/>
          <w:color w:val="auto"/>
          <w:sz w:val="24"/>
          <w:highlight w:val="none"/>
        </w:rPr>
        <w:t>月</w:t>
      </w:r>
      <w:r>
        <w:rPr>
          <w:rFonts w:hint="eastAsia" w:ascii="宋体" w:hAnsi="宋体" w:eastAsia="Times New Roman"/>
          <w:color w:val="auto"/>
          <w:sz w:val="24"/>
          <w:highlight w:val="none"/>
          <w:u w:val="single"/>
        </w:rPr>
        <w:t xml:space="preserve">   </w:t>
      </w:r>
      <w:r>
        <w:rPr>
          <w:rFonts w:hint="eastAsia" w:ascii="宋体" w:hAnsi="宋体" w:eastAsia="Times New Roman"/>
          <w:color w:val="auto"/>
          <w:sz w:val="24"/>
          <w:highlight w:val="none"/>
        </w:rPr>
        <w:t>日</w:t>
      </w:r>
      <w:r>
        <w:rPr>
          <w:rFonts w:hint="eastAsia" w:ascii="宋体" w:hAnsi="宋体"/>
          <w:color w:val="auto"/>
          <w:sz w:val="24"/>
          <w:highlight w:val="none"/>
        </w:rPr>
        <w:t>收到。</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特此确认。</w:t>
      </w:r>
    </w:p>
    <w:p>
      <w:pPr>
        <w:spacing w:line="360" w:lineRule="auto"/>
        <w:rPr>
          <w:rFonts w:ascii="宋体" w:hAnsi="宋体"/>
          <w:color w:val="auto"/>
          <w:sz w:val="24"/>
          <w:highlight w:val="none"/>
        </w:rPr>
      </w:pPr>
      <w:r>
        <w:rPr>
          <w:rFonts w:hint="eastAsia" w:ascii="宋体" w:hAnsi="宋体"/>
          <w:color w:val="auto"/>
          <w:sz w:val="24"/>
          <w:highlight w:val="none"/>
        </w:rPr>
        <w:t xml:space="preserve"> </w:t>
      </w:r>
    </w:p>
    <w:p>
      <w:pPr>
        <w:ind w:firstLine="1200" w:firstLineChars="500"/>
        <w:rPr>
          <w:rFonts w:ascii="宋体" w:hAnsi="宋体"/>
          <w:bCs/>
          <w:color w:val="auto"/>
          <w:sz w:val="24"/>
          <w:highlight w:val="none"/>
        </w:rPr>
      </w:pPr>
    </w:p>
    <w:p>
      <w:pPr>
        <w:ind w:firstLine="1200" w:firstLineChars="500"/>
        <w:rPr>
          <w:rFonts w:ascii="宋体" w:hAnsi="宋体"/>
          <w:bCs/>
          <w:color w:val="auto"/>
          <w:sz w:val="24"/>
          <w:highlight w:val="none"/>
        </w:rPr>
      </w:pPr>
    </w:p>
    <w:p>
      <w:pPr>
        <w:ind w:firstLine="1200" w:firstLineChars="500"/>
        <w:rPr>
          <w:rFonts w:ascii="宋体" w:hAnsi="宋体"/>
          <w:bCs/>
          <w:color w:val="auto"/>
          <w:sz w:val="24"/>
          <w:highlight w:val="none"/>
        </w:rPr>
      </w:pPr>
    </w:p>
    <w:p>
      <w:pPr>
        <w:ind w:firstLine="1200" w:firstLineChars="500"/>
        <w:rPr>
          <w:rFonts w:ascii="宋体" w:hAnsi="宋体"/>
          <w:bCs/>
          <w:color w:val="auto"/>
          <w:sz w:val="24"/>
          <w:highlight w:val="none"/>
        </w:rPr>
      </w:pPr>
    </w:p>
    <w:p>
      <w:pPr>
        <w:ind w:firstLine="1687" w:firstLineChars="700"/>
        <w:rPr>
          <w:rFonts w:ascii="宋体" w:hAnsi="宋体"/>
          <w:b/>
          <w:color w:val="auto"/>
          <w:sz w:val="24"/>
          <w:highlight w:val="none"/>
        </w:rPr>
      </w:pPr>
      <w:r>
        <w:rPr>
          <w:rFonts w:hint="eastAsia" w:ascii="宋体" w:hAnsi="宋体"/>
          <w:b/>
          <w:color w:val="auto"/>
          <w:sz w:val="24"/>
          <w:highlight w:val="none"/>
        </w:rPr>
        <w:t>供应商：</w:t>
      </w:r>
      <w:r>
        <w:rPr>
          <w:rFonts w:hint="eastAsia" w:ascii="宋体" w:hAnsi="宋体"/>
          <w:b/>
          <w:color w:val="auto"/>
          <w:sz w:val="24"/>
          <w:highlight w:val="none"/>
          <w:u w:val="single"/>
        </w:rPr>
        <w:tab/>
      </w:r>
      <w:r>
        <w:rPr>
          <w:rFonts w:hint="eastAsia" w:ascii="宋体" w:hAnsi="宋体"/>
          <w:b/>
          <w:color w:val="auto"/>
          <w:sz w:val="24"/>
          <w:highlight w:val="none"/>
          <w:u w:val="single"/>
        </w:rPr>
        <w:t xml:space="preserve">                        </w:t>
      </w:r>
      <w:r>
        <w:rPr>
          <w:rFonts w:hint="eastAsia" w:ascii="宋体" w:hAnsi="宋体"/>
          <w:b/>
          <w:color w:val="auto"/>
          <w:sz w:val="24"/>
          <w:highlight w:val="none"/>
        </w:rPr>
        <w:t>（加盖单位公章）</w:t>
      </w:r>
    </w:p>
    <w:p>
      <w:pPr>
        <w:rPr>
          <w:rFonts w:ascii="宋体" w:hAnsi="宋体"/>
          <w:b/>
          <w:color w:val="auto"/>
          <w:sz w:val="24"/>
          <w:highlight w:val="none"/>
        </w:rPr>
      </w:pPr>
      <w:r>
        <w:rPr>
          <w:rFonts w:hint="eastAsia" w:ascii="宋体" w:hAnsi="宋体"/>
          <w:b/>
          <w:color w:val="auto"/>
          <w:sz w:val="24"/>
          <w:highlight w:val="none"/>
        </w:rPr>
        <w:t xml:space="preserve"> </w:t>
      </w:r>
    </w:p>
    <w:p>
      <w:pPr>
        <w:ind w:firstLine="1687" w:firstLineChars="700"/>
        <w:rPr>
          <w:rFonts w:ascii="宋体" w:hAnsi="宋体"/>
          <w:b/>
          <w:color w:val="auto"/>
          <w:sz w:val="24"/>
          <w:highlight w:val="none"/>
        </w:rPr>
      </w:pPr>
      <w:r>
        <w:rPr>
          <w:rFonts w:hint="eastAsia" w:ascii="宋体" w:hAnsi="宋体"/>
          <w:b/>
          <w:color w:val="auto"/>
          <w:sz w:val="24"/>
          <w:highlight w:val="none"/>
        </w:rPr>
        <w:t>法定代表人或其委托代理人：</w:t>
      </w:r>
      <w:r>
        <w:rPr>
          <w:rFonts w:hint="eastAsia" w:ascii="宋体" w:hAnsi="宋体"/>
          <w:b/>
          <w:color w:val="auto"/>
          <w:sz w:val="24"/>
          <w:highlight w:val="none"/>
        </w:rPr>
        <w:tab/>
      </w:r>
      <w:r>
        <w:rPr>
          <w:rFonts w:hint="eastAsia" w:ascii="宋体" w:hAnsi="宋体"/>
          <w:b/>
          <w:color w:val="auto"/>
          <w:sz w:val="24"/>
          <w:highlight w:val="none"/>
          <w:u w:val="single"/>
        </w:rPr>
        <w:t xml:space="preserve">             </w:t>
      </w:r>
      <w:r>
        <w:rPr>
          <w:rFonts w:hint="eastAsia" w:ascii="宋体" w:hAnsi="宋体"/>
          <w:b/>
          <w:color w:val="auto"/>
          <w:sz w:val="24"/>
          <w:highlight w:val="none"/>
        </w:rPr>
        <w:t>（签字或盖章）</w:t>
      </w:r>
    </w:p>
    <w:p>
      <w:pPr>
        <w:rPr>
          <w:rFonts w:ascii="宋体" w:hAnsi="宋体"/>
          <w:b/>
          <w:color w:val="auto"/>
          <w:sz w:val="24"/>
          <w:highlight w:val="none"/>
        </w:rPr>
      </w:pPr>
      <w:r>
        <w:rPr>
          <w:rFonts w:hint="eastAsia" w:ascii="宋体" w:hAnsi="宋体"/>
          <w:b/>
          <w:color w:val="auto"/>
          <w:sz w:val="24"/>
          <w:highlight w:val="none"/>
        </w:rPr>
        <w:t xml:space="preserve"> </w:t>
      </w:r>
    </w:p>
    <w:p>
      <w:pPr>
        <w:snapToGrid w:val="0"/>
        <w:spacing w:after="156" w:afterLines="50" w:line="360" w:lineRule="auto"/>
        <w:jc w:val="center"/>
        <w:outlineLvl w:val="0"/>
        <w:rPr>
          <w:rFonts w:ascii="宋体" w:hAnsi="宋体"/>
          <w:b/>
          <w:color w:val="auto"/>
          <w:sz w:val="24"/>
          <w:highlight w:val="none"/>
        </w:rPr>
      </w:pPr>
      <w:bookmarkStart w:id="131" w:name="_Toc15186"/>
      <w:r>
        <w:rPr>
          <w:rFonts w:hint="eastAsia" w:ascii="宋体" w:hAnsi="宋体"/>
          <w:b/>
          <w:color w:val="auto"/>
          <w:sz w:val="24"/>
          <w:highlight w:val="none"/>
        </w:rPr>
        <w:t>日期：</w:t>
      </w:r>
      <w:r>
        <w:rPr>
          <w:rFonts w:hint="eastAsia" w:ascii="宋体" w:hAnsi="宋体"/>
          <w:b/>
          <w:color w:val="auto"/>
          <w:sz w:val="24"/>
          <w:highlight w:val="none"/>
          <w:u w:val="single"/>
        </w:rPr>
        <w:t xml:space="preserve">         </w:t>
      </w:r>
      <w:r>
        <w:rPr>
          <w:rFonts w:hint="eastAsia" w:ascii="宋体" w:hAnsi="宋体"/>
          <w:b/>
          <w:color w:val="auto"/>
          <w:sz w:val="24"/>
          <w:highlight w:val="none"/>
        </w:rPr>
        <w:t>年</w:t>
      </w:r>
      <w:r>
        <w:rPr>
          <w:rFonts w:hint="eastAsia" w:ascii="宋体" w:hAnsi="宋体"/>
          <w:b/>
          <w:color w:val="auto"/>
          <w:sz w:val="24"/>
          <w:highlight w:val="none"/>
          <w:u w:val="single"/>
        </w:rPr>
        <w:t xml:space="preserve">         </w:t>
      </w:r>
      <w:r>
        <w:rPr>
          <w:rFonts w:hint="eastAsia" w:ascii="宋体" w:hAnsi="宋体"/>
          <w:b/>
          <w:color w:val="auto"/>
          <w:sz w:val="24"/>
          <w:highlight w:val="none"/>
        </w:rPr>
        <w:t>月</w:t>
      </w:r>
      <w:r>
        <w:rPr>
          <w:rFonts w:hint="eastAsia" w:ascii="宋体" w:hAnsi="宋体"/>
          <w:b/>
          <w:color w:val="auto"/>
          <w:sz w:val="24"/>
          <w:highlight w:val="none"/>
          <w:u w:val="single"/>
        </w:rPr>
        <w:t xml:space="preserve">         </w:t>
      </w:r>
      <w:r>
        <w:rPr>
          <w:rFonts w:hint="eastAsia" w:ascii="宋体" w:hAnsi="宋体"/>
          <w:b/>
          <w:color w:val="auto"/>
          <w:sz w:val="24"/>
          <w:highlight w:val="none"/>
        </w:rPr>
        <w:t>日</w:t>
      </w:r>
      <w:bookmarkEnd w:id="131"/>
    </w:p>
    <w:p>
      <w:pPr>
        <w:rPr>
          <w:rFonts w:ascii="宋体" w:hAnsi="宋体"/>
          <w:b/>
          <w:color w:val="auto"/>
          <w:sz w:val="32"/>
          <w:szCs w:val="32"/>
          <w:highlight w:val="none"/>
        </w:rPr>
      </w:pPr>
      <w:r>
        <w:rPr>
          <w:rFonts w:hint="eastAsia" w:ascii="宋体" w:hAnsi="宋体"/>
          <w:b/>
          <w:color w:val="auto"/>
          <w:sz w:val="32"/>
          <w:szCs w:val="32"/>
          <w:highlight w:val="none"/>
        </w:rPr>
        <w:br w:type="page"/>
      </w:r>
    </w:p>
    <w:p>
      <w:pPr>
        <w:snapToGrid w:val="0"/>
        <w:spacing w:after="156" w:afterLines="50" w:line="360" w:lineRule="auto"/>
        <w:jc w:val="center"/>
        <w:outlineLvl w:val="0"/>
        <w:rPr>
          <w:rFonts w:ascii="Arial" w:hAnsi="Arial" w:cs="Arial"/>
          <w:b/>
          <w:bCs/>
          <w:color w:val="auto"/>
          <w:kern w:val="0"/>
          <w:sz w:val="32"/>
          <w:szCs w:val="32"/>
          <w:highlight w:val="none"/>
          <w:shd w:val="clear" w:color="auto" w:fill="FFFFFF"/>
          <w:lang w:bidi="ar"/>
        </w:rPr>
      </w:pPr>
      <w:bookmarkStart w:id="132" w:name="_Toc14547"/>
      <w:r>
        <w:rPr>
          <w:rFonts w:hint="eastAsia" w:ascii="宋体" w:hAnsi="宋体"/>
          <w:b/>
          <w:color w:val="auto"/>
          <w:sz w:val="32"/>
          <w:szCs w:val="32"/>
          <w:highlight w:val="none"/>
        </w:rPr>
        <w:t>第三章</w:t>
      </w:r>
      <w:bookmarkStart w:id="133" w:name="_Toc13500_WPSOffice_Level1"/>
      <w:bookmarkStart w:id="134" w:name="_Toc24436"/>
      <w:bookmarkStart w:id="135" w:name="_Toc8259"/>
      <w:bookmarkStart w:id="136" w:name="_Toc8953"/>
      <w:r>
        <w:rPr>
          <w:rFonts w:hint="eastAsia" w:ascii="宋体" w:hAnsi="宋体"/>
          <w:b/>
          <w:color w:val="auto"/>
          <w:sz w:val="32"/>
          <w:szCs w:val="32"/>
          <w:highlight w:val="none"/>
        </w:rPr>
        <w:t xml:space="preserve">  </w:t>
      </w:r>
      <w:bookmarkEnd w:id="125"/>
      <w:bookmarkEnd w:id="126"/>
      <w:bookmarkEnd w:id="127"/>
      <w:bookmarkEnd w:id="128"/>
      <w:bookmarkEnd w:id="129"/>
      <w:bookmarkEnd w:id="130"/>
      <w:bookmarkEnd w:id="133"/>
      <w:bookmarkEnd w:id="134"/>
      <w:bookmarkEnd w:id="135"/>
      <w:bookmarkEnd w:id="136"/>
      <w:r>
        <w:rPr>
          <w:rFonts w:hint="eastAsia" w:ascii="宋体" w:hAnsi="宋体"/>
          <w:b/>
          <w:color w:val="auto"/>
          <w:sz w:val="32"/>
          <w:szCs w:val="32"/>
          <w:highlight w:val="none"/>
        </w:rPr>
        <w:t>采购需求</w:t>
      </w:r>
      <w:bookmarkEnd w:id="132"/>
    </w:p>
    <w:p>
      <w:pPr>
        <w:pStyle w:val="15"/>
        <w:spacing w:line="460" w:lineRule="exact"/>
        <w:ind w:left="0" w:leftChars="0" w:firstLine="0" w:firstLineChars="0"/>
        <w:rPr>
          <w:rFonts w:ascii="宋体" w:hAnsi="宋体" w:cs="宋体"/>
          <w:b/>
          <w:bCs/>
          <w:color w:val="auto"/>
          <w:sz w:val="24"/>
          <w:highlight w:val="none"/>
        </w:rPr>
      </w:pPr>
      <w:bookmarkStart w:id="137" w:name="_Toc25460"/>
      <w:bookmarkStart w:id="138" w:name="_Toc16454"/>
      <w:bookmarkStart w:id="139" w:name="_Toc15972"/>
      <w:bookmarkStart w:id="140" w:name="_Toc17053"/>
      <w:bookmarkStart w:id="141" w:name="_Toc23448"/>
      <w:bookmarkStart w:id="142" w:name="_Toc11882_WPSOffice_Level1"/>
      <w:bookmarkStart w:id="143" w:name="_Toc259449789"/>
      <w:bookmarkStart w:id="144" w:name="_Toc28150"/>
      <w:bookmarkStart w:id="145" w:name="_Toc31565"/>
      <w:bookmarkStart w:id="146" w:name="_Toc372105086"/>
      <w:r>
        <w:rPr>
          <w:rFonts w:hint="eastAsia" w:ascii="宋体" w:hAnsi="宋体" w:cs="宋体"/>
          <w:b/>
          <w:bCs/>
          <w:color w:val="auto"/>
          <w:sz w:val="24"/>
          <w:highlight w:val="none"/>
        </w:rPr>
        <w:t>一、采购清单</w:t>
      </w:r>
      <w:bookmarkEnd w:id="137"/>
      <w:bookmarkEnd w:id="138"/>
    </w:p>
    <w:tbl>
      <w:tblPr>
        <w:tblStyle w:val="25"/>
        <w:tblW w:w="496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772"/>
        <w:gridCol w:w="906"/>
        <w:gridCol w:w="956"/>
        <w:gridCol w:w="2193"/>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381" w:type="pct"/>
            <w:vAlign w:val="center"/>
          </w:tcPr>
          <w:p>
            <w:pPr>
              <w:spacing w:line="460" w:lineRule="exact"/>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964" w:type="pct"/>
            <w:vAlign w:val="center"/>
          </w:tcPr>
          <w:p>
            <w:pPr>
              <w:spacing w:line="460" w:lineRule="exact"/>
              <w:jc w:val="center"/>
              <w:rPr>
                <w:rFonts w:ascii="宋体" w:hAnsi="宋体" w:cs="宋体"/>
                <w:b/>
                <w:bCs/>
                <w:color w:val="auto"/>
                <w:sz w:val="24"/>
                <w:highlight w:val="none"/>
              </w:rPr>
            </w:pPr>
            <w:r>
              <w:rPr>
                <w:rFonts w:hint="eastAsia" w:ascii="宋体" w:hAnsi="宋体" w:cs="宋体"/>
                <w:b/>
                <w:bCs/>
                <w:color w:val="auto"/>
                <w:sz w:val="24"/>
                <w:highlight w:val="none"/>
              </w:rPr>
              <w:t>产品名称</w:t>
            </w:r>
          </w:p>
        </w:tc>
        <w:tc>
          <w:tcPr>
            <w:tcW w:w="493" w:type="pct"/>
            <w:vAlign w:val="center"/>
          </w:tcPr>
          <w:p>
            <w:pPr>
              <w:spacing w:line="460" w:lineRule="exact"/>
              <w:jc w:val="center"/>
              <w:rPr>
                <w:rFonts w:ascii="宋体" w:hAnsi="宋体" w:cs="宋体"/>
                <w:b/>
                <w:bCs/>
                <w:color w:val="auto"/>
                <w:sz w:val="24"/>
                <w:highlight w:val="none"/>
              </w:rPr>
            </w:pPr>
            <w:r>
              <w:rPr>
                <w:rFonts w:hint="eastAsia" w:ascii="宋体" w:hAnsi="宋体" w:cs="宋体"/>
                <w:b/>
                <w:bCs/>
                <w:color w:val="auto"/>
                <w:sz w:val="24"/>
                <w:highlight w:val="none"/>
              </w:rPr>
              <w:t>数量</w:t>
            </w:r>
          </w:p>
        </w:tc>
        <w:tc>
          <w:tcPr>
            <w:tcW w:w="520" w:type="pct"/>
            <w:vAlign w:val="center"/>
          </w:tcPr>
          <w:p>
            <w:pPr>
              <w:spacing w:line="460" w:lineRule="exact"/>
              <w:jc w:val="center"/>
              <w:rPr>
                <w:rFonts w:ascii="宋体" w:hAnsi="宋体" w:cs="宋体"/>
                <w:b/>
                <w:bCs/>
                <w:color w:val="auto"/>
                <w:sz w:val="24"/>
                <w:highlight w:val="none"/>
              </w:rPr>
            </w:pPr>
            <w:r>
              <w:rPr>
                <w:rFonts w:hint="eastAsia" w:ascii="宋体" w:hAnsi="宋体" w:cs="宋体"/>
                <w:b/>
                <w:bCs/>
                <w:color w:val="auto"/>
                <w:sz w:val="24"/>
                <w:highlight w:val="none"/>
              </w:rPr>
              <w:t>单位</w:t>
            </w:r>
          </w:p>
        </w:tc>
        <w:tc>
          <w:tcPr>
            <w:tcW w:w="1193" w:type="pct"/>
            <w:vAlign w:val="center"/>
          </w:tcPr>
          <w:p>
            <w:pPr>
              <w:spacing w:line="460" w:lineRule="exact"/>
              <w:jc w:val="center"/>
              <w:rPr>
                <w:rFonts w:ascii="宋体" w:hAnsi="宋体" w:cs="宋体"/>
                <w:b/>
                <w:bCs/>
                <w:color w:val="auto"/>
                <w:sz w:val="24"/>
                <w:highlight w:val="none"/>
              </w:rPr>
            </w:pPr>
            <w:r>
              <w:rPr>
                <w:rFonts w:hint="eastAsia" w:ascii="宋体" w:hAnsi="宋体" w:cs="宋体"/>
                <w:b/>
                <w:bCs/>
                <w:color w:val="auto"/>
                <w:sz w:val="24"/>
                <w:highlight w:val="none"/>
              </w:rPr>
              <w:t>单价限价（元）</w:t>
            </w:r>
          </w:p>
        </w:tc>
        <w:tc>
          <w:tcPr>
            <w:tcW w:w="1445" w:type="pct"/>
            <w:vAlign w:val="center"/>
          </w:tcPr>
          <w:p>
            <w:pPr>
              <w:spacing w:line="460" w:lineRule="exact"/>
              <w:jc w:val="center"/>
              <w:rPr>
                <w:rFonts w:ascii="宋体" w:hAnsi="宋体" w:cs="宋体"/>
                <w:b/>
                <w:bCs/>
                <w:color w:val="auto"/>
                <w:sz w:val="24"/>
                <w:highlight w:val="none"/>
              </w:rPr>
            </w:pPr>
            <w:r>
              <w:rPr>
                <w:rFonts w:hint="eastAsia" w:ascii="宋体" w:hAnsi="宋体" w:cs="宋体"/>
                <w:b/>
                <w:bCs/>
                <w:color w:val="auto"/>
                <w:sz w:val="24"/>
                <w:highlight w:val="none"/>
              </w:rPr>
              <w:t>是否接受进口产品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81"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1</w:t>
            </w:r>
          </w:p>
        </w:tc>
        <w:tc>
          <w:tcPr>
            <w:tcW w:w="964"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kern w:val="0"/>
                <w:szCs w:val="21"/>
                <w:highlight w:val="none"/>
                <w:lang w:eastAsia="zh-CN" w:bidi="ar"/>
              </w:rPr>
              <w:t>医用</w:t>
            </w:r>
            <w:r>
              <w:rPr>
                <w:rFonts w:hint="eastAsia" w:ascii="宋体" w:hAnsi="宋体" w:cs="宋体"/>
                <w:color w:val="auto"/>
                <w:kern w:val="0"/>
                <w:szCs w:val="21"/>
                <w:highlight w:val="none"/>
                <w:lang w:bidi="ar"/>
              </w:rPr>
              <w:t>显微镜</w:t>
            </w:r>
          </w:p>
        </w:tc>
        <w:tc>
          <w:tcPr>
            <w:tcW w:w="493"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20</w:t>
            </w:r>
          </w:p>
        </w:tc>
        <w:tc>
          <w:tcPr>
            <w:tcW w:w="520"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台</w:t>
            </w:r>
          </w:p>
        </w:tc>
        <w:tc>
          <w:tcPr>
            <w:tcW w:w="1193"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3600.00</w:t>
            </w:r>
          </w:p>
        </w:tc>
        <w:tc>
          <w:tcPr>
            <w:tcW w:w="1445" w:type="pct"/>
            <w:vAlign w:val="center"/>
          </w:tcPr>
          <w:p>
            <w:pPr>
              <w:spacing w:line="460" w:lineRule="exact"/>
              <w:jc w:val="center"/>
              <w:rPr>
                <w:rFonts w:ascii="宋体" w:hAnsi="宋体" w:cs="宋体"/>
                <w:color w:val="auto"/>
                <w:sz w:val="24"/>
                <w:highlight w:val="none"/>
              </w:rPr>
            </w:pPr>
            <w:r>
              <w:rPr>
                <w:rFonts w:hint="eastAsia" w:ascii="宋体" w:hAnsi="宋体" w:cs="宋体"/>
                <w:color w:val="auto"/>
                <w:sz w:val="24"/>
                <w:highlight w:val="none"/>
              </w:rPr>
              <w:t>否</w:t>
            </w:r>
          </w:p>
        </w:tc>
      </w:tr>
    </w:tbl>
    <w:p>
      <w:pPr>
        <w:spacing w:line="440" w:lineRule="exact"/>
        <w:rPr>
          <w:rFonts w:ascii="宋体" w:hAnsi="宋体" w:cs="宋体"/>
          <w:b/>
          <w:bCs/>
          <w:color w:val="auto"/>
          <w:sz w:val="24"/>
          <w:highlight w:val="none"/>
        </w:rPr>
      </w:pPr>
      <w:r>
        <w:rPr>
          <w:rFonts w:hint="eastAsia" w:ascii="宋体" w:hAnsi="宋体" w:cs="宋体"/>
          <w:b/>
          <w:bCs/>
          <w:color w:val="auto"/>
          <w:sz w:val="24"/>
          <w:highlight w:val="none"/>
        </w:rPr>
        <w:t>二、技术需求</w:t>
      </w:r>
    </w:p>
    <w:tbl>
      <w:tblPr>
        <w:tblStyle w:val="25"/>
        <w:tblW w:w="9199" w:type="dxa"/>
        <w:tblInd w:w="0" w:type="dxa"/>
        <w:tblLayout w:type="fixed"/>
        <w:tblCellMar>
          <w:top w:w="0" w:type="dxa"/>
          <w:left w:w="108" w:type="dxa"/>
          <w:bottom w:w="0" w:type="dxa"/>
          <w:right w:w="108" w:type="dxa"/>
        </w:tblCellMar>
      </w:tblPr>
      <w:tblGrid>
        <w:gridCol w:w="818"/>
        <w:gridCol w:w="1215"/>
        <w:gridCol w:w="4434"/>
        <w:gridCol w:w="2732"/>
      </w:tblGrid>
      <w:tr>
        <w:tblPrEx>
          <w:tblCellMar>
            <w:top w:w="0" w:type="dxa"/>
            <w:left w:w="108" w:type="dxa"/>
            <w:bottom w:w="0" w:type="dxa"/>
            <w:right w:w="108" w:type="dxa"/>
          </w:tblCellMar>
        </w:tblPrEx>
        <w:trPr>
          <w:trHeight w:val="482"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b/>
                <w:bCs/>
                <w:color w:val="auto"/>
                <w:kern w:val="0"/>
                <w:szCs w:val="21"/>
                <w:highlight w:val="none"/>
                <w:lang w:bidi="ar"/>
              </w:rPr>
            </w:pPr>
            <w:r>
              <w:rPr>
                <w:rFonts w:hint="eastAsia" w:ascii="宋体" w:hAnsi="宋体" w:cs="宋体"/>
                <w:b/>
                <w:bCs/>
                <w:color w:val="auto"/>
                <w:kern w:val="0"/>
                <w:szCs w:val="21"/>
                <w:highlight w:val="none"/>
                <w:lang w:bidi="ar"/>
              </w:rPr>
              <w:t>产品名称</w:t>
            </w:r>
          </w:p>
        </w:tc>
        <w:tc>
          <w:tcPr>
            <w:tcW w:w="4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ordWrap w:val="0"/>
              <w:ind w:right="1655" w:rightChars="788"/>
              <w:jc w:val="right"/>
              <w:textAlignment w:val="center"/>
              <w:rPr>
                <w:rFonts w:ascii="宋体" w:hAnsi="宋体" w:cs="宋体"/>
                <w:b/>
                <w:bCs/>
                <w:color w:val="auto"/>
                <w:szCs w:val="21"/>
                <w:highlight w:val="none"/>
              </w:rPr>
            </w:pPr>
            <w:r>
              <w:rPr>
                <w:rFonts w:hint="eastAsia" w:ascii="宋体" w:hAnsi="宋体" w:cs="宋体"/>
                <w:b/>
                <w:bCs/>
                <w:color w:val="auto"/>
                <w:szCs w:val="21"/>
                <w:highlight w:val="none"/>
              </w:rPr>
              <w:t xml:space="preserve"> 技术参数</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b/>
                <w:bCs/>
                <w:color w:val="auto"/>
                <w:szCs w:val="21"/>
                <w:highlight w:val="none"/>
              </w:rPr>
            </w:pPr>
            <w:r>
              <w:rPr>
                <w:rFonts w:hint="eastAsia" w:ascii="宋体" w:hAnsi="宋体" w:cs="宋体"/>
                <w:b/>
                <w:bCs/>
                <w:color w:val="auto"/>
                <w:szCs w:val="21"/>
                <w:highlight w:val="none"/>
              </w:rPr>
              <w:t>参考图片</w:t>
            </w:r>
          </w:p>
        </w:tc>
      </w:tr>
      <w:tr>
        <w:tblPrEx>
          <w:tblCellMar>
            <w:top w:w="0" w:type="dxa"/>
            <w:left w:w="108" w:type="dxa"/>
            <w:bottom w:w="0" w:type="dxa"/>
            <w:right w:w="108" w:type="dxa"/>
          </w:tblCellMar>
        </w:tblPrEx>
        <w:trPr>
          <w:trHeight w:val="1922" w:hRule="atLeast"/>
        </w:trPr>
        <w:tc>
          <w:tcPr>
            <w:tcW w:w="8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1</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eastAsia="zh-CN" w:bidi="ar"/>
              </w:rPr>
              <w:t>医用</w:t>
            </w:r>
            <w:r>
              <w:rPr>
                <w:rFonts w:hint="eastAsia" w:ascii="宋体" w:hAnsi="宋体" w:cs="宋体"/>
                <w:color w:val="auto"/>
                <w:kern w:val="0"/>
                <w:szCs w:val="21"/>
                <w:highlight w:val="none"/>
                <w:lang w:bidi="ar"/>
              </w:rPr>
              <w:t>显微镜</w:t>
            </w:r>
          </w:p>
        </w:tc>
        <w:tc>
          <w:tcPr>
            <w:tcW w:w="44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光路要求：无限远色差校正光学系统。</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观察筒：铰链式目镜筒，C接口须内藏于观察头内部，水平朝向可避免进灰尘，提供结构实物图。视度调节（±5 屈光度）；瞳距范围可适应不高于瞳距为48mm和不低于瞳距为76mm的使用人。铰链组可 360°旋转和上翻，通过旋转或上翻双目筒，即可将眼点高度提升，快速适应不同身高的使用者，方便快捷。</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固定式目镜：倍率为10X，视野范围不低于20mm，无需摘眼镜也可直接观察，其中一只带指针；</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4</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平场消色差物镜四只:4X， 10X，40X，100X(弹簧,油)。注：40X物镜数值孔径不低于0.7，为防触油特殊设计，工作距离大于常规高倍镜2mm以上</w:t>
            </w:r>
            <w:bookmarkStart w:id="367" w:name="_GoBack"/>
            <w:bookmarkEnd w:id="367"/>
            <w:r>
              <w:rPr>
                <w:rFonts w:hint="eastAsia" w:ascii="宋体" w:hAnsi="宋体" w:cs="宋体"/>
                <w:color w:val="auto"/>
                <w:szCs w:val="21"/>
                <w:highlight w:val="none"/>
              </w:rPr>
              <w:t>。</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 xml:space="preserve">双层机械移动平台，低手位 X、Y 方向同轴调节，片夹行程可完全覆盖两张标准载玻片。    </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物镜转换器：向机身内倾式内定位四孔转换器。</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 xml:space="preserve">调焦装置：粗微动同轴调焦，微调格值不低于2um；调焦行程不小于25mm，便于放入和移除切片；调焦上限位出厂预设，学生不能将上限位自行进行调节。  </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8</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安全照明电路：不低于3W的高亮度LED冷光源，不高于5-12V低电压输入，确保产品用电安全，手机USB充电器也可为显微镜供电，可使用充电宝、电脑USB数据口、车载充电等外置电源供电；</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9.显微镜具备亮度均衡适应功能，通过光强自适应物镜实现；</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10</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聚光镜：NA1.25阿贝聚光镜，带可变孔径光阑，聚光镜升降非齿轮齿条升降结构。</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11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机身后部具备放置电源线的结构，提供产品整机实物图证明。</w:t>
            </w:r>
          </w:p>
          <w:p>
            <w:pPr>
              <w:jc w:val="left"/>
              <w:textAlignment w:val="center"/>
              <w:rPr>
                <w:rFonts w:ascii="宋体" w:hAnsi="宋体" w:cs="宋体"/>
                <w:color w:val="auto"/>
                <w:szCs w:val="21"/>
                <w:highlight w:val="none"/>
              </w:rPr>
            </w:pPr>
            <w:r>
              <w:rPr>
                <w:rFonts w:hint="eastAsia" w:ascii="宋体" w:hAnsi="宋体" w:cs="宋体"/>
                <w:color w:val="auto"/>
                <w:szCs w:val="21"/>
                <w:highlight w:val="none"/>
              </w:rPr>
              <w:t>12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镜架：一次冲压成型，流线型外观， T 型重心底座，稳定性高；整机符合人体工程学；采用金属材料； 镜臂镂空设计部分构成了左右扶手，单手即可搬运。从后面也可看到物镜倍率变化和操作过程。</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drawing>
                <wp:inline distT="0" distB="0" distL="114300" distR="114300">
                  <wp:extent cx="1597660" cy="1462405"/>
                  <wp:effectExtent l="0" t="0" r="2540" b="4445"/>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1597660" cy="1462405"/>
                          </a:xfrm>
                          <a:prstGeom prst="rect">
                            <a:avLst/>
                          </a:prstGeom>
                        </pic:spPr>
                      </pic:pic>
                    </a:graphicData>
                  </a:graphic>
                </wp:inline>
              </w:drawing>
            </w:r>
          </w:p>
        </w:tc>
      </w:tr>
    </w:tbl>
    <w:p>
      <w:pPr>
        <w:spacing w:line="440" w:lineRule="exact"/>
        <w:rPr>
          <w:rFonts w:ascii="宋体" w:hAnsi="宋体" w:cs="宋体"/>
          <w:b/>
          <w:bCs/>
          <w:color w:val="auto"/>
          <w:sz w:val="24"/>
          <w:highlight w:val="none"/>
        </w:rPr>
      </w:pPr>
      <w:bookmarkStart w:id="147" w:name="_Toc10398"/>
      <w:r>
        <w:rPr>
          <w:rFonts w:hint="eastAsia" w:ascii="宋体" w:hAnsi="宋体" w:cs="宋体"/>
          <w:b/>
          <w:bCs/>
          <w:color w:val="auto"/>
          <w:sz w:val="24"/>
          <w:highlight w:val="none"/>
        </w:rPr>
        <w:t>三、</w:t>
      </w:r>
      <w:bookmarkEnd w:id="147"/>
      <w:r>
        <w:rPr>
          <w:rFonts w:hint="eastAsia" w:ascii="宋体" w:hAnsi="宋体" w:cs="宋体"/>
          <w:b/>
          <w:bCs/>
          <w:color w:val="auto"/>
          <w:sz w:val="24"/>
          <w:highlight w:val="none"/>
        </w:rPr>
        <w:t>商务需求</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1.合同履行期限：合同签订后15日内交货并验收完毕；</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2.合同履行地点：采购人指定地点。</w:t>
      </w:r>
    </w:p>
    <w:p>
      <w:pPr>
        <w:spacing w:line="500" w:lineRule="exact"/>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3.付款方式：验收合格后一次性付清（因政策原因导致未能按此约定付款的，根据</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政策变动情况另行约定）。</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4.服务要求：</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（1）提供的产品必须是全新的、具有有关部门注册或检验或商检及生产厂家质量合格证明的产品。</w:t>
      </w:r>
    </w:p>
    <w:p>
      <w:pPr>
        <w:spacing w:line="500" w:lineRule="exact"/>
        <w:ind w:firstLine="480" w:firstLineChars="200"/>
        <w:rPr>
          <w:bCs/>
          <w:color w:val="auto"/>
          <w:kern w:val="0"/>
          <w:sz w:val="24"/>
          <w:highlight w:val="none"/>
        </w:rPr>
      </w:pPr>
      <w:r>
        <w:rPr>
          <w:rFonts w:hint="eastAsia" w:ascii="宋体" w:hAnsi="宋体" w:cs="宋体"/>
          <w:color w:val="auto"/>
          <w:sz w:val="24"/>
          <w:highlight w:val="none"/>
        </w:rPr>
        <w:t>（2）</w:t>
      </w:r>
      <w:r>
        <w:rPr>
          <w:bCs/>
          <w:color w:val="auto"/>
          <w:kern w:val="0"/>
          <w:sz w:val="24"/>
          <w:highlight w:val="none"/>
        </w:rPr>
        <w:t>安装调试</w:t>
      </w:r>
      <w:r>
        <w:rPr>
          <w:rFonts w:hint="eastAsia"/>
          <w:bCs/>
          <w:color w:val="auto"/>
          <w:kern w:val="0"/>
          <w:sz w:val="24"/>
          <w:highlight w:val="none"/>
        </w:rPr>
        <w:t>：</w:t>
      </w:r>
      <w:r>
        <w:rPr>
          <w:bCs/>
          <w:color w:val="auto"/>
          <w:kern w:val="0"/>
          <w:sz w:val="24"/>
          <w:highlight w:val="none"/>
        </w:rPr>
        <w:t>按合同规定的时间</w:t>
      </w:r>
      <w:r>
        <w:rPr>
          <w:rFonts w:hint="eastAsia"/>
          <w:bCs/>
          <w:color w:val="auto"/>
          <w:kern w:val="0"/>
          <w:sz w:val="24"/>
          <w:highlight w:val="none"/>
        </w:rPr>
        <w:t>免费</w:t>
      </w:r>
      <w:r>
        <w:rPr>
          <w:bCs/>
          <w:color w:val="auto"/>
          <w:kern w:val="0"/>
          <w:sz w:val="24"/>
          <w:highlight w:val="none"/>
        </w:rPr>
        <w:t>安装、调试、验收。安装调试人员一切费用自理。</w:t>
      </w:r>
    </w:p>
    <w:p>
      <w:pPr>
        <w:spacing w:line="44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bCs/>
          <w:color w:val="auto"/>
          <w:kern w:val="0"/>
          <w:sz w:val="24"/>
          <w:highlight w:val="none"/>
        </w:rPr>
        <w:t>培训：</w:t>
      </w:r>
      <w:r>
        <w:rPr>
          <w:rFonts w:hint="eastAsia" w:ascii="宋体" w:hAnsi="宋体" w:cs="宋体"/>
          <w:color w:val="auto"/>
          <w:sz w:val="24"/>
          <w:highlight w:val="none"/>
        </w:rPr>
        <w:t>设备安装现场培训，派遣工程师现场提供培训，现场培训效果要求达到让用户操作人员熟练运用设备所有功能、一般维护保养、排除故障的技术，直至操作人员完全掌握</w:t>
      </w:r>
      <w:r>
        <w:rPr>
          <w:rFonts w:hint="eastAsia" w:ascii="宋体" w:hAnsi="宋体" w:cs="宋体"/>
          <w:color w:val="auto"/>
          <w:sz w:val="24"/>
          <w:highlight w:val="none"/>
          <w:lang w:eastAsia="zh-CN"/>
        </w:rPr>
        <w:t>。培训一切费用需包含在报价中</w:t>
      </w:r>
      <w:r>
        <w:rPr>
          <w:rFonts w:hint="eastAsia" w:ascii="宋体" w:hAnsi="宋体" w:cs="宋体"/>
          <w:color w:val="auto"/>
          <w:sz w:val="24"/>
          <w:highlight w:val="none"/>
        </w:rPr>
        <w:t>。</w:t>
      </w:r>
    </w:p>
    <w:p>
      <w:pPr>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w:t>
      </w:r>
      <w:r>
        <w:rPr>
          <w:color w:val="auto"/>
          <w:kern w:val="0"/>
          <w:sz w:val="24"/>
          <w:highlight w:val="none"/>
        </w:rPr>
        <w:t>质保</w:t>
      </w:r>
      <w:r>
        <w:rPr>
          <w:rFonts w:hint="eastAsia"/>
          <w:color w:val="auto"/>
          <w:kern w:val="0"/>
          <w:sz w:val="24"/>
          <w:highlight w:val="none"/>
          <w:lang w:eastAsia="zh-CN"/>
        </w:rPr>
        <w:t>要求</w:t>
      </w:r>
      <w:r>
        <w:rPr>
          <w:color w:val="auto"/>
          <w:kern w:val="0"/>
          <w:sz w:val="24"/>
          <w:highlight w:val="none"/>
        </w:rPr>
        <w:t>：</w:t>
      </w:r>
      <w:r>
        <w:rPr>
          <w:rFonts w:hint="eastAsia"/>
          <w:color w:val="auto"/>
          <w:kern w:val="0"/>
          <w:sz w:val="24"/>
          <w:highlight w:val="none"/>
        </w:rPr>
        <w:t>至少</w:t>
      </w:r>
      <w:r>
        <w:rPr>
          <w:rFonts w:hint="eastAsia" w:ascii="宋体" w:hAnsi="宋体" w:cs="宋体"/>
          <w:color w:val="auto"/>
          <w:sz w:val="24"/>
          <w:highlight w:val="none"/>
        </w:rPr>
        <w:t>提供1年质保</w:t>
      </w:r>
      <w:r>
        <w:rPr>
          <w:color w:val="auto"/>
          <w:kern w:val="0"/>
          <w:sz w:val="24"/>
          <w:highlight w:val="none"/>
        </w:rPr>
        <w:t>，质保期自验收合格且所有配件、备件齐全之日起计算</w:t>
      </w:r>
      <w:r>
        <w:rPr>
          <w:rFonts w:hint="eastAsia" w:ascii="宋体" w:hAnsi="宋体" w:cs="宋体"/>
          <w:bCs/>
          <w:color w:val="auto"/>
          <w:kern w:val="0"/>
          <w:sz w:val="24"/>
          <w:highlight w:val="none"/>
          <w:lang w:eastAsia="zh-CN"/>
        </w:rPr>
        <w:t>，</w:t>
      </w:r>
      <w:r>
        <w:rPr>
          <w:color w:val="auto"/>
          <w:kern w:val="0"/>
          <w:sz w:val="24"/>
          <w:highlight w:val="none"/>
        </w:rPr>
        <w:t>由于设备本身质量原因造成的任何损坏保证免费负责修理和更换；</w:t>
      </w:r>
      <w:r>
        <w:rPr>
          <w:rFonts w:hint="eastAsia" w:ascii="宋体" w:hAnsi="宋体" w:cs="宋体"/>
          <w:bCs/>
          <w:color w:val="auto"/>
          <w:kern w:val="0"/>
          <w:sz w:val="24"/>
          <w:highlight w:val="none"/>
        </w:rPr>
        <w:t>质保期内自收到采购人电话报修通知后15分钟内给予响应，电话协助现场处理故障</w:t>
      </w:r>
      <w:r>
        <w:rPr>
          <w:rFonts w:hint="eastAsia" w:ascii="宋体" w:hAnsi="宋体" w:cs="宋体"/>
          <w:bCs/>
          <w:color w:val="auto"/>
          <w:kern w:val="0"/>
          <w:sz w:val="24"/>
          <w:highlight w:val="none"/>
          <w:lang w:eastAsia="zh-CN"/>
        </w:rPr>
        <w:t>，</w:t>
      </w:r>
      <w:r>
        <w:rPr>
          <w:rFonts w:hint="eastAsia" w:ascii="宋体" w:hAnsi="宋体" w:cs="宋体"/>
          <w:bCs/>
          <w:color w:val="auto"/>
          <w:kern w:val="0"/>
          <w:sz w:val="24"/>
          <w:highlight w:val="none"/>
        </w:rPr>
        <w:t>如电话无法解决，须在6小时内到达现场处理。</w:t>
      </w:r>
      <w:r>
        <w:rPr>
          <w:color w:val="auto"/>
          <w:kern w:val="0"/>
          <w:sz w:val="24"/>
          <w:highlight w:val="none"/>
        </w:rPr>
        <w:t>质保期满后，提供终身维修服务</w:t>
      </w:r>
      <w:r>
        <w:rPr>
          <w:rFonts w:hint="eastAsia"/>
          <w:color w:val="auto"/>
          <w:kern w:val="0"/>
          <w:sz w:val="24"/>
          <w:highlight w:val="none"/>
        </w:rPr>
        <w:t>（</w:t>
      </w:r>
      <w:r>
        <w:rPr>
          <w:rFonts w:hint="eastAsia" w:ascii="宋体" w:hAnsi="宋体" w:cs="宋体"/>
          <w:color w:val="auto"/>
          <w:sz w:val="24"/>
          <w:highlight w:val="none"/>
        </w:rPr>
        <w:t>优价向采购方提供零部件</w:t>
      </w:r>
      <w:r>
        <w:rPr>
          <w:rFonts w:hint="eastAsia"/>
          <w:color w:val="auto"/>
          <w:kern w:val="0"/>
          <w:sz w:val="24"/>
          <w:highlight w:val="none"/>
        </w:rPr>
        <w:t>）</w:t>
      </w:r>
      <w:r>
        <w:rPr>
          <w:rFonts w:hint="eastAsia"/>
          <w:color w:val="auto"/>
          <w:kern w:val="0"/>
          <w:sz w:val="24"/>
          <w:highlight w:val="none"/>
          <w:lang w:eastAsia="zh-CN"/>
        </w:rPr>
        <w:t>，</w:t>
      </w:r>
      <w:r>
        <w:rPr>
          <w:rFonts w:hint="eastAsia" w:ascii="宋体" w:hAnsi="宋体" w:cs="宋体"/>
          <w:color w:val="auto"/>
          <w:sz w:val="24"/>
          <w:highlight w:val="none"/>
        </w:rPr>
        <w:t>各项服务只收取材料成本费用，免收人工服务费用</w:t>
      </w:r>
      <w:r>
        <w:rPr>
          <w:rFonts w:hint="eastAsia"/>
          <w:color w:val="auto"/>
          <w:kern w:val="0"/>
          <w:sz w:val="24"/>
          <w:highlight w:val="none"/>
          <w:lang w:eastAsia="zh-CN"/>
        </w:rPr>
        <w:t>。</w:t>
      </w:r>
      <w:r>
        <w:rPr>
          <w:color w:val="auto"/>
          <w:kern w:val="0"/>
          <w:sz w:val="24"/>
          <w:highlight w:val="none"/>
        </w:rPr>
        <w:t>无论质保期内外，用户有应用方面的疑问，都将提供工程师电话解答和现场应用支持，免除费用</w:t>
      </w:r>
      <w:r>
        <w:rPr>
          <w:rFonts w:hint="eastAsia" w:ascii="宋体" w:hAnsi="宋体" w:cs="宋体"/>
          <w:color w:val="auto"/>
          <w:sz w:val="24"/>
          <w:highlight w:val="none"/>
        </w:rPr>
        <w:t>。</w:t>
      </w:r>
    </w:p>
    <w:p>
      <w:pPr>
        <w:spacing w:line="440" w:lineRule="exact"/>
        <w:ind w:firstLine="480" w:firstLineChars="200"/>
        <w:rPr>
          <w:rFonts w:ascii="宋体" w:hAnsi="宋体" w:cs="宋体"/>
          <w:b/>
          <w:bCs/>
          <w:color w:val="auto"/>
          <w:sz w:val="24"/>
          <w:highlight w:val="none"/>
        </w:rPr>
      </w:pPr>
      <w:r>
        <w:rPr>
          <w:rFonts w:hint="eastAsia" w:ascii="宋体" w:hAnsi="宋体" w:cs="宋体"/>
          <w:color w:val="auto"/>
          <w:sz w:val="24"/>
          <w:highlight w:val="none"/>
        </w:rPr>
        <w:t>5.验收标</w:t>
      </w:r>
      <w:r>
        <w:rPr>
          <w:rFonts w:hint="eastAsia"/>
          <w:bCs/>
          <w:color w:val="auto"/>
          <w:kern w:val="0"/>
          <w:sz w:val="24"/>
          <w:highlight w:val="none"/>
        </w:rPr>
        <w:t>准：一次性验收合格。</w:t>
      </w:r>
    </w:p>
    <w:p>
      <w:pPr>
        <w:rPr>
          <w:rFonts w:ascii="宋体" w:hAnsi="宋体"/>
          <w:b/>
          <w:color w:val="auto"/>
          <w:sz w:val="36"/>
          <w:szCs w:val="36"/>
          <w:highlight w:val="none"/>
        </w:rPr>
      </w:pPr>
      <w:bookmarkStart w:id="148" w:name="_Toc11389"/>
      <w:bookmarkStart w:id="149" w:name="_Toc14057"/>
      <w:bookmarkStart w:id="150" w:name="_Toc30784"/>
      <w:bookmarkStart w:id="151" w:name="_Toc23516"/>
      <w:bookmarkStart w:id="152" w:name="_Toc17302"/>
      <w:r>
        <w:rPr>
          <w:rFonts w:hint="eastAsia" w:ascii="宋体" w:hAnsi="宋体"/>
          <w:b/>
          <w:color w:val="auto"/>
          <w:sz w:val="36"/>
          <w:szCs w:val="36"/>
          <w:highlight w:val="none"/>
        </w:rPr>
        <w:br w:type="page"/>
      </w:r>
    </w:p>
    <w:p>
      <w:pPr>
        <w:snapToGrid w:val="0"/>
        <w:spacing w:after="156" w:afterLines="50" w:line="360" w:lineRule="auto"/>
        <w:jc w:val="center"/>
        <w:outlineLvl w:val="0"/>
        <w:rPr>
          <w:rFonts w:ascii="Arial" w:hAnsi="Arial" w:cs="Arial"/>
          <w:b/>
          <w:bCs/>
          <w:color w:val="auto"/>
          <w:kern w:val="0"/>
          <w:sz w:val="32"/>
          <w:szCs w:val="32"/>
          <w:highlight w:val="none"/>
          <w:shd w:val="clear" w:color="auto" w:fill="FFFFFF"/>
          <w:lang w:bidi="ar"/>
        </w:rPr>
      </w:pPr>
      <w:bookmarkStart w:id="153" w:name="_Toc25506"/>
      <w:r>
        <w:rPr>
          <w:rFonts w:hint="eastAsia" w:ascii="宋体" w:hAnsi="宋体"/>
          <w:b/>
          <w:color w:val="auto"/>
          <w:sz w:val="32"/>
          <w:szCs w:val="32"/>
          <w:highlight w:val="none"/>
        </w:rPr>
        <w:t>第四章  评审标准</w:t>
      </w:r>
      <w:bookmarkEnd w:id="139"/>
      <w:bookmarkEnd w:id="148"/>
      <w:bookmarkEnd w:id="149"/>
      <w:bookmarkEnd w:id="150"/>
      <w:bookmarkEnd w:id="151"/>
      <w:bookmarkEnd w:id="152"/>
      <w:bookmarkEnd w:id="153"/>
    </w:p>
    <w:p>
      <w:pPr>
        <w:widowControl/>
        <w:spacing w:line="460" w:lineRule="exact"/>
        <w:ind w:firstLine="480" w:firstLineChars="200"/>
        <w:jc w:val="left"/>
        <w:rPr>
          <w:rFonts w:ascii="宋体" w:hAnsi="宋体" w:cs="宋体"/>
          <w:b/>
          <w:bCs/>
          <w:color w:val="auto"/>
          <w:kern w:val="0"/>
          <w:sz w:val="24"/>
          <w:highlight w:val="none"/>
        </w:rPr>
      </w:pPr>
      <w:r>
        <w:rPr>
          <w:rFonts w:hint="eastAsia" w:ascii="宋体" w:hAnsi="宋体" w:cs="宋体"/>
          <w:color w:val="auto"/>
          <w:sz w:val="24"/>
          <w:highlight w:val="none"/>
        </w:rPr>
        <w:t>根据《中华人民共和国政府采购法》、《中华人民共和国政府采购法实施条例》、</w:t>
      </w:r>
      <w:r>
        <w:rPr>
          <w:rFonts w:hint="eastAsia" w:ascii="宋体" w:hAnsi="宋体" w:cs="宋体"/>
          <w:color w:val="auto"/>
          <w:kern w:val="0"/>
          <w:sz w:val="24"/>
          <w:highlight w:val="none"/>
          <w:lang w:bidi="en-US"/>
        </w:rPr>
        <w:t>《政府采购非招标采购方式管理办法》</w:t>
      </w:r>
      <w:r>
        <w:rPr>
          <w:rFonts w:hint="eastAsia" w:ascii="宋体" w:hAnsi="宋体" w:cs="宋体"/>
          <w:color w:val="auto"/>
          <w:sz w:val="24"/>
          <w:highlight w:val="none"/>
        </w:rPr>
        <w:t>、财政部（财库[2012]69号）《财政部关于进一步规范政府采购评审工作有关问题的通知》等法律、法规</w:t>
      </w:r>
      <w:r>
        <w:rPr>
          <w:rFonts w:hint="eastAsia" w:ascii="宋体" w:hAnsi="宋体" w:cs="宋体"/>
          <w:color w:val="auto"/>
          <w:kern w:val="0"/>
          <w:sz w:val="24"/>
          <w:highlight w:val="none"/>
          <w:lang w:bidi="en-US"/>
        </w:rPr>
        <w:t>及本次采购项目询价文件的规定，遵循公平、公正、科学、择优的原则，特制定本办法。</w:t>
      </w:r>
    </w:p>
    <w:p>
      <w:pPr>
        <w:pStyle w:val="15"/>
        <w:spacing w:after="0" w:line="460" w:lineRule="exact"/>
        <w:ind w:left="0" w:leftChars="0" w:firstLine="0" w:firstLineChars="0"/>
        <w:jc w:val="left"/>
        <w:rPr>
          <w:rFonts w:ascii="宋体" w:hAnsi="宋体" w:cs="宋体"/>
          <w:b/>
          <w:bCs/>
          <w:color w:val="auto"/>
          <w:sz w:val="24"/>
          <w:highlight w:val="none"/>
        </w:rPr>
      </w:pPr>
      <w:r>
        <w:rPr>
          <w:rFonts w:hint="eastAsia" w:ascii="宋体" w:hAnsi="宋体" w:cs="宋体"/>
          <w:b/>
          <w:bCs/>
          <w:color w:val="auto"/>
          <w:sz w:val="24"/>
          <w:highlight w:val="none"/>
        </w:rPr>
        <w:t>一、评审原则</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1.坚持“公平、公正、科学、择优、保密”的原则，本着实事求是的精神，不带有任何主观意愿和偏见，认真负责地做好评审工作，公平、公正地对待每一个供应商。</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2.全面分析，综合评审。</w:t>
      </w:r>
    </w:p>
    <w:p>
      <w:pPr>
        <w:widowControl/>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3.评审只对供应商的响应文件进行评审，响应文件以外的资料、信息不作为评审的依据。</w:t>
      </w:r>
    </w:p>
    <w:p>
      <w:pPr>
        <w:pStyle w:val="15"/>
        <w:spacing w:after="0" w:line="460" w:lineRule="exact"/>
        <w:ind w:left="0" w:leftChars="0" w:firstLine="0" w:firstLineChars="0"/>
        <w:jc w:val="left"/>
        <w:rPr>
          <w:rFonts w:ascii="宋体" w:hAnsi="宋体" w:cs="宋体"/>
          <w:b/>
          <w:bCs/>
          <w:color w:val="auto"/>
          <w:sz w:val="24"/>
          <w:highlight w:val="none"/>
        </w:rPr>
      </w:pPr>
      <w:r>
        <w:rPr>
          <w:rFonts w:hint="eastAsia" w:ascii="宋体" w:hAnsi="宋体" w:cs="宋体"/>
          <w:b/>
          <w:bCs/>
          <w:color w:val="auto"/>
          <w:sz w:val="24"/>
          <w:highlight w:val="none"/>
        </w:rPr>
        <w:t>二、评审纪律</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1.对评审过程要严格保密，不得向供应商或与该过程无关的其它人员泄露；</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2.任何属于响应文件审查、澄清、评价和比较的资料，不得向供应商或与该过程无关的其它人员泄露；</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3.所有资料（包括询价文件、响应文件及各种文字记录等）在评审结束后均应分别整理、存档备查，任何人不得复制和保留，不得向外泄露；</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4.评审期间，评审人员不得外出，确需外出时应事先请假；</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5.评审期间，所有与会人员均不得私自以任何方式和供应商进行联系，需询问、澄清的问题由询价小组统一组织办理；</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6.评审结束后，与会人员不得向外界透露评审人员的评审意见，如因此造成的后果由责任者承担。</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7.询价</w:t>
      </w:r>
      <w:r>
        <w:rPr>
          <w:rFonts w:hint="eastAsia" w:hAnsi="宋体" w:cs="宋体"/>
          <w:color w:val="auto"/>
          <w:sz w:val="24"/>
          <w:highlight w:val="none"/>
        </w:rPr>
        <w:t>小组</w:t>
      </w:r>
      <w:r>
        <w:rPr>
          <w:rFonts w:hint="eastAsia" w:ascii="宋体" w:hAnsi="宋体" w:cs="宋体"/>
          <w:color w:val="auto"/>
          <w:sz w:val="24"/>
          <w:highlight w:val="none"/>
        </w:rPr>
        <w:t>成员不得有下列行为：</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（1）确定参与评审至评审结束前私自接触供应商；</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（2）接受供应商提出的与响应文件不一致的澄清或者说明；</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（3）违反评审纪律发表倾向性意见或者征询采购人的倾向性意见；</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（4）对需要专业判断的主观评审因素协商评分；</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（5）在评审过程中擅离职守，影响评审程序正常进行的；</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（6）记录、复制或者带走任何评审资料；</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（7）其他不遵守</w:t>
      </w:r>
      <w:r>
        <w:rPr>
          <w:rFonts w:hint="eastAsia" w:hAnsi="宋体" w:cs="宋体"/>
          <w:color w:val="auto"/>
          <w:sz w:val="24"/>
          <w:highlight w:val="none"/>
        </w:rPr>
        <w:t>评审</w:t>
      </w:r>
      <w:r>
        <w:rPr>
          <w:rFonts w:hint="eastAsia" w:ascii="宋体" w:hAnsi="宋体" w:cs="宋体"/>
          <w:color w:val="auto"/>
          <w:sz w:val="24"/>
          <w:highlight w:val="none"/>
        </w:rPr>
        <w:t>纪律的行为。</w:t>
      </w:r>
    </w:p>
    <w:p>
      <w:pPr>
        <w:pStyle w:val="15"/>
        <w:spacing w:after="0" w:line="460" w:lineRule="exact"/>
        <w:ind w:left="0" w:leftChars="0" w:firstLine="0" w:firstLineChars="0"/>
        <w:jc w:val="left"/>
        <w:rPr>
          <w:rFonts w:ascii="宋体" w:hAnsi="宋体" w:cs="宋体"/>
          <w:b/>
          <w:bCs/>
          <w:color w:val="auto"/>
          <w:sz w:val="24"/>
          <w:highlight w:val="none"/>
        </w:rPr>
      </w:pPr>
      <w:r>
        <w:rPr>
          <w:rFonts w:hint="eastAsia" w:ascii="宋体" w:hAnsi="宋体" w:cs="宋体"/>
          <w:b/>
          <w:bCs/>
          <w:color w:val="auto"/>
          <w:sz w:val="24"/>
          <w:highlight w:val="none"/>
        </w:rPr>
        <w:t>三、评审目的</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评审工作的目的：审查供应商的响应文件与询价文件的所有条款、条件是否相符；是否已提供了必备的资料、文件、证书，做出实质性响应；按评审程序和评审方法推荐成交候选人。</w:t>
      </w:r>
    </w:p>
    <w:p>
      <w:pPr>
        <w:pStyle w:val="15"/>
        <w:spacing w:after="0" w:line="460" w:lineRule="exact"/>
        <w:ind w:left="0" w:leftChars="0" w:firstLine="0" w:firstLineChars="0"/>
        <w:jc w:val="left"/>
        <w:rPr>
          <w:rFonts w:ascii="宋体" w:hAnsi="宋体" w:cs="宋体"/>
          <w:b/>
          <w:bCs/>
          <w:color w:val="auto"/>
          <w:sz w:val="24"/>
          <w:highlight w:val="none"/>
        </w:rPr>
      </w:pPr>
      <w:bookmarkStart w:id="154" w:name="_Toc30950"/>
      <w:bookmarkStart w:id="155" w:name="_Toc5687"/>
      <w:bookmarkStart w:id="156" w:name="_Toc2227"/>
      <w:bookmarkStart w:id="157" w:name="_Toc19794"/>
      <w:bookmarkStart w:id="158" w:name="_Toc23341"/>
      <w:r>
        <w:rPr>
          <w:rFonts w:hint="eastAsia" w:ascii="宋体" w:hAnsi="宋体" w:cs="宋体"/>
          <w:b/>
          <w:bCs/>
          <w:color w:val="auto"/>
          <w:sz w:val="24"/>
          <w:highlight w:val="none"/>
        </w:rPr>
        <w:t>四、询价小组成员应当履行下列义务：</w:t>
      </w:r>
      <w:bookmarkEnd w:id="154"/>
      <w:bookmarkEnd w:id="155"/>
      <w:bookmarkEnd w:id="156"/>
      <w:bookmarkEnd w:id="157"/>
      <w:bookmarkEnd w:id="158"/>
    </w:p>
    <w:p>
      <w:pPr>
        <w:pStyle w:val="15"/>
        <w:spacing w:after="0" w:line="460" w:lineRule="exact"/>
        <w:ind w:left="0" w:leftChars="0" w:firstLine="480"/>
        <w:jc w:val="left"/>
        <w:rPr>
          <w:rFonts w:ascii="宋体" w:hAnsi="宋体" w:cs="宋体"/>
          <w:b/>
          <w:bCs/>
          <w:color w:val="auto"/>
          <w:sz w:val="24"/>
          <w:highlight w:val="none"/>
        </w:rPr>
      </w:pPr>
      <w:r>
        <w:rPr>
          <w:rFonts w:hint="eastAsia" w:ascii="宋体" w:hAnsi="宋体" w:cs="宋体"/>
          <w:color w:val="auto"/>
          <w:sz w:val="24"/>
          <w:highlight w:val="none"/>
        </w:rPr>
        <w:t>1.遵纪守法，客观、公正、廉洁地履行职责；</w:t>
      </w:r>
      <w:r>
        <w:rPr>
          <w:rFonts w:hint="eastAsia" w:ascii="宋体" w:hAnsi="宋体" w:cs="宋体"/>
          <w:color w:val="auto"/>
          <w:sz w:val="24"/>
          <w:highlight w:val="none"/>
        </w:rPr>
        <w:br w:type="textWrapping"/>
      </w:r>
      <w:r>
        <w:rPr>
          <w:rFonts w:hint="eastAsia" w:ascii="宋体" w:hAnsi="宋体" w:cs="宋体"/>
          <w:color w:val="auto"/>
          <w:sz w:val="24"/>
          <w:highlight w:val="none"/>
        </w:rPr>
        <w:t>　　2.根据询价文件的规定独立进行评审，对个人的评审意见承担法律责任；</w:t>
      </w:r>
      <w:r>
        <w:rPr>
          <w:rFonts w:hint="eastAsia" w:ascii="宋体" w:hAnsi="宋体" w:cs="宋体"/>
          <w:color w:val="auto"/>
          <w:sz w:val="24"/>
          <w:highlight w:val="none"/>
        </w:rPr>
        <w:br w:type="textWrapping"/>
      </w:r>
      <w:r>
        <w:rPr>
          <w:rFonts w:hint="eastAsia" w:ascii="宋体" w:hAnsi="宋体" w:cs="宋体"/>
          <w:color w:val="auto"/>
          <w:sz w:val="24"/>
          <w:highlight w:val="none"/>
        </w:rPr>
        <w:t>　　3.参与评审报告的起草；</w:t>
      </w:r>
      <w:r>
        <w:rPr>
          <w:rFonts w:hint="eastAsia" w:ascii="宋体" w:hAnsi="宋体" w:cs="宋体"/>
          <w:color w:val="auto"/>
          <w:sz w:val="24"/>
          <w:highlight w:val="none"/>
        </w:rPr>
        <w:br w:type="textWrapping"/>
      </w:r>
      <w:r>
        <w:rPr>
          <w:rFonts w:hint="eastAsia" w:ascii="宋体" w:hAnsi="宋体" w:cs="宋体"/>
          <w:color w:val="auto"/>
          <w:sz w:val="24"/>
          <w:highlight w:val="none"/>
        </w:rPr>
        <w:t>　　4.配合采购人、采购代理机构答复供应商提出的质疑；</w:t>
      </w:r>
      <w:r>
        <w:rPr>
          <w:rFonts w:hint="eastAsia" w:ascii="宋体" w:hAnsi="宋体" w:cs="宋体"/>
          <w:color w:val="auto"/>
          <w:sz w:val="24"/>
          <w:highlight w:val="none"/>
        </w:rPr>
        <w:br w:type="textWrapping"/>
      </w:r>
      <w:r>
        <w:rPr>
          <w:rFonts w:hint="eastAsia" w:ascii="宋体" w:hAnsi="宋体" w:cs="宋体"/>
          <w:color w:val="auto"/>
          <w:sz w:val="24"/>
          <w:highlight w:val="none"/>
        </w:rPr>
        <w:t>　　5.配合财政部门的投诉处理和监督检查工作。</w:t>
      </w:r>
    </w:p>
    <w:p>
      <w:pPr>
        <w:pStyle w:val="15"/>
        <w:spacing w:after="0" w:line="460" w:lineRule="exact"/>
        <w:ind w:left="0" w:leftChars="0" w:firstLine="0" w:firstLineChars="0"/>
        <w:jc w:val="left"/>
        <w:rPr>
          <w:rFonts w:ascii="宋体" w:hAnsi="宋体" w:cs="宋体"/>
          <w:b/>
          <w:bCs/>
          <w:color w:val="auto"/>
          <w:sz w:val="24"/>
          <w:highlight w:val="none"/>
        </w:rPr>
      </w:pPr>
      <w:r>
        <w:rPr>
          <w:rFonts w:hint="eastAsia" w:ascii="宋体" w:hAnsi="宋体" w:cs="宋体"/>
          <w:b/>
          <w:bCs/>
          <w:color w:val="auto"/>
          <w:sz w:val="24"/>
          <w:highlight w:val="none"/>
        </w:rPr>
        <w:t>五、评审程序</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1.第一步：资格审查</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2.第二步：符合性审查</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3.第三步：出具评审报告</w:t>
      </w:r>
    </w:p>
    <w:p>
      <w:pPr>
        <w:snapToGrid w:val="0"/>
        <w:spacing w:line="460" w:lineRule="exact"/>
        <w:rPr>
          <w:rFonts w:ascii="宋体" w:hAnsi="宋体" w:cs="楷体_GB2312"/>
          <w:b/>
          <w:bCs/>
          <w:color w:val="auto"/>
          <w:kern w:val="0"/>
          <w:sz w:val="24"/>
          <w:highlight w:val="none"/>
        </w:rPr>
      </w:pPr>
      <w:bookmarkStart w:id="159" w:name="_Toc20491"/>
      <w:r>
        <w:rPr>
          <w:rFonts w:hint="eastAsia" w:ascii="宋体" w:hAnsi="宋体" w:cs="楷体_GB2312"/>
          <w:b/>
          <w:bCs/>
          <w:color w:val="auto"/>
          <w:kern w:val="0"/>
          <w:sz w:val="24"/>
          <w:highlight w:val="none"/>
        </w:rPr>
        <w:t>六、澄清、说明或者补正</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1.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Pr>
          <w:rFonts w:hint="eastAsia" w:hAnsi="宋体" w:cs="宋体"/>
          <w:color w:val="auto"/>
          <w:sz w:val="24"/>
          <w:highlight w:val="none"/>
        </w:rPr>
        <w:t>，格式详见附件一</w:t>
      </w:r>
      <w:r>
        <w:rPr>
          <w:rFonts w:hint="eastAsia" w:ascii="宋体" w:hAnsi="宋体" w:cs="宋体"/>
          <w:color w:val="auto"/>
          <w:sz w:val="24"/>
          <w:highlight w:val="none"/>
        </w:rPr>
        <w:t>。</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宋体"/>
          <w:color w:val="auto"/>
          <w:sz w:val="24"/>
          <w:highlight w:val="none"/>
        </w:rPr>
        <w:t>2.询价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r>
        <w:rPr>
          <w:rFonts w:hint="eastAsia" w:hAnsi="宋体" w:cs="宋体"/>
          <w:color w:val="auto"/>
          <w:sz w:val="24"/>
          <w:highlight w:val="none"/>
        </w:rPr>
        <w:t>，格式详见附件二</w:t>
      </w:r>
      <w:r>
        <w:rPr>
          <w:rFonts w:hint="eastAsia" w:ascii="宋体" w:hAnsi="宋体" w:cs="宋体"/>
          <w:color w:val="auto"/>
          <w:sz w:val="24"/>
          <w:highlight w:val="none"/>
        </w:rPr>
        <w:t>。</w:t>
      </w:r>
    </w:p>
    <w:p>
      <w:pPr>
        <w:spacing w:line="460" w:lineRule="exact"/>
        <w:ind w:firstLine="480" w:firstLineChars="200"/>
        <w:rPr>
          <w:rFonts w:ascii="宋体" w:hAnsi="宋体"/>
          <w:color w:val="auto"/>
          <w:sz w:val="24"/>
          <w:highlight w:val="none"/>
        </w:rPr>
      </w:pPr>
      <w:r>
        <w:rPr>
          <w:rFonts w:hint="eastAsia" w:ascii="宋体" w:hAnsi="宋体"/>
          <w:color w:val="auto"/>
          <w:sz w:val="24"/>
          <w:highlight w:val="none"/>
        </w:rPr>
        <w:t>3.询价小组并非对每位供应商都作澄清要求。</w:t>
      </w:r>
    </w:p>
    <w:bookmarkEnd w:id="159"/>
    <w:p>
      <w:pPr>
        <w:spacing w:line="460" w:lineRule="exact"/>
        <w:rPr>
          <w:rFonts w:ascii="宋体" w:hAnsi="宋体"/>
          <w:b/>
          <w:color w:val="auto"/>
          <w:kern w:val="10"/>
          <w:sz w:val="24"/>
          <w:highlight w:val="none"/>
        </w:rPr>
      </w:pPr>
      <w:r>
        <w:rPr>
          <w:rFonts w:hint="eastAsia" w:ascii="宋体" w:hAnsi="宋体" w:cs="宋体"/>
          <w:b/>
          <w:bCs/>
          <w:color w:val="auto"/>
          <w:sz w:val="24"/>
          <w:highlight w:val="none"/>
        </w:rPr>
        <w:t>七、响应文件修正错误的原则</w:t>
      </w:r>
    </w:p>
    <w:p>
      <w:pPr>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响应文件</w:t>
      </w:r>
      <w:r>
        <w:rPr>
          <w:rFonts w:ascii="宋体" w:hAnsi="宋体" w:cs="宋体"/>
          <w:color w:val="auto"/>
          <w:kern w:val="0"/>
          <w:sz w:val="24"/>
          <w:highlight w:val="none"/>
        </w:rPr>
        <w:t>报价出现前后不一致的，除</w:t>
      </w:r>
      <w:r>
        <w:rPr>
          <w:rFonts w:hint="eastAsia" w:ascii="宋体" w:hAnsi="宋体" w:cs="宋体"/>
          <w:color w:val="auto"/>
          <w:kern w:val="0"/>
          <w:sz w:val="24"/>
          <w:highlight w:val="none"/>
        </w:rPr>
        <w:t>询价文件</w:t>
      </w:r>
      <w:r>
        <w:rPr>
          <w:rFonts w:ascii="宋体" w:hAnsi="宋体" w:cs="宋体"/>
          <w:color w:val="auto"/>
          <w:kern w:val="0"/>
          <w:sz w:val="24"/>
          <w:highlight w:val="none"/>
        </w:rPr>
        <w:t>另有规定外，按照下列规定修正：</w:t>
      </w:r>
    </w:p>
    <w:p>
      <w:pPr>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1.响应文件</w:t>
      </w:r>
      <w:r>
        <w:rPr>
          <w:rFonts w:ascii="宋体" w:hAnsi="宋体" w:cs="宋体"/>
          <w:color w:val="auto"/>
          <w:kern w:val="0"/>
          <w:sz w:val="24"/>
          <w:highlight w:val="none"/>
        </w:rPr>
        <w:t>中</w:t>
      </w:r>
      <w:r>
        <w:rPr>
          <w:rFonts w:hint="eastAsia" w:ascii="宋体" w:hAnsi="宋体" w:cs="宋体"/>
          <w:color w:val="auto"/>
          <w:kern w:val="0"/>
          <w:sz w:val="24"/>
          <w:highlight w:val="none"/>
        </w:rPr>
        <w:t>报价一览表</w:t>
      </w:r>
      <w:r>
        <w:rPr>
          <w:rFonts w:ascii="宋体" w:hAnsi="宋体" w:cs="宋体"/>
          <w:color w:val="auto"/>
          <w:kern w:val="0"/>
          <w:sz w:val="24"/>
          <w:highlight w:val="none"/>
        </w:rPr>
        <w:t>内容与</w:t>
      </w:r>
      <w:r>
        <w:rPr>
          <w:rFonts w:hint="eastAsia" w:ascii="宋体" w:hAnsi="宋体" w:cs="宋体"/>
          <w:color w:val="auto"/>
          <w:kern w:val="0"/>
          <w:sz w:val="24"/>
          <w:highlight w:val="none"/>
        </w:rPr>
        <w:t>响应文件</w:t>
      </w:r>
      <w:r>
        <w:rPr>
          <w:rFonts w:ascii="宋体" w:hAnsi="宋体" w:cs="宋体"/>
          <w:color w:val="auto"/>
          <w:kern w:val="0"/>
          <w:sz w:val="24"/>
          <w:highlight w:val="none"/>
        </w:rPr>
        <w:t>中相应内容不一致的，以</w:t>
      </w:r>
      <w:r>
        <w:rPr>
          <w:rFonts w:hint="eastAsia" w:ascii="宋体" w:hAnsi="宋体" w:cs="宋体"/>
          <w:color w:val="auto"/>
          <w:kern w:val="0"/>
          <w:sz w:val="24"/>
          <w:highlight w:val="none"/>
        </w:rPr>
        <w:t>报价一览表</w:t>
      </w:r>
      <w:r>
        <w:rPr>
          <w:rFonts w:ascii="宋体" w:hAnsi="宋体" w:cs="宋体"/>
          <w:color w:val="auto"/>
          <w:kern w:val="0"/>
          <w:sz w:val="24"/>
          <w:highlight w:val="none"/>
        </w:rPr>
        <w:t>为准；</w:t>
      </w:r>
    </w:p>
    <w:p>
      <w:pPr>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2.</w:t>
      </w:r>
      <w:r>
        <w:rPr>
          <w:rFonts w:ascii="宋体" w:hAnsi="宋体" w:cs="宋体"/>
          <w:color w:val="auto"/>
          <w:kern w:val="0"/>
          <w:sz w:val="24"/>
          <w:highlight w:val="none"/>
        </w:rPr>
        <w:t>大写金额和小写金额不一致的，以大写金额为准；</w:t>
      </w:r>
    </w:p>
    <w:p>
      <w:pPr>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3.</w:t>
      </w:r>
      <w:r>
        <w:rPr>
          <w:rFonts w:ascii="宋体" w:hAnsi="宋体" w:cs="宋体"/>
          <w:color w:val="auto"/>
          <w:kern w:val="0"/>
          <w:sz w:val="24"/>
          <w:highlight w:val="none"/>
        </w:rPr>
        <w:t>单价金额小数点或者百分比有明显错位的，以</w:t>
      </w:r>
      <w:r>
        <w:rPr>
          <w:rFonts w:hint="eastAsia" w:ascii="宋体" w:hAnsi="宋体" w:cs="宋体"/>
          <w:color w:val="auto"/>
          <w:kern w:val="0"/>
          <w:sz w:val="24"/>
          <w:highlight w:val="none"/>
        </w:rPr>
        <w:t>报价一览表</w:t>
      </w:r>
      <w:r>
        <w:rPr>
          <w:rFonts w:ascii="宋体" w:hAnsi="宋体" w:cs="宋体"/>
          <w:color w:val="auto"/>
          <w:kern w:val="0"/>
          <w:sz w:val="24"/>
          <w:highlight w:val="none"/>
        </w:rPr>
        <w:t>的总价为准，并修改单价；</w:t>
      </w:r>
    </w:p>
    <w:p>
      <w:pPr>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w:t>
      </w:r>
      <w:r>
        <w:rPr>
          <w:rFonts w:ascii="宋体" w:hAnsi="宋体" w:cs="宋体"/>
          <w:color w:val="auto"/>
          <w:kern w:val="0"/>
          <w:sz w:val="24"/>
          <w:highlight w:val="none"/>
        </w:rPr>
        <w:t>总价金额与按单价汇总金额不一致的，以单价金额计算结果为准。</w:t>
      </w:r>
    </w:p>
    <w:p>
      <w:pPr>
        <w:widowControl/>
        <w:spacing w:line="460" w:lineRule="exact"/>
        <w:ind w:firstLine="480" w:firstLineChars="200"/>
        <w:jc w:val="left"/>
        <w:rPr>
          <w:rFonts w:ascii="宋体" w:hAnsi="宋体" w:cs="宋体"/>
          <w:color w:val="auto"/>
          <w:kern w:val="0"/>
          <w:sz w:val="24"/>
          <w:highlight w:val="none"/>
        </w:rPr>
      </w:pPr>
      <w:r>
        <w:rPr>
          <w:rFonts w:ascii="宋体" w:hAnsi="宋体" w:cs="宋体"/>
          <w:color w:val="auto"/>
          <w:kern w:val="0"/>
          <w:sz w:val="24"/>
          <w:highlight w:val="none"/>
        </w:rPr>
        <w:t>同时出现两种以上不一致的，按照前款规定的顺序修正。修正后的报价</w:t>
      </w:r>
      <w:r>
        <w:rPr>
          <w:rFonts w:hint="eastAsia" w:ascii="宋体" w:hAnsi="宋体" w:cs="宋体"/>
          <w:color w:val="auto"/>
          <w:kern w:val="0"/>
          <w:sz w:val="24"/>
          <w:highlight w:val="none"/>
        </w:rPr>
        <w:t>采用书面形式，并加盖公章，或者由法定代表人或其授权的代表签字</w:t>
      </w:r>
      <w:r>
        <w:rPr>
          <w:rFonts w:ascii="宋体" w:hAnsi="宋体" w:cs="宋体"/>
          <w:color w:val="auto"/>
          <w:kern w:val="0"/>
          <w:sz w:val="24"/>
          <w:highlight w:val="none"/>
        </w:rPr>
        <w:t>确认后产生约束力，</w:t>
      </w:r>
      <w:r>
        <w:rPr>
          <w:rFonts w:hint="eastAsia" w:ascii="宋体" w:hAnsi="宋体" w:cs="宋体"/>
          <w:color w:val="auto"/>
          <w:kern w:val="0"/>
          <w:sz w:val="24"/>
          <w:highlight w:val="none"/>
        </w:rPr>
        <w:t>供应商</w:t>
      </w:r>
      <w:r>
        <w:rPr>
          <w:rFonts w:ascii="宋体" w:hAnsi="宋体" w:cs="宋体"/>
          <w:color w:val="auto"/>
          <w:kern w:val="0"/>
          <w:sz w:val="24"/>
          <w:highlight w:val="none"/>
        </w:rPr>
        <w:t>不确认的，其</w:t>
      </w:r>
      <w:r>
        <w:rPr>
          <w:rFonts w:hint="eastAsia" w:ascii="宋体" w:hAnsi="宋体" w:cs="宋体"/>
          <w:color w:val="auto"/>
          <w:kern w:val="0"/>
          <w:sz w:val="24"/>
          <w:highlight w:val="none"/>
        </w:rPr>
        <w:t>响应文件</w:t>
      </w:r>
      <w:r>
        <w:rPr>
          <w:rFonts w:ascii="宋体" w:hAnsi="宋体" w:cs="宋体"/>
          <w:color w:val="auto"/>
          <w:kern w:val="0"/>
          <w:sz w:val="24"/>
          <w:highlight w:val="none"/>
        </w:rPr>
        <w:t>无效。</w:t>
      </w:r>
    </w:p>
    <w:p>
      <w:pPr>
        <w:widowControl/>
        <w:spacing w:line="460" w:lineRule="exact"/>
        <w:jc w:val="left"/>
        <w:rPr>
          <w:rFonts w:ascii="宋体" w:hAnsi="宋体" w:cs="宋体"/>
          <w:b/>
          <w:bCs/>
          <w:color w:val="auto"/>
          <w:sz w:val="24"/>
          <w:highlight w:val="none"/>
        </w:rPr>
      </w:pPr>
      <w:r>
        <w:rPr>
          <w:rFonts w:hint="eastAsia" w:ascii="宋体" w:hAnsi="宋体" w:cs="宋体"/>
          <w:b/>
          <w:bCs/>
          <w:color w:val="auto"/>
          <w:sz w:val="24"/>
          <w:highlight w:val="none"/>
        </w:rPr>
        <w:t>八、下列情形之一的，视为供应商串通，其响应文件无效：</w:t>
      </w:r>
    </w:p>
    <w:p>
      <w:pPr>
        <w:widowControl/>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1.不同供应商的响应文件由同一单位或者个人编制；</w:t>
      </w:r>
    </w:p>
    <w:p>
      <w:pPr>
        <w:widowControl/>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2.不同供应商委托同一单位或者个人办理询价事宜；</w:t>
      </w:r>
    </w:p>
    <w:p>
      <w:pPr>
        <w:widowControl/>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3.不同供应商的响应文件载明的项目管理成员或者联系人员为同一人；</w:t>
      </w:r>
    </w:p>
    <w:p>
      <w:pPr>
        <w:widowControl/>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4.不同供应商的响应文件异常一致或者报价呈规律性差异；</w:t>
      </w:r>
    </w:p>
    <w:p>
      <w:pPr>
        <w:widowControl/>
        <w:spacing w:line="460" w:lineRule="exact"/>
        <w:ind w:firstLine="480" w:firstLineChars="200"/>
        <w:jc w:val="left"/>
        <w:rPr>
          <w:rFonts w:ascii="宋体" w:hAnsi="宋体" w:cs="宋体"/>
          <w:b/>
          <w:bCs/>
          <w:color w:val="auto"/>
          <w:sz w:val="24"/>
          <w:highlight w:val="none"/>
        </w:rPr>
      </w:pPr>
      <w:r>
        <w:rPr>
          <w:rFonts w:hint="eastAsia" w:ascii="宋体" w:hAnsi="宋体" w:cs="宋体"/>
          <w:color w:val="auto"/>
          <w:sz w:val="24"/>
          <w:highlight w:val="none"/>
        </w:rPr>
        <w:t>5.不同供应商的响应文件相互混装。</w:t>
      </w:r>
    </w:p>
    <w:p>
      <w:pPr>
        <w:widowControl/>
        <w:spacing w:line="460" w:lineRule="exact"/>
        <w:jc w:val="left"/>
        <w:rPr>
          <w:rFonts w:ascii="宋体" w:hAnsi="宋体" w:cs="宋体"/>
          <w:b/>
          <w:bCs/>
          <w:color w:val="auto"/>
          <w:sz w:val="24"/>
          <w:highlight w:val="none"/>
        </w:rPr>
      </w:pPr>
      <w:r>
        <w:rPr>
          <w:rFonts w:hint="eastAsia" w:ascii="宋体" w:hAnsi="宋体" w:cs="宋体"/>
          <w:b/>
          <w:bCs/>
          <w:color w:val="auto"/>
          <w:sz w:val="24"/>
          <w:highlight w:val="none"/>
        </w:rPr>
        <w:t>九、询价会议</w:t>
      </w:r>
    </w:p>
    <w:p>
      <w:pPr>
        <w:pStyle w:val="15"/>
        <w:spacing w:after="0" w:line="460" w:lineRule="exact"/>
        <w:ind w:left="0" w:leftChars="0" w:firstLine="482"/>
        <w:jc w:val="left"/>
        <w:rPr>
          <w:rFonts w:ascii="宋体" w:hAnsi="宋体" w:cs="宋体"/>
          <w:b/>
          <w:bCs/>
          <w:color w:val="auto"/>
          <w:sz w:val="24"/>
          <w:highlight w:val="none"/>
        </w:rPr>
      </w:pPr>
      <w:r>
        <w:rPr>
          <w:rFonts w:hint="eastAsia" w:ascii="宋体" w:hAnsi="宋体" w:cs="宋体"/>
          <w:b/>
          <w:bCs/>
          <w:color w:val="auto"/>
          <w:sz w:val="24"/>
          <w:highlight w:val="none"/>
        </w:rPr>
        <w:t>1.询价小组组建</w:t>
      </w:r>
    </w:p>
    <w:p>
      <w:pPr>
        <w:widowControl/>
        <w:spacing w:line="460" w:lineRule="exact"/>
        <w:ind w:firstLine="480" w:firstLineChars="200"/>
        <w:jc w:val="left"/>
        <w:rPr>
          <w:rFonts w:ascii="宋体" w:hAnsi="宋体" w:cs="宋体"/>
          <w:b/>
          <w:bCs/>
          <w:color w:val="auto"/>
          <w:kern w:val="0"/>
          <w:sz w:val="24"/>
          <w:highlight w:val="none"/>
        </w:rPr>
      </w:pPr>
      <w:r>
        <w:rPr>
          <w:rFonts w:hint="eastAsia" w:ascii="宋体" w:hAnsi="宋体" w:cs="宋体"/>
          <w:color w:val="auto"/>
          <w:sz w:val="24"/>
          <w:highlight w:val="none"/>
        </w:rPr>
        <w:t>根据项目特点从</w:t>
      </w:r>
      <w:r>
        <w:rPr>
          <w:rFonts w:hint="eastAsia" w:ascii="宋体" w:hAnsi="宋体" w:cs="宋体"/>
          <w:bCs/>
          <w:color w:val="auto"/>
          <w:kern w:val="0"/>
          <w:sz w:val="24"/>
          <w:highlight w:val="none"/>
        </w:rPr>
        <w:t>专家库中</w:t>
      </w:r>
      <w:r>
        <w:rPr>
          <w:rFonts w:hint="eastAsia" w:ascii="宋体" w:hAnsi="宋体" w:cs="宋体"/>
          <w:color w:val="auto"/>
          <w:sz w:val="24"/>
          <w:highlight w:val="none"/>
        </w:rPr>
        <w:t>随机抽取2人，采购人代表1人，共3人组成</w:t>
      </w:r>
      <w:r>
        <w:rPr>
          <w:rFonts w:hint="eastAsia" w:ascii="宋体" w:hAnsi="宋体" w:cs="宋体"/>
          <w:bCs/>
          <w:color w:val="auto"/>
          <w:kern w:val="0"/>
          <w:sz w:val="24"/>
          <w:highlight w:val="none"/>
        </w:rPr>
        <w:t>询价小组。</w:t>
      </w:r>
    </w:p>
    <w:p>
      <w:pPr>
        <w:pStyle w:val="15"/>
        <w:spacing w:after="0" w:line="460" w:lineRule="exact"/>
        <w:ind w:left="0" w:leftChars="0" w:firstLine="482"/>
        <w:jc w:val="left"/>
        <w:rPr>
          <w:rFonts w:ascii="宋体" w:hAnsi="宋体" w:cs="宋体"/>
          <w:b/>
          <w:bCs/>
          <w:color w:val="auto"/>
          <w:sz w:val="24"/>
          <w:highlight w:val="none"/>
        </w:rPr>
      </w:pPr>
      <w:r>
        <w:rPr>
          <w:rFonts w:hint="eastAsia" w:ascii="宋体" w:hAnsi="宋体" w:cs="宋体"/>
          <w:b/>
          <w:bCs/>
          <w:color w:val="auto"/>
          <w:sz w:val="24"/>
          <w:highlight w:val="none"/>
        </w:rPr>
        <w:t>2.资格审查</w:t>
      </w:r>
    </w:p>
    <w:p>
      <w:pPr>
        <w:pStyle w:val="15"/>
        <w:spacing w:after="0" w:line="460" w:lineRule="exact"/>
        <w:ind w:left="0" w:leftChars="0" w:firstLine="480"/>
        <w:jc w:val="left"/>
        <w:rPr>
          <w:rFonts w:ascii="宋体" w:hAnsi="宋体" w:cs="宋体"/>
          <w:color w:val="auto"/>
          <w:sz w:val="24"/>
          <w:highlight w:val="none"/>
        </w:rPr>
      </w:pPr>
      <w:r>
        <w:rPr>
          <w:rFonts w:hint="eastAsia" w:ascii="宋体" w:hAnsi="宋体" w:cs="楷体_GB2312"/>
          <w:color w:val="auto"/>
          <w:kern w:val="0"/>
          <w:sz w:val="24"/>
          <w:highlight w:val="none"/>
        </w:rPr>
        <w:t>询价小组对响应文件进行</w:t>
      </w:r>
      <w:r>
        <w:rPr>
          <w:rFonts w:hint="eastAsia" w:ascii="宋体" w:hAnsi="宋体" w:cs="宋体"/>
          <w:color w:val="auto"/>
          <w:sz w:val="24"/>
          <w:highlight w:val="none"/>
        </w:rPr>
        <w:t>资格评审</w:t>
      </w:r>
      <w:r>
        <w:rPr>
          <w:rFonts w:hint="eastAsia" w:ascii="宋体" w:hAnsi="宋体" w:cs="楷体_GB2312"/>
          <w:color w:val="auto"/>
          <w:kern w:val="0"/>
          <w:sz w:val="24"/>
          <w:highlight w:val="none"/>
        </w:rPr>
        <w:t>，未通过</w:t>
      </w:r>
      <w:r>
        <w:rPr>
          <w:rFonts w:hint="eastAsia" w:ascii="宋体" w:hAnsi="宋体" w:cs="宋体"/>
          <w:color w:val="auto"/>
          <w:sz w:val="24"/>
          <w:highlight w:val="none"/>
        </w:rPr>
        <w:t>资格评审</w:t>
      </w:r>
      <w:r>
        <w:rPr>
          <w:rFonts w:hint="eastAsia" w:ascii="宋体" w:hAnsi="宋体" w:cs="楷体_GB2312"/>
          <w:color w:val="auto"/>
          <w:kern w:val="0"/>
          <w:sz w:val="24"/>
          <w:highlight w:val="none"/>
        </w:rPr>
        <w:t>的响应文件无效，</w:t>
      </w:r>
      <w:r>
        <w:rPr>
          <w:rFonts w:hint="eastAsia" w:ascii="宋体" w:hAnsi="宋体" w:cs="宋体"/>
          <w:color w:val="auto"/>
          <w:sz w:val="24"/>
          <w:highlight w:val="none"/>
        </w:rPr>
        <w:t>资格评审标准如下：</w:t>
      </w:r>
    </w:p>
    <w:tbl>
      <w:tblPr>
        <w:tblStyle w:val="25"/>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62"/>
        <w:gridCol w:w="6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38"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b/>
                <w:bCs/>
                <w:color w:val="auto"/>
                <w:spacing w:val="-4"/>
                <w:kern w:val="0"/>
                <w:sz w:val="24"/>
                <w:highlight w:val="none"/>
              </w:rPr>
              <w:t>序号</w:t>
            </w:r>
          </w:p>
        </w:tc>
        <w:tc>
          <w:tcPr>
            <w:tcW w:w="1862"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b/>
                <w:bCs/>
                <w:color w:val="auto"/>
                <w:spacing w:val="-4"/>
                <w:kern w:val="0"/>
                <w:sz w:val="24"/>
                <w:highlight w:val="none"/>
              </w:rPr>
              <w:t>评审因素</w:t>
            </w:r>
          </w:p>
        </w:tc>
        <w:tc>
          <w:tcPr>
            <w:tcW w:w="6963" w:type="dxa"/>
            <w:shd w:val="clear" w:color="auto" w:fill="auto"/>
            <w:vAlign w:val="center"/>
          </w:tcPr>
          <w:p>
            <w:pPr>
              <w:widowControl/>
              <w:spacing w:line="400" w:lineRule="exact"/>
              <w:jc w:val="center"/>
              <w:rPr>
                <w:rFonts w:ascii="宋体" w:hAnsi="宋体" w:cs="宋体"/>
                <w:color w:val="auto"/>
                <w:spacing w:val="-4"/>
                <w:kern w:val="0"/>
                <w:sz w:val="24"/>
                <w:highlight w:val="none"/>
                <w:lang w:val="zh-CN"/>
              </w:rPr>
            </w:pPr>
            <w:r>
              <w:rPr>
                <w:rFonts w:hint="eastAsia" w:ascii="宋体" w:hAnsi="宋体" w:cs="宋体"/>
                <w:b/>
                <w:bCs/>
                <w:color w:val="auto"/>
                <w:spacing w:val="-4"/>
                <w:kern w:val="0"/>
                <w:sz w:val="24"/>
                <w:highlight w:val="none"/>
              </w:rPr>
              <w:t>资格评审标准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8"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1</w:t>
            </w:r>
          </w:p>
        </w:tc>
        <w:tc>
          <w:tcPr>
            <w:tcW w:w="1862"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具有独立承担民事责任的能力</w:t>
            </w:r>
          </w:p>
        </w:tc>
        <w:tc>
          <w:tcPr>
            <w:tcW w:w="6963" w:type="dxa"/>
            <w:shd w:val="clear" w:color="auto" w:fill="auto"/>
            <w:vAlign w:val="center"/>
          </w:tcPr>
          <w:p>
            <w:pPr>
              <w:spacing w:line="400" w:lineRule="exact"/>
              <w:rPr>
                <w:rFonts w:ascii="宋体" w:hAnsi="宋体" w:cs="宋体"/>
                <w:color w:val="auto"/>
                <w:spacing w:val="-4"/>
                <w:kern w:val="0"/>
                <w:sz w:val="24"/>
                <w:highlight w:val="none"/>
                <w:lang w:val="zh-CN"/>
              </w:rPr>
            </w:pPr>
            <w:r>
              <w:rPr>
                <w:rFonts w:hint="eastAsia" w:ascii="宋体" w:hAnsi="宋体" w:cs="宋体"/>
                <w:color w:val="auto"/>
                <w:spacing w:val="-4"/>
                <w:kern w:val="0"/>
                <w:sz w:val="24"/>
                <w:highlight w:val="none"/>
              </w:rPr>
              <w:t>提供法人或者其他组织的营业执照等证明文件；</w:t>
            </w:r>
            <w:r>
              <w:rPr>
                <w:rFonts w:hint="eastAsia" w:ascii="宋体" w:hAnsi="宋体" w:cs="宋体"/>
                <w:color w:val="auto"/>
                <w:spacing w:val="-4"/>
                <w:kern w:val="0"/>
                <w:sz w:val="24"/>
                <w:highlight w:val="none"/>
                <w:lang w:val="zh-CN"/>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8"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2</w:t>
            </w:r>
          </w:p>
        </w:tc>
        <w:tc>
          <w:tcPr>
            <w:tcW w:w="1862"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具有良好的商业信誉和健全的财务会计制度</w:t>
            </w:r>
          </w:p>
        </w:tc>
        <w:tc>
          <w:tcPr>
            <w:tcW w:w="6963" w:type="dxa"/>
            <w:shd w:val="clear" w:color="auto" w:fill="auto"/>
            <w:vAlign w:val="center"/>
          </w:tcPr>
          <w:p>
            <w:pPr>
              <w:pStyle w:val="15"/>
              <w:spacing w:after="0" w:line="400" w:lineRule="exact"/>
              <w:ind w:left="0" w:leftChars="0" w:firstLine="0" w:firstLineChars="0"/>
              <w:rPr>
                <w:rFonts w:ascii="宋体" w:hAnsi="宋体" w:cs="宋体"/>
                <w:color w:val="auto"/>
                <w:spacing w:val="-4"/>
                <w:kern w:val="0"/>
                <w:sz w:val="24"/>
                <w:highlight w:val="none"/>
                <w:lang w:val="zh-CN"/>
              </w:rPr>
            </w:pPr>
            <w:r>
              <w:rPr>
                <w:rFonts w:hint="eastAsia" w:ascii="宋体" w:hAnsi="宋体" w:cs="宋体"/>
                <w:color w:val="auto"/>
                <w:sz w:val="24"/>
                <w:highlight w:val="none"/>
              </w:rPr>
              <w:t>内容可为以下两者之一：①提供2021年至今任意一年经审计的财务状况报告（至少包含审计报告、资产负债表、利润表、现金流量表），成立未满1年或成立至今未产生经营活动的供应商提供自成立至今的财务报表或财务情况说明；②提供自响应文件提交截止时间前三个月内基本开户银行出具的资信证明</w:t>
            </w:r>
            <w:r>
              <w:rPr>
                <w:rFonts w:hint="eastAsia" w:ascii="宋体" w:hAnsi="宋体" w:cs="宋体"/>
                <w:color w:val="auto"/>
                <w:spacing w:val="-4"/>
                <w:kern w:val="0"/>
                <w:sz w:val="24"/>
                <w:highlight w:val="none"/>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38"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3</w:t>
            </w:r>
          </w:p>
        </w:tc>
        <w:tc>
          <w:tcPr>
            <w:tcW w:w="1862"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具有履行合同所必需的设备和专业技术能力</w:t>
            </w:r>
          </w:p>
        </w:tc>
        <w:tc>
          <w:tcPr>
            <w:tcW w:w="6963" w:type="dxa"/>
            <w:shd w:val="clear" w:color="auto" w:fill="auto"/>
            <w:vAlign w:val="center"/>
          </w:tcPr>
          <w:p>
            <w:pPr>
              <w:pStyle w:val="15"/>
              <w:spacing w:after="0" w:line="400" w:lineRule="exact"/>
              <w:ind w:left="0" w:leftChars="0" w:firstLine="0" w:firstLineChars="0"/>
              <w:rPr>
                <w:rFonts w:ascii="宋体" w:hAnsi="宋体" w:cs="宋体"/>
                <w:color w:val="auto"/>
                <w:spacing w:val="-4"/>
                <w:kern w:val="0"/>
                <w:sz w:val="24"/>
                <w:highlight w:val="none"/>
                <w:lang w:val="zh-CN"/>
              </w:rPr>
            </w:pPr>
            <w:r>
              <w:rPr>
                <w:rFonts w:hint="eastAsia" w:ascii="宋体" w:hAnsi="宋体" w:cs="宋体"/>
                <w:color w:val="auto"/>
                <w:sz w:val="24"/>
                <w:highlight w:val="none"/>
                <w:lang w:bidi="ar"/>
              </w:rPr>
              <w:t>提供具备履行合同所必需的设备和专业技术能力的证明材料或承诺书</w:t>
            </w:r>
            <w:r>
              <w:rPr>
                <w:rFonts w:hint="eastAsia" w:ascii="宋体" w:hAnsi="宋体" w:cs="宋体"/>
                <w:color w:val="auto"/>
                <w:spacing w:val="-4"/>
                <w:kern w:val="0"/>
                <w:sz w:val="24"/>
                <w:highlight w:val="none"/>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8"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4</w:t>
            </w:r>
          </w:p>
        </w:tc>
        <w:tc>
          <w:tcPr>
            <w:tcW w:w="1862"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有依法缴纳税收和社会保障资金的良好记录</w:t>
            </w:r>
          </w:p>
        </w:tc>
        <w:tc>
          <w:tcPr>
            <w:tcW w:w="6963" w:type="dxa"/>
            <w:shd w:val="clear" w:color="auto" w:fill="auto"/>
            <w:vAlign w:val="center"/>
          </w:tcPr>
          <w:p>
            <w:pPr>
              <w:pStyle w:val="15"/>
              <w:spacing w:after="0" w:line="400" w:lineRule="exact"/>
              <w:ind w:left="0" w:leftChars="0" w:firstLine="0" w:firstLineChars="0"/>
              <w:rPr>
                <w:rFonts w:ascii="宋体" w:hAnsi="宋体" w:cs="宋体"/>
                <w:color w:val="auto"/>
                <w:spacing w:val="-4"/>
                <w:kern w:val="0"/>
                <w:sz w:val="24"/>
                <w:highlight w:val="none"/>
                <w:lang w:val="zh-CN"/>
              </w:rPr>
            </w:pPr>
            <w:r>
              <w:rPr>
                <w:rFonts w:ascii="宋体" w:hAnsi="宋体" w:cs="宋体"/>
                <w:color w:val="auto"/>
                <w:sz w:val="24"/>
                <w:highlight w:val="none"/>
                <w:lang w:bidi="ar"/>
              </w:rPr>
              <w:t>①</w:t>
            </w:r>
            <w:r>
              <w:rPr>
                <w:rFonts w:hint="eastAsia" w:ascii="宋体" w:hAnsi="宋体" w:cs="宋体"/>
                <w:color w:val="auto"/>
                <w:sz w:val="24"/>
                <w:highlight w:val="none"/>
              </w:rPr>
              <w:t>提供2022年1月至今任意1个月缴纳税收的证明材料，依法免税的，应提供依法免税的相关证明文件，成立未满1个月</w:t>
            </w:r>
            <w:r>
              <w:rPr>
                <w:rFonts w:hint="eastAsia" w:cs="宋体"/>
                <w:color w:val="auto"/>
                <w:sz w:val="24"/>
                <w:highlight w:val="none"/>
              </w:rPr>
              <w:t>或</w:t>
            </w:r>
            <w:r>
              <w:rPr>
                <w:rFonts w:hint="eastAsia" w:ascii="宋体" w:hAnsi="宋体" w:cs="宋体"/>
                <w:color w:val="auto"/>
                <w:sz w:val="24"/>
                <w:highlight w:val="none"/>
              </w:rPr>
              <w:t>成立至今</w:t>
            </w:r>
            <w:r>
              <w:rPr>
                <w:rFonts w:hint="eastAsia" w:cs="宋体"/>
                <w:color w:val="auto"/>
                <w:sz w:val="24"/>
                <w:highlight w:val="none"/>
              </w:rPr>
              <w:t>未产生经营活动的</w:t>
            </w:r>
            <w:r>
              <w:rPr>
                <w:rFonts w:hint="eastAsia" w:ascii="宋体" w:hAnsi="宋体" w:cs="宋体"/>
                <w:color w:val="auto"/>
                <w:sz w:val="24"/>
                <w:highlight w:val="none"/>
              </w:rPr>
              <w:t>供应商</w:t>
            </w:r>
            <w:r>
              <w:rPr>
                <w:rFonts w:hint="eastAsia" w:cs="宋体"/>
                <w:color w:val="auto"/>
                <w:sz w:val="24"/>
                <w:highlight w:val="none"/>
              </w:rPr>
              <w:t>自行提供情况说明；</w:t>
            </w:r>
            <w:r>
              <w:rPr>
                <w:rFonts w:ascii="宋体" w:hAnsi="宋体" w:cs="宋体"/>
                <w:color w:val="auto"/>
                <w:sz w:val="24"/>
                <w:highlight w:val="none"/>
                <w:lang w:bidi="ar"/>
              </w:rPr>
              <w:t>②</w:t>
            </w:r>
            <w:r>
              <w:rPr>
                <w:rFonts w:hint="eastAsia" w:ascii="宋体" w:hAnsi="宋体" w:cs="宋体"/>
                <w:color w:val="auto"/>
                <w:sz w:val="24"/>
                <w:highlight w:val="none"/>
              </w:rPr>
              <w:t>提供2022年1月至今任意1个月缴纳社会保障资金的证明材料，依法免缴的，应提供依法免缴的相关证明文件，成立未满1个月的无需提供</w:t>
            </w:r>
            <w:r>
              <w:rPr>
                <w:rFonts w:hint="eastAsia" w:ascii="宋体" w:hAnsi="宋体" w:cs="宋体"/>
                <w:color w:val="auto"/>
                <w:spacing w:val="-4"/>
                <w:kern w:val="0"/>
                <w:sz w:val="24"/>
                <w:highlight w:val="none"/>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8"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5</w:t>
            </w:r>
          </w:p>
        </w:tc>
        <w:tc>
          <w:tcPr>
            <w:tcW w:w="1862"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参加政府采购活动前三年内，在经营活动中没有重大违法记录</w:t>
            </w:r>
          </w:p>
        </w:tc>
        <w:tc>
          <w:tcPr>
            <w:tcW w:w="6963" w:type="dxa"/>
            <w:shd w:val="clear" w:color="auto" w:fill="auto"/>
            <w:vAlign w:val="center"/>
          </w:tcPr>
          <w:p>
            <w:pPr>
              <w:spacing w:line="400" w:lineRule="exact"/>
              <w:rPr>
                <w:rFonts w:ascii="宋体" w:hAnsi="宋体" w:cs="宋体"/>
                <w:color w:val="auto"/>
                <w:spacing w:val="-4"/>
                <w:kern w:val="0"/>
                <w:sz w:val="24"/>
                <w:highlight w:val="none"/>
              </w:rPr>
            </w:pPr>
            <w:r>
              <w:rPr>
                <w:rFonts w:hint="eastAsia" w:ascii="宋体" w:hAnsi="宋体" w:cs="宋体"/>
                <w:color w:val="auto"/>
                <w:sz w:val="24"/>
                <w:highlight w:val="none"/>
              </w:rPr>
              <w:t>提供参加政府采购活动前三年内在经营活动中没有重大违法记录的书面声明</w:t>
            </w:r>
            <w:r>
              <w:rPr>
                <w:rFonts w:hint="eastAsia" w:ascii="宋体" w:hAnsi="宋体" w:cs="宋体"/>
                <w:color w:val="auto"/>
                <w:spacing w:val="-4"/>
                <w:kern w:val="0"/>
                <w:sz w:val="24"/>
                <w:highlight w:val="none"/>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38"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6</w:t>
            </w:r>
          </w:p>
        </w:tc>
        <w:tc>
          <w:tcPr>
            <w:tcW w:w="1862"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法律、行政法规规定的其他条件</w:t>
            </w:r>
          </w:p>
        </w:tc>
        <w:tc>
          <w:tcPr>
            <w:tcW w:w="6963" w:type="dxa"/>
            <w:shd w:val="clear" w:color="auto" w:fill="auto"/>
            <w:vAlign w:val="center"/>
          </w:tcPr>
          <w:p>
            <w:pPr>
              <w:spacing w:line="400" w:lineRule="exact"/>
              <w:rPr>
                <w:rFonts w:ascii="宋体" w:hAnsi="宋体" w:cs="宋体"/>
                <w:color w:val="auto"/>
                <w:sz w:val="24"/>
                <w:highlight w:val="none"/>
              </w:rPr>
            </w:pPr>
            <w:r>
              <w:rPr>
                <w:rFonts w:ascii="宋体" w:hAnsi="宋体" w:cs="宋体"/>
                <w:color w:val="auto"/>
                <w:sz w:val="24"/>
                <w:highlight w:val="none"/>
                <w:lang w:bidi="ar"/>
              </w:rPr>
              <w:t>①</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r>
              <w:rPr>
                <w:rFonts w:hint="eastAsia" w:ascii="宋体" w:hAnsi="宋体" w:cs="宋体"/>
                <w:color w:val="auto"/>
                <w:spacing w:val="-4"/>
                <w:kern w:val="0"/>
                <w:sz w:val="24"/>
                <w:highlight w:val="none"/>
              </w:rPr>
              <w:t>（自行提供说明并</w:t>
            </w:r>
            <w:r>
              <w:rPr>
                <w:rFonts w:hint="eastAsia" w:ascii="宋体" w:hAnsi="宋体" w:cs="宋体"/>
                <w:b/>
                <w:bCs/>
                <w:color w:val="auto"/>
                <w:spacing w:val="-4"/>
                <w:kern w:val="0"/>
                <w:sz w:val="24"/>
                <w:highlight w:val="none"/>
                <w:lang w:val="zh-CN"/>
              </w:rPr>
              <w:t>加盖公章</w:t>
            </w:r>
            <w:r>
              <w:rPr>
                <w:rFonts w:hint="eastAsia" w:ascii="宋体" w:hAnsi="宋体" w:cs="宋体"/>
                <w:color w:val="auto"/>
                <w:spacing w:val="-4"/>
                <w:kern w:val="0"/>
                <w:sz w:val="24"/>
                <w:highlight w:val="none"/>
              </w:rPr>
              <w:t>）</w:t>
            </w:r>
          </w:p>
          <w:p>
            <w:pPr>
              <w:spacing w:line="400" w:lineRule="exact"/>
              <w:rPr>
                <w:rFonts w:ascii="宋体" w:hAnsi="宋体" w:cs="宋体"/>
                <w:color w:val="auto"/>
                <w:spacing w:val="-4"/>
                <w:kern w:val="0"/>
                <w:sz w:val="24"/>
                <w:highlight w:val="none"/>
              </w:rPr>
            </w:pPr>
            <w:r>
              <w:rPr>
                <w:rFonts w:ascii="宋体" w:hAnsi="宋体" w:cs="宋体"/>
                <w:color w:val="auto"/>
                <w:sz w:val="24"/>
                <w:highlight w:val="none"/>
                <w:lang w:bidi="ar"/>
              </w:rPr>
              <w:t>②</w:t>
            </w:r>
            <w:r>
              <w:rPr>
                <w:rFonts w:hint="eastAsia" w:ascii="宋体" w:hAnsi="宋体" w:cs="宋体"/>
                <w:color w:val="auto"/>
                <w:sz w:val="24"/>
                <w:highlight w:val="none"/>
              </w:rPr>
              <w:t>供应商及法定代表人在“信用中国”未被列入失信被执行人名单；供应商在“信用中国”未被列入重大税收违法失信主体、在“中国政府采购网”中未被列入：政府采购严重违法失信行为记录名单。</w:t>
            </w:r>
            <w:r>
              <w:rPr>
                <w:rFonts w:hint="eastAsia" w:ascii="宋体" w:hAnsi="宋体" w:cs="宋体"/>
                <w:b/>
                <w:bCs/>
                <w:color w:val="auto"/>
                <w:sz w:val="24"/>
                <w:highlight w:val="none"/>
              </w:rPr>
              <w:t>（注：以上网站均由采购人或采购代理机构在评审时查询，若供应商或法定代表人有不良信誉，视为不满足资格要求，响应文件无效。）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738"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7</w:t>
            </w:r>
          </w:p>
        </w:tc>
        <w:tc>
          <w:tcPr>
            <w:tcW w:w="1862" w:type="dxa"/>
            <w:shd w:val="clear" w:color="auto" w:fill="auto"/>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z w:val="24"/>
                <w:highlight w:val="none"/>
              </w:rPr>
              <w:t>本项目的特定资格要求</w:t>
            </w:r>
          </w:p>
        </w:tc>
        <w:tc>
          <w:tcPr>
            <w:tcW w:w="6963" w:type="dxa"/>
            <w:shd w:val="clear" w:color="auto" w:fill="auto"/>
            <w:vAlign w:val="center"/>
          </w:tcPr>
          <w:p>
            <w:pPr>
              <w:spacing w:line="400" w:lineRule="exact"/>
              <w:rPr>
                <w:rFonts w:ascii="宋体" w:hAnsi="宋体" w:cs="宋体"/>
                <w:color w:val="auto"/>
                <w:spacing w:val="-4"/>
                <w:kern w:val="0"/>
                <w:sz w:val="24"/>
                <w:highlight w:val="none"/>
              </w:rPr>
            </w:pPr>
            <w:r>
              <w:rPr>
                <w:rFonts w:hint="eastAsia" w:ascii="宋体" w:hAnsi="宋体" w:cs="宋体"/>
                <w:color w:val="auto"/>
                <w:sz w:val="24"/>
                <w:highlight w:val="none"/>
              </w:rPr>
              <w:t>提供有效的《中华人民共和国医疗器械经营许可证》或《医疗器械经营备案凭证》</w:t>
            </w:r>
          </w:p>
        </w:tc>
      </w:tr>
    </w:tbl>
    <w:p>
      <w:pPr>
        <w:spacing w:line="460" w:lineRule="exact"/>
        <w:ind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3.符合性审查</w:t>
      </w:r>
    </w:p>
    <w:p>
      <w:pPr>
        <w:adjustRightInd w:val="0"/>
        <w:snapToGrid w:val="0"/>
        <w:spacing w:line="460" w:lineRule="exact"/>
        <w:ind w:firstLine="480" w:firstLineChars="200"/>
        <w:rPr>
          <w:rFonts w:ascii="宋体" w:hAnsi="宋体"/>
          <w:b/>
          <w:color w:val="auto"/>
          <w:kern w:val="10"/>
          <w:sz w:val="24"/>
          <w:highlight w:val="none"/>
        </w:rPr>
      </w:pPr>
      <w:r>
        <w:rPr>
          <w:rFonts w:hint="eastAsia" w:ascii="宋体" w:hAnsi="宋体" w:cs="宋体"/>
          <w:bCs/>
          <w:color w:val="auto"/>
          <w:kern w:val="0"/>
          <w:sz w:val="24"/>
          <w:highlight w:val="none"/>
        </w:rPr>
        <w:t>询价小组</w:t>
      </w:r>
      <w:r>
        <w:rPr>
          <w:rFonts w:hint="eastAsia" w:ascii="宋体" w:hAnsi="宋体" w:cs="宋体"/>
          <w:bCs/>
          <w:color w:val="auto"/>
          <w:sz w:val="24"/>
          <w:highlight w:val="none"/>
        </w:rPr>
        <w:t>对</w:t>
      </w:r>
      <w:r>
        <w:rPr>
          <w:rFonts w:hint="eastAsia" w:ascii="宋体" w:hAnsi="宋体" w:cs="宋体"/>
          <w:color w:val="auto"/>
          <w:sz w:val="24"/>
          <w:highlight w:val="none"/>
        </w:rPr>
        <w:t>符合资格的供应商的响应文件进行符合性审查，</w:t>
      </w:r>
      <w:r>
        <w:rPr>
          <w:rFonts w:hint="eastAsia" w:ascii="宋体" w:hAnsi="宋体" w:cs="宋体"/>
          <w:bCs/>
          <w:color w:val="auto"/>
          <w:sz w:val="24"/>
          <w:highlight w:val="none"/>
        </w:rPr>
        <w:t>未通过符合性审查的响应文件无效</w:t>
      </w:r>
      <w:r>
        <w:rPr>
          <w:rFonts w:hint="eastAsia" w:ascii="宋体" w:hAnsi="宋体" w:cs="宋体"/>
          <w:color w:val="auto"/>
          <w:sz w:val="24"/>
          <w:highlight w:val="none"/>
        </w:rPr>
        <w:t>，审查标准如下：</w:t>
      </w:r>
    </w:p>
    <w:tbl>
      <w:tblPr>
        <w:tblStyle w:val="25"/>
        <w:tblW w:w="9465" w:type="dxa"/>
        <w:jc w:val="center"/>
        <w:tblLayout w:type="fixed"/>
        <w:tblCellMar>
          <w:top w:w="0" w:type="dxa"/>
          <w:left w:w="108" w:type="dxa"/>
          <w:bottom w:w="0" w:type="dxa"/>
          <w:right w:w="108" w:type="dxa"/>
        </w:tblCellMar>
      </w:tblPr>
      <w:tblGrid>
        <w:gridCol w:w="735"/>
        <w:gridCol w:w="2475"/>
        <w:gridCol w:w="6255"/>
      </w:tblGrid>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47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评审因素</w:t>
            </w:r>
          </w:p>
        </w:tc>
        <w:tc>
          <w:tcPr>
            <w:tcW w:w="6255" w:type="dxa"/>
            <w:tcBorders>
              <w:top w:val="single" w:color="auto" w:sz="4" w:space="0"/>
              <w:left w:val="single" w:color="auto" w:sz="4" w:space="0"/>
              <w:bottom w:val="single" w:color="auto" w:sz="4" w:space="0"/>
              <w:right w:val="single" w:color="auto" w:sz="4" w:space="0"/>
            </w:tcBorders>
          </w:tcPr>
          <w:p>
            <w:pPr>
              <w:adjustRightInd w:val="0"/>
              <w:snapToGrid w:val="0"/>
              <w:spacing w:line="400" w:lineRule="exact"/>
              <w:jc w:val="center"/>
              <w:rPr>
                <w:rFonts w:ascii="宋体" w:hAnsi="宋体" w:cs="宋体"/>
                <w:b/>
                <w:color w:val="auto"/>
                <w:sz w:val="24"/>
                <w:highlight w:val="none"/>
              </w:rPr>
            </w:pPr>
            <w:r>
              <w:rPr>
                <w:rFonts w:hint="eastAsia" w:ascii="宋体" w:hAnsi="宋体" w:cs="宋体"/>
                <w:b/>
                <w:color w:val="auto"/>
                <w:sz w:val="24"/>
                <w:highlight w:val="none"/>
              </w:rPr>
              <w:t>符合性评审标准</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1</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响应文件签字、盖章</w:t>
            </w:r>
          </w:p>
        </w:tc>
        <w:tc>
          <w:tcPr>
            <w:tcW w:w="6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color w:val="auto"/>
                <w:sz w:val="24"/>
                <w:highlight w:val="none"/>
              </w:rPr>
              <w:t>须按询价文件要求签字、盖章</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2</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授权委托书</w:t>
            </w:r>
          </w:p>
        </w:tc>
        <w:tc>
          <w:tcPr>
            <w:tcW w:w="6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签字人须具有法定代表人有效授权且双方签字。</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3</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询价有效期</w:t>
            </w:r>
          </w:p>
        </w:tc>
        <w:tc>
          <w:tcPr>
            <w:tcW w:w="6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询价有效期须满足询价文件要求。</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4</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报价</w:t>
            </w:r>
          </w:p>
        </w:tc>
        <w:tc>
          <w:tcPr>
            <w:tcW w:w="6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供应商在响应文件中对同一项目仅能有一个报价，报价不得超过最高限价。</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5</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lang w:val="zh-CN"/>
              </w:rPr>
            </w:pPr>
            <w:r>
              <w:rPr>
                <w:rFonts w:hint="eastAsia" w:ascii="宋体" w:hAnsi="宋体" w:cs="宋体"/>
                <w:bCs/>
                <w:color w:val="auto"/>
                <w:sz w:val="24"/>
                <w:highlight w:val="none"/>
              </w:rPr>
              <w:t>响应性审查</w:t>
            </w:r>
          </w:p>
        </w:tc>
        <w:tc>
          <w:tcPr>
            <w:tcW w:w="6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响应文件需对</w:t>
            </w:r>
            <w:r>
              <w:rPr>
                <w:rFonts w:hint="eastAsia" w:ascii="宋体" w:hAnsi="宋体" w:cs="宋体"/>
                <w:bCs/>
                <w:color w:val="auto"/>
                <w:sz w:val="24"/>
                <w:highlight w:val="none"/>
                <w:lang w:val="zh-CN"/>
              </w:rPr>
              <w:t>询价文件的要求做出实质性响应。</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6</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澄清要求</w:t>
            </w:r>
          </w:p>
        </w:tc>
        <w:tc>
          <w:tcPr>
            <w:tcW w:w="6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供应商须照要求对响应文件进行澄清、说明或者补正</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7</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法律法规相关规定</w:t>
            </w:r>
          </w:p>
        </w:tc>
        <w:tc>
          <w:tcPr>
            <w:tcW w:w="6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须遵守法律法规规定的相关条款</w:t>
            </w:r>
          </w:p>
        </w:tc>
      </w:tr>
      <w:tr>
        <w:tblPrEx>
          <w:tblCellMar>
            <w:top w:w="0" w:type="dxa"/>
            <w:left w:w="108" w:type="dxa"/>
            <w:bottom w:w="0" w:type="dxa"/>
            <w:right w:w="108" w:type="dxa"/>
          </w:tblCellMar>
        </w:tblPrEx>
        <w:trPr>
          <w:trHeight w:val="454"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8</w:t>
            </w:r>
          </w:p>
        </w:tc>
        <w:tc>
          <w:tcPr>
            <w:tcW w:w="24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其他情形</w:t>
            </w:r>
          </w:p>
        </w:tc>
        <w:tc>
          <w:tcPr>
            <w:tcW w:w="62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宋体" w:hAnsi="宋体" w:cs="宋体"/>
                <w:color w:val="auto"/>
                <w:sz w:val="24"/>
                <w:highlight w:val="none"/>
              </w:rPr>
            </w:pPr>
            <w:r>
              <w:rPr>
                <w:rFonts w:hint="eastAsia" w:ascii="宋体" w:hAnsi="宋体" w:cs="宋体"/>
                <w:bCs/>
                <w:color w:val="auto"/>
                <w:sz w:val="24"/>
                <w:highlight w:val="none"/>
              </w:rPr>
              <w:t>询价小组认为不存在响应文件无效的其他情况</w:t>
            </w:r>
          </w:p>
        </w:tc>
      </w:tr>
    </w:tbl>
    <w:p>
      <w:pPr>
        <w:widowControl/>
        <w:spacing w:line="460" w:lineRule="exact"/>
        <w:jc w:val="left"/>
        <w:rPr>
          <w:rFonts w:ascii="宋体" w:hAnsi="宋体" w:cs="宋体"/>
          <w:b/>
          <w:bCs/>
          <w:color w:val="auto"/>
          <w:sz w:val="24"/>
          <w:highlight w:val="none"/>
        </w:rPr>
      </w:pPr>
      <w:r>
        <w:rPr>
          <w:rFonts w:hint="eastAsia" w:ascii="宋体" w:hAnsi="宋体" w:cs="宋体"/>
          <w:b/>
          <w:bCs/>
          <w:color w:val="auto"/>
          <w:sz w:val="24"/>
          <w:highlight w:val="none"/>
        </w:rPr>
        <w:t>十、评审结果</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询价小组从质量和服务均能满足询价文件实质性响应要求的供应商中，按照报价由低到高的顺序推荐三名成交候选人。若报价相同，则由询价小组通过记名投票表决的方式（得票较多的供应商为成交候选人）推荐成交候选人，并提出书面评审报告。采购人根据询价小组提出的书面评审报告和推荐的成交候选人名单，确定第一成交候选人为成交人。当第一成交候选人拒绝与采购人签订合同的采购人可以按照评审报告推荐的成交候选人名单排序，确定下一候选人为成交供应商，也可以重新开展政府采购活动。</w:t>
      </w:r>
    </w:p>
    <w:p>
      <w:pPr>
        <w:pStyle w:val="15"/>
        <w:spacing w:after="0" w:line="460" w:lineRule="exact"/>
        <w:ind w:left="0" w:leftChars="0" w:firstLine="0" w:firstLineChars="0"/>
        <w:rPr>
          <w:rFonts w:ascii="宋体" w:hAnsi="宋体" w:cs="宋体"/>
          <w:color w:val="auto"/>
          <w:sz w:val="24"/>
          <w:highlight w:val="none"/>
        </w:rPr>
      </w:pPr>
      <w:bookmarkStart w:id="160" w:name="_Toc12135"/>
      <w:bookmarkStart w:id="161" w:name="_Toc3039"/>
      <w:bookmarkStart w:id="162" w:name="_Toc7934"/>
      <w:bookmarkStart w:id="163" w:name="_Toc4093"/>
      <w:bookmarkStart w:id="164" w:name="_Toc14615"/>
      <w:r>
        <w:rPr>
          <w:rFonts w:hint="eastAsia" w:ascii="宋体" w:hAnsi="宋体" w:cs="宋体"/>
          <w:b/>
          <w:bCs/>
          <w:color w:val="auto"/>
          <w:sz w:val="24"/>
          <w:szCs w:val="22"/>
          <w:highlight w:val="none"/>
        </w:rPr>
        <w:t>十</w:t>
      </w:r>
      <w:r>
        <w:rPr>
          <w:rFonts w:hint="eastAsia" w:hAnsi="宋体" w:cs="宋体"/>
          <w:b/>
          <w:bCs/>
          <w:color w:val="auto"/>
          <w:sz w:val="24"/>
          <w:szCs w:val="22"/>
          <w:highlight w:val="none"/>
        </w:rPr>
        <w:t>一</w:t>
      </w:r>
      <w:r>
        <w:rPr>
          <w:rFonts w:hint="eastAsia" w:ascii="宋体" w:hAnsi="宋体" w:cs="宋体"/>
          <w:b/>
          <w:bCs/>
          <w:color w:val="auto"/>
          <w:sz w:val="24"/>
          <w:szCs w:val="22"/>
          <w:highlight w:val="none"/>
        </w:rPr>
        <w:t>、评审报告</w:t>
      </w:r>
      <w:bookmarkEnd w:id="160"/>
      <w:bookmarkEnd w:id="161"/>
      <w:bookmarkEnd w:id="162"/>
      <w:bookmarkEnd w:id="163"/>
      <w:bookmarkEnd w:id="164"/>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询价小组应当根据评审记录和评审结果编写评审报告，其主要内容包括：</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1.邀请供应商参加采购活动的具体方式和相关情况，以及参加采购活动的供应商名单；</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2.评审日期和地点，询价小组成员名单；</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3.评审情况记录和说明，包括对供应商的资格审查情况、供应商响应文件评审情况、报价情况等；</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4.提出的成交候选人的名单及理由。</w:t>
      </w:r>
    </w:p>
    <w:p>
      <w:pPr>
        <w:spacing w:line="460" w:lineRule="exact"/>
        <w:ind w:firstLine="480" w:firstLineChars="200"/>
        <w:jc w:val="left"/>
        <w:rPr>
          <w:color w:val="auto"/>
          <w:sz w:val="36"/>
          <w:szCs w:val="36"/>
          <w:highlight w:val="none"/>
        </w:rPr>
      </w:pPr>
      <w:bookmarkStart w:id="165" w:name="_Toc20439"/>
      <w:bookmarkStart w:id="166" w:name="_Toc12222"/>
      <w:bookmarkStart w:id="167" w:name="_Toc22967"/>
      <w:bookmarkStart w:id="168" w:name="_Toc8925"/>
      <w:bookmarkStart w:id="169" w:name="_Toc369"/>
      <w:r>
        <w:rPr>
          <w:rFonts w:hint="eastAsia" w:ascii="宋体" w:hAnsi="宋体" w:cs="宋体"/>
          <w:color w:val="auto"/>
          <w:sz w:val="24"/>
          <w:highlight w:val="none"/>
        </w:rPr>
        <w:t>评审报告应当由询价小组全体人员签字认可。询价小组成员对评审报告有异议的，询价小组按照少数服从多数的原则推荐成交候选人，采购程序继续进行。对评审报告有异议的询价小组成员，应当在报告上签署不同意见并说明理由，由询价小组书面记录相关情况。询价小组成员拒绝在报告上签字又不书面说明其不同意见和理由的，视为同意评审报告</w:t>
      </w:r>
      <w:bookmarkEnd w:id="165"/>
      <w:bookmarkEnd w:id="166"/>
      <w:bookmarkEnd w:id="167"/>
      <w:bookmarkEnd w:id="168"/>
      <w:bookmarkEnd w:id="169"/>
      <w:r>
        <w:rPr>
          <w:rFonts w:hint="eastAsia" w:ascii="宋体" w:hAnsi="宋体" w:cs="宋体"/>
          <w:color w:val="auto"/>
          <w:sz w:val="24"/>
          <w:highlight w:val="none"/>
        </w:rPr>
        <w:t>。</w:t>
      </w:r>
    </w:p>
    <w:p>
      <w:pPr>
        <w:rPr>
          <w:color w:val="auto"/>
          <w:sz w:val="36"/>
          <w:szCs w:val="36"/>
          <w:highlight w:val="none"/>
        </w:rPr>
      </w:pPr>
      <w:r>
        <w:rPr>
          <w:color w:val="auto"/>
          <w:sz w:val="36"/>
          <w:szCs w:val="36"/>
          <w:highlight w:val="none"/>
        </w:rPr>
        <w:br w:type="page"/>
      </w:r>
    </w:p>
    <w:p>
      <w:pPr>
        <w:spacing w:line="360" w:lineRule="auto"/>
        <w:rPr>
          <w:rStyle w:val="78"/>
          <w:rFonts w:ascii="宋体" w:hAnsi="宋体"/>
          <w:color w:val="auto"/>
          <w:sz w:val="28"/>
          <w:szCs w:val="28"/>
          <w:highlight w:val="none"/>
        </w:rPr>
      </w:pPr>
      <w:bookmarkStart w:id="170" w:name="_Toc14633"/>
      <w:bookmarkStart w:id="171" w:name="_Toc14035"/>
      <w:bookmarkStart w:id="172" w:name="_Toc1289"/>
      <w:bookmarkStart w:id="173" w:name="_Toc3371"/>
      <w:bookmarkStart w:id="174" w:name="_Toc20536"/>
      <w:bookmarkStart w:id="175" w:name="_Toc4035"/>
      <w:r>
        <w:rPr>
          <w:rStyle w:val="78"/>
          <w:rFonts w:hint="eastAsia" w:ascii="宋体" w:hAnsi="宋体"/>
          <w:color w:val="auto"/>
          <w:sz w:val="28"/>
          <w:szCs w:val="28"/>
          <w:highlight w:val="none"/>
        </w:rPr>
        <w:t>附件一：问题澄清通知</w:t>
      </w:r>
      <w:bookmarkEnd w:id="170"/>
      <w:bookmarkEnd w:id="171"/>
      <w:bookmarkEnd w:id="172"/>
      <w:bookmarkEnd w:id="173"/>
      <w:bookmarkEnd w:id="174"/>
    </w:p>
    <w:p>
      <w:pPr>
        <w:spacing w:line="32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pacing w:line="360" w:lineRule="auto"/>
        <w:jc w:val="center"/>
        <w:rPr>
          <w:rFonts w:ascii="宋体" w:hAnsi="宋体"/>
          <w:b/>
          <w:bCs/>
          <w:color w:val="auto"/>
          <w:sz w:val="24"/>
          <w:highlight w:val="none"/>
        </w:rPr>
      </w:pPr>
      <w:r>
        <w:rPr>
          <w:rFonts w:hint="eastAsia" w:ascii="宋体" w:hAnsi="宋体"/>
          <w:b/>
          <w:bCs/>
          <w:color w:val="auto"/>
          <w:sz w:val="24"/>
          <w:highlight w:val="none"/>
        </w:rPr>
        <w:t>问题澄清通知</w:t>
      </w:r>
    </w:p>
    <w:p>
      <w:pPr>
        <w:spacing w:line="360" w:lineRule="auto"/>
        <w:jc w:val="center"/>
        <w:rPr>
          <w:rFonts w:ascii="宋体" w:hAnsi="宋体"/>
          <w:color w:val="auto"/>
          <w:sz w:val="24"/>
          <w:highlight w:val="none"/>
        </w:rPr>
      </w:pPr>
      <w:r>
        <w:rPr>
          <w:rFonts w:hint="eastAsia" w:ascii="宋体" w:hAnsi="宋体"/>
          <w:color w:val="auto"/>
          <w:sz w:val="24"/>
          <w:highlight w:val="none"/>
        </w:rPr>
        <w:t>(编号：</w:t>
      </w:r>
      <w:r>
        <w:rPr>
          <w:rFonts w:hint="eastAsia" w:ascii="宋体" w:hAnsi="宋体"/>
          <w:color w:val="auto"/>
          <w:sz w:val="24"/>
          <w:highlight w:val="none"/>
          <w:u w:val="single"/>
        </w:rPr>
        <w:t xml:space="preserve">         </w:t>
      </w:r>
      <w:r>
        <w:rPr>
          <w:rFonts w:hint="eastAsia" w:ascii="宋体" w:hAnsi="宋体"/>
          <w:color w:val="auto"/>
          <w:sz w:val="24"/>
          <w:highlight w:val="none"/>
        </w:rPr>
        <w:t>)</w:t>
      </w:r>
    </w:p>
    <w:p>
      <w:pPr>
        <w:spacing w:line="360" w:lineRule="auto"/>
        <w:jc w:val="center"/>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(供应商名称)</w:t>
      </w:r>
    </w:p>
    <w:p>
      <w:pPr>
        <w:spacing w:line="360" w:lineRule="auto"/>
        <w:ind w:left="360" w:right="357" w:firstLine="480" w:firstLineChars="200"/>
        <w:rPr>
          <w:rFonts w:ascii="宋体" w:hAnsi="宋体"/>
          <w:color w:val="auto"/>
          <w:sz w:val="24"/>
          <w:highlight w:val="none"/>
        </w:rPr>
      </w:pPr>
      <w:r>
        <w:rPr>
          <w:rFonts w:hint="eastAsia" w:ascii="宋体" w:hAnsi="宋体"/>
          <w:color w:val="auto"/>
          <w:sz w:val="24"/>
          <w:highlight w:val="none"/>
        </w:rPr>
        <w:t>询价小组对你方的响应文件进行了仔细的审查，现需你方对下列问题以书面形式予以澄清、说明或补正：</w:t>
      </w:r>
    </w:p>
    <w:p>
      <w:pPr>
        <w:spacing w:line="360" w:lineRule="auto"/>
        <w:ind w:left="360" w:right="357" w:firstLine="480" w:firstLineChars="200"/>
        <w:rPr>
          <w:rFonts w:ascii="宋体" w:hAnsi="宋体"/>
          <w:color w:val="auto"/>
          <w:sz w:val="24"/>
          <w:highlight w:val="none"/>
        </w:rPr>
      </w:pPr>
      <w:r>
        <w:rPr>
          <w:rFonts w:hint="eastAsia" w:ascii="宋体" w:hAnsi="宋体"/>
          <w:color w:val="auto"/>
          <w:sz w:val="24"/>
          <w:highlight w:val="none"/>
        </w:rPr>
        <w:t>1.</w:t>
      </w:r>
    </w:p>
    <w:p>
      <w:pPr>
        <w:spacing w:line="360" w:lineRule="auto"/>
        <w:ind w:left="360" w:right="357" w:firstLine="480" w:firstLineChars="200"/>
        <w:rPr>
          <w:rFonts w:ascii="宋体" w:hAnsi="宋体"/>
          <w:color w:val="auto"/>
          <w:sz w:val="24"/>
          <w:highlight w:val="none"/>
        </w:rPr>
      </w:pPr>
      <w:r>
        <w:rPr>
          <w:rFonts w:hint="eastAsia" w:ascii="宋体" w:hAnsi="宋体"/>
          <w:color w:val="auto"/>
          <w:sz w:val="24"/>
          <w:highlight w:val="none"/>
        </w:rPr>
        <w:t>2.</w:t>
      </w:r>
    </w:p>
    <w:p>
      <w:pPr>
        <w:spacing w:line="360" w:lineRule="auto"/>
        <w:ind w:left="360" w:right="357" w:firstLine="480" w:firstLineChars="200"/>
        <w:rPr>
          <w:rFonts w:ascii="宋体" w:hAnsi="宋体"/>
          <w:color w:val="auto"/>
          <w:sz w:val="24"/>
          <w:highlight w:val="none"/>
        </w:rPr>
      </w:pPr>
      <w:r>
        <w:rPr>
          <w:rFonts w:hint="eastAsia" w:ascii="宋体" w:hAnsi="宋体"/>
          <w:color w:val="auto"/>
          <w:sz w:val="24"/>
          <w:highlight w:val="none"/>
        </w:rPr>
        <w:t>………</w:t>
      </w:r>
    </w:p>
    <w:p>
      <w:pPr>
        <w:spacing w:line="360" w:lineRule="auto"/>
        <w:ind w:right="357" w:firstLine="720" w:firstLineChars="300"/>
        <w:rPr>
          <w:rFonts w:ascii="宋体" w:hAnsi="宋体"/>
          <w:color w:val="auto"/>
          <w:sz w:val="24"/>
          <w:highlight w:val="none"/>
        </w:rPr>
      </w:pPr>
      <w:r>
        <w:rPr>
          <w:rFonts w:hint="eastAsia" w:ascii="宋体" w:hAnsi="宋体"/>
          <w:color w:val="auto"/>
          <w:sz w:val="24"/>
          <w:highlight w:val="none"/>
        </w:rPr>
        <w:t>请将上述问题的澄清、说明或补正于</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时前递交至 </w:t>
      </w:r>
      <w:r>
        <w:rPr>
          <w:rFonts w:hint="eastAsia" w:ascii="宋体" w:hAnsi="宋体"/>
          <w:color w:val="auto"/>
          <w:sz w:val="24"/>
          <w:highlight w:val="none"/>
          <w:u w:val="single"/>
        </w:rPr>
        <w:t xml:space="preserve">                     </w:t>
      </w:r>
      <w:r>
        <w:rPr>
          <w:rFonts w:hint="eastAsia" w:ascii="宋体" w:hAnsi="宋体"/>
          <w:color w:val="auto"/>
          <w:sz w:val="24"/>
          <w:highlight w:val="none"/>
        </w:rPr>
        <w:t>(详细地址)或发送邮件至</w:t>
      </w:r>
      <w:r>
        <w:rPr>
          <w:rFonts w:hint="eastAsia" w:ascii="宋体" w:hAnsi="宋体"/>
          <w:color w:val="auto"/>
          <w:sz w:val="24"/>
          <w:highlight w:val="none"/>
          <w:u w:val="single"/>
        </w:rPr>
        <w:t xml:space="preserve">  </w:t>
      </w:r>
      <w:r>
        <w:rPr>
          <w:rFonts w:hint="eastAsia" w:ascii="宋体" w:hAnsi="宋体"/>
          <w:color w:val="auto"/>
          <w:sz w:val="24"/>
          <w:highlight w:val="none"/>
          <w:u w:val="single"/>
        </w:rPr>
        <w:tab/>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r>
        <w:rPr>
          <w:rFonts w:hint="eastAsia" w:ascii="宋体" w:hAnsi="宋体"/>
          <w:color w:val="auto"/>
          <w:sz w:val="24"/>
          <w:highlight w:val="none"/>
        </w:rPr>
        <w:t>(邮箱号码)。采用发送邮件方式的，应在</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r>
        <w:rPr>
          <w:rFonts w:hint="eastAsia" w:ascii="宋体" w:hAnsi="宋体"/>
          <w:color w:val="auto"/>
          <w:sz w:val="24"/>
          <w:highlight w:val="none"/>
          <w:u w:val="single"/>
        </w:rPr>
        <w:t xml:space="preserve">   </w:t>
      </w:r>
      <w:r>
        <w:rPr>
          <w:rFonts w:hint="eastAsia" w:ascii="宋体" w:hAnsi="宋体"/>
          <w:color w:val="auto"/>
          <w:sz w:val="24"/>
          <w:highlight w:val="none"/>
        </w:rPr>
        <w:t>时前将原件递交至</w:t>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r>
        <w:rPr>
          <w:rFonts w:hint="eastAsia" w:ascii="宋体" w:hAnsi="宋体"/>
          <w:color w:val="auto"/>
          <w:sz w:val="24"/>
          <w:highlight w:val="none"/>
        </w:rPr>
        <w:t xml:space="preserve">(详细地址)。                                        </w:t>
      </w:r>
    </w:p>
    <w:p>
      <w:pPr>
        <w:spacing w:line="360" w:lineRule="auto"/>
        <w:ind w:right="357"/>
        <w:rPr>
          <w:rFonts w:ascii="宋体" w:hAnsi="宋体"/>
          <w:color w:val="auto"/>
          <w:sz w:val="24"/>
          <w:highlight w:val="none"/>
        </w:rPr>
      </w:pPr>
      <w:r>
        <w:rPr>
          <w:rFonts w:hint="eastAsia" w:ascii="宋体" w:hAnsi="宋体"/>
          <w:color w:val="auto"/>
          <w:sz w:val="24"/>
          <w:highlight w:val="none"/>
        </w:rPr>
        <w:t xml:space="preserve"> </w:t>
      </w:r>
    </w:p>
    <w:p>
      <w:pPr>
        <w:pStyle w:val="2"/>
        <w:rPr>
          <w:color w:val="auto"/>
          <w:highlight w:val="none"/>
        </w:rPr>
      </w:pPr>
    </w:p>
    <w:p>
      <w:pPr>
        <w:spacing w:line="360" w:lineRule="auto"/>
        <w:ind w:right="357" w:firstLine="4800" w:firstLineChars="2000"/>
        <w:rPr>
          <w:rFonts w:ascii="宋体" w:hAnsi="宋体"/>
          <w:color w:val="auto"/>
          <w:sz w:val="24"/>
          <w:highlight w:val="none"/>
        </w:rPr>
      </w:pPr>
      <w:r>
        <w:rPr>
          <w:rFonts w:hint="eastAsia" w:ascii="宋体" w:hAnsi="宋体"/>
          <w:color w:val="auto"/>
          <w:sz w:val="24"/>
          <w:highlight w:val="none"/>
        </w:rPr>
        <w:t xml:space="preserve">询价小组： </w:t>
      </w:r>
      <w:r>
        <w:rPr>
          <w:rFonts w:hint="eastAsia" w:ascii="宋体" w:hAnsi="宋体"/>
          <w:color w:val="auto"/>
          <w:sz w:val="24"/>
          <w:highlight w:val="none"/>
          <w:u w:val="single"/>
        </w:rPr>
        <w:tab/>
      </w:r>
      <w:r>
        <w:rPr>
          <w:rFonts w:hint="eastAsia" w:ascii="宋体" w:hAnsi="宋体"/>
          <w:color w:val="auto"/>
          <w:sz w:val="24"/>
          <w:highlight w:val="none"/>
          <w:u w:val="single"/>
        </w:rPr>
        <w:t xml:space="preserve">      </w:t>
      </w:r>
      <w:r>
        <w:rPr>
          <w:rFonts w:hint="eastAsia" w:ascii="宋体" w:hAnsi="宋体"/>
          <w:color w:val="auto"/>
          <w:sz w:val="24"/>
          <w:highlight w:val="none"/>
        </w:rPr>
        <w:t>(签字)</w:t>
      </w:r>
    </w:p>
    <w:p>
      <w:pPr>
        <w:spacing w:line="360" w:lineRule="auto"/>
        <w:ind w:firstLine="4920" w:firstLineChars="2050"/>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240" w:lineRule="exact"/>
        <w:rPr>
          <w:rFonts w:ascii="宋体" w:hAnsi="宋体"/>
          <w:color w:val="auto"/>
          <w:highlight w:val="none"/>
        </w:rPr>
      </w:pPr>
      <w:r>
        <w:rPr>
          <w:rFonts w:hint="eastAsia" w:ascii="宋体" w:hAnsi="宋体"/>
          <w:color w:val="auto"/>
          <w:sz w:val="32"/>
          <w:szCs w:val="32"/>
          <w:highlight w:val="none"/>
        </w:rPr>
        <w:br w:type="page"/>
      </w:r>
    </w:p>
    <w:p>
      <w:pPr>
        <w:rPr>
          <w:rStyle w:val="78"/>
          <w:rFonts w:ascii="宋体" w:hAnsi="宋体"/>
          <w:color w:val="auto"/>
          <w:sz w:val="28"/>
          <w:szCs w:val="28"/>
          <w:highlight w:val="none"/>
        </w:rPr>
      </w:pPr>
      <w:bookmarkStart w:id="176" w:name="_Toc19409"/>
      <w:bookmarkStart w:id="177" w:name="_Toc26636"/>
      <w:bookmarkStart w:id="178" w:name="_Toc26047"/>
      <w:bookmarkStart w:id="179" w:name="_Toc3372"/>
      <w:bookmarkStart w:id="180" w:name="_Toc15034"/>
      <w:bookmarkStart w:id="181" w:name="_Toc30969"/>
      <w:bookmarkStart w:id="182" w:name="_Toc26171"/>
      <w:r>
        <w:rPr>
          <w:rStyle w:val="78"/>
          <w:rFonts w:hint="eastAsia" w:ascii="宋体" w:hAnsi="宋体"/>
          <w:color w:val="auto"/>
          <w:sz w:val="28"/>
          <w:szCs w:val="28"/>
          <w:highlight w:val="none"/>
        </w:rPr>
        <w:t>附件二：问题的澄清</w:t>
      </w:r>
      <w:bookmarkEnd w:id="176"/>
      <w:bookmarkEnd w:id="177"/>
      <w:bookmarkEnd w:id="178"/>
      <w:bookmarkEnd w:id="179"/>
      <w:bookmarkEnd w:id="180"/>
      <w:bookmarkEnd w:id="181"/>
      <w:bookmarkEnd w:id="182"/>
    </w:p>
    <w:p>
      <w:pPr>
        <w:spacing w:line="32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 xml:space="preserve"> </w:t>
      </w:r>
    </w:p>
    <w:p>
      <w:pPr>
        <w:spacing w:line="360" w:lineRule="auto"/>
        <w:jc w:val="center"/>
        <w:rPr>
          <w:rFonts w:ascii="宋体" w:hAnsi="宋体"/>
          <w:b/>
          <w:bCs/>
          <w:color w:val="auto"/>
          <w:sz w:val="24"/>
          <w:highlight w:val="none"/>
        </w:rPr>
      </w:pPr>
      <w:r>
        <w:rPr>
          <w:rFonts w:hint="eastAsia" w:ascii="宋体" w:hAnsi="宋体"/>
          <w:b/>
          <w:bCs/>
          <w:color w:val="auto"/>
          <w:sz w:val="24"/>
          <w:highlight w:val="none"/>
        </w:rPr>
        <w:t>问题的澄清</w:t>
      </w:r>
    </w:p>
    <w:p>
      <w:pPr>
        <w:spacing w:line="360" w:lineRule="auto"/>
        <w:jc w:val="center"/>
        <w:rPr>
          <w:rFonts w:ascii="宋体" w:hAnsi="宋体"/>
          <w:color w:val="auto"/>
          <w:sz w:val="24"/>
          <w:highlight w:val="none"/>
        </w:rPr>
      </w:pPr>
      <w:r>
        <w:rPr>
          <w:rFonts w:hint="eastAsia" w:ascii="宋体" w:hAnsi="宋体"/>
          <w:color w:val="auto"/>
          <w:sz w:val="24"/>
          <w:highlight w:val="none"/>
        </w:rPr>
        <w:t>(编号：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360" w:lineRule="auto"/>
        <w:jc w:val="center"/>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 xml:space="preserve">  询价小组：</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问题澄清通知(编号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)已收悉，现澄清、说明或补正如下：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 xml:space="preserve"> 1.</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2.</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 xml:space="preserve"> ……</w:t>
      </w:r>
    </w:p>
    <w:p>
      <w:pPr>
        <w:spacing w:line="360" w:lineRule="auto"/>
        <w:ind w:firstLine="600" w:firstLineChars="250"/>
        <w:rPr>
          <w:rFonts w:ascii="宋体" w:hAnsi="宋体"/>
          <w:color w:val="auto"/>
          <w:sz w:val="24"/>
          <w:highlight w:val="none"/>
        </w:rPr>
      </w:pPr>
      <w:r>
        <w:rPr>
          <w:rFonts w:hint="eastAsia" w:ascii="宋体" w:hAnsi="宋体"/>
          <w:color w:val="auto"/>
          <w:sz w:val="24"/>
          <w:highlight w:val="none"/>
        </w:rPr>
        <w:t>上述问题澄清、说明或补正，不改变我方响应文件的实质性内容，构成我方响应文件的组成部分。</w:t>
      </w:r>
    </w:p>
    <w:p>
      <w:pPr>
        <w:spacing w:line="360" w:lineRule="auto"/>
        <w:ind w:firstLine="2880" w:firstLineChars="1200"/>
        <w:rPr>
          <w:rFonts w:ascii="宋体" w:hAnsi="宋体"/>
          <w:color w:val="auto"/>
          <w:sz w:val="24"/>
          <w:highlight w:val="none"/>
        </w:rPr>
      </w:pPr>
      <w:r>
        <w:rPr>
          <w:rFonts w:hint="eastAsia" w:ascii="宋体" w:hAnsi="宋体"/>
          <w:color w:val="auto"/>
          <w:sz w:val="24"/>
          <w:highlight w:val="none"/>
        </w:rPr>
        <w:t xml:space="preserve"> </w:t>
      </w:r>
    </w:p>
    <w:p>
      <w:pPr>
        <w:ind w:firstLine="1446" w:firstLineChars="600"/>
        <w:rPr>
          <w:rFonts w:ascii="宋体" w:hAnsi="宋体"/>
          <w:b/>
          <w:color w:val="auto"/>
          <w:sz w:val="24"/>
          <w:highlight w:val="none"/>
        </w:rPr>
      </w:pPr>
    </w:p>
    <w:p>
      <w:pPr>
        <w:ind w:firstLine="1446" w:firstLineChars="600"/>
        <w:rPr>
          <w:rFonts w:ascii="宋体" w:hAnsi="宋体"/>
          <w:b/>
          <w:color w:val="auto"/>
          <w:sz w:val="24"/>
          <w:highlight w:val="none"/>
        </w:rPr>
      </w:pPr>
    </w:p>
    <w:p>
      <w:pPr>
        <w:ind w:firstLine="1446" w:firstLineChars="600"/>
        <w:rPr>
          <w:rFonts w:ascii="宋体" w:hAnsi="宋体"/>
          <w:b/>
          <w:color w:val="auto"/>
          <w:sz w:val="24"/>
          <w:highlight w:val="none"/>
        </w:rPr>
      </w:pPr>
    </w:p>
    <w:p>
      <w:pPr>
        <w:ind w:firstLine="1446" w:firstLineChars="600"/>
        <w:rPr>
          <w:rFonts w:ascii="宋体" w:hAnsi="宋体"/>
          <w:b/>
          <w:color w:val="auto"/>
          <w:sz w:val="24"/>
          <w:highlight w:val="none"/>
        </w:rPr>
      </w:pPr>
      <w:r>
        <w:rPr>
          <w:rFonts w:hint="eastAsia" w:ascii="宋体" w:hAnsi="宋体"/>
          <w:b/>
          <w:color w:val="auto"/>
          <w:sz w:val="24"/>
          <w:highlight w:val="none"/>
        </w:rPr>
        <w:t>供应商：</w:t>
      </w:r>
      <w:r>
        <w:rPr>
          <w:rFonts w:hint="eastAsia" w:ascii="宋体" w:hAnsi="宋体"/>
          <w:b/>
          <w:color w:val="auto"/>
          <w:sz w:val="24"/>
          <w:highlight w:val="none"/>
          <w:u w:val="single"/>
        </w:rPr>
        <w:tab/>
      </w:r>
      <w:r>
        <w:rPr>
          <w:rFonts w:hint="eastAsia" w:ascii="宋体" w:hAnsi="宋体"/>
          <w:b/>
          <w:color w:val="auto"/>
          <w:sz w:val="24"/>
          <w:highlight w:val="none"/>
          <w:u w:val="single"/>
        </w:rPr>
        <w:t xml:space="preserve">                                    </w:t>
      </w:r>
      <w:r>
        <w:rPr>
          <w:rFonts w:hint="eastAsia" w:ascii="宋体" w:hAnsi="宋体"/>
          <w:b/>
          <w:color w:val="auto"/>
          <w:sz w:val="24"/>
          <w:highlight w:val="none"/>
        </w:rPr>
        <w:t>（加盖单位公章）</w:t>
      </w:r>
    </w:p>
    <w:p>
      <w:pPr>
        <w:rPr>
          <w:rFonts w:ascii="宋体" w:hAnsi="宋体"/>
          <w:b/>
          <w:color w:val="auto"/>
          <w:sz w:val="24"/>
          <w:highlight w:val="none"/>
        </w:rPr>
      </w:pPr>
      <w:r>
        <w:rPr>
          <w:rFonts w:hint="eastAsia" w:ascii="宋体" w:hAnsi="宋体"/>
          <w:b/>
          <w:color w:val="auto"/>
          <w:sz w:val="24"/>
          <w:highlight w:val="none"/>
        </w:rPr>
        <w:t xml:space="preserve"> </w:t>
      </w:r>
    </w:p>
    <w:p>
      <w:pPr>
        <w:ind w:firstLine="1687" w:firstLineChars="700"/>
        <w:rPr>
          <w:rFonts w:ascii="宋体" w:hAnsi="宋体"/>
          <w:b/>
          <w:color w:val="auto"/>
          <w:sz w:val="24"/>
          <w:highlight w:val="none"/>
        </w:rPr>
      </w:pPr>
      <w:r>
        <w:rPr>
          <w:rFonts w:hint="eastAsia" w:ascii="宋体" w:hAnsi="宋体"/>
          <w:b/>
          <w:color w:val="auto"/>
          <w:sz w:val="24"/>
          <w:highlight w:val="none"/>
        </w:rPr>
        <w:t>法定代表人或其委托代理人：</w:t>
      </w:r>
      <w:r>
        <w:rPr>
          <w:rFonts w:hint="eastAsia" w:ascii="宋体" w:hAnsi="宋体"/>
          <w:b/>
          <w:color w:val="auto"/>
          <w:sz w:val="24"/>
          <w:highlight w:val="none"/>
        </w:rPr>
        <w:tab/>
      </w:r>
      <w:r>
        <w:rPr>
          <w:rFonts w:hint="eastAsia" w:ascii="宋体" w:hAnsi="宋体"/>
          <w:b/>
          <w:color w:val="auto"/>
          <w:sz w:val="24"/>
          <w:highlight w:val="none"/>
          <w:u w:val="single"/>
        </w:rPr>
        <w:t xml:space="preserve">             </w:t>
      </w:r>
      <w:r>
        <w:rPr>
          <w:rFonts w:hint="eastAsia" w:ascii="宋体" w:hAnsi="宋体"/>
          <w:b/>
          <w:color w:val="auto"/>
          <w:sz w:val="24"/>
          <w:highlight w:val="none"/>
        </w:rPr>
        <w:t>（签字或盖章）</w:t>
      </w:r>
    </w:p>
    <w:p>
      <w:pPr>
        <w:rPr>
          <w:rFonts w:ascii="宋体" w:hAnsi="宋体"/>
          <w:b/>
          <w:color w:val="auto"/>
          <w:sz w:val="24"/>
          <w:highlight w:val="none"/>
        </w:rPr>
      </w:pPr>
      <w:r>
        <w:rPr>
          <w:rFonts w:hint="eastAsia" w:ascii="宋体" w:hAnsi="宋体"/>
          <w:b/>
          <w:color w:val="auto"/>
          <w:sz w:val="24"/>
          <w:highlight w:val="none"/>
        </w:rPr>
        <w:t xml:space="preserve"> </w:t>
      </w:r>
    </w:p>
    <w:p>
      <w:pPr>
        <w:spacing w:line="360" w:lineRule="auto"/>
        <w:ind w:firstLine="2891" w:firstLineChars="1200"/>
        <w:rPr>
          <w:rFonts w:ascii="宋体" w:hAnsi="宋体"/>
          <w:color w:val="auto"/>
          <w:highlight w:val="none"/>
        </w:rPr>
      </w:pPr>
      <w:r>
        <w:rPr>
          <w:rFonts w:hint="eastAsia" w:ascii="宋体" w:hAnsi="宋体"/>
          <w:b/>
          <w:color w:val="auto"/>
          <w:sz w:val="24"/>
          <w:highlight w:val="none"/>
        </w:rPr>
        <w:t>日期：</w:t>
      </w:r>
      <w:r>
        <w:rPr>
          <w:rFonts w:hint="eastAsia" w:ascii="宋体" w:hAnsi="宋体"/>
          <w:b/>
          <w:color w:val="auto"/>
          <w:sz w:val="24"/>
          <w:highlight w:val="none"/>
          <w:u w:val="single"/>
        </w:rPr>
        <w:t xml:space="preserve">         </w:t>
      </w:r>
      <w:r>
        <w:rPr>
          <w:rFonts w:hint="eastAsia" w:ascii="宋体" w:hAnsi="宋体"/>
          <w:b/>
          <w:color w:val="auto"/>
          <w:sz w:val="24"/>
          <w:highlight w:val="none"/>
        </w:rPr>
        <w:t>年</w:t>
      </w:r>
      <w:r>
        <w:rPr>
          <w:rFonts w:hint="eastAsia" w:ascii="宋体" w:hAnsi="宋体"/>
          <w:b/>
          <w:color w:val="auto"/>
          <w:sz w:val="24"/>
          <w:highlight w:val="none"/>
          <w:u w:val="single"/>
        </w:rPr>
        <w:t xml:space="preserve">         </w:t>
      </w:r>
      <w:r>
        <w:rPr>
          <w:rFonts w:hint="eastAsia" w:ascii="宋体" w:hAnsi="宋体"/>
          <w:b/>
          <w:color w:val="auto"/>
          <w:sz w:val="24"/>
          <w:highlight w:val="none"/>
        </w:rPr>
        <w:t>月</w:t>
      </w:r>
      <w:r>
        <w:rPr>
          <w:rFonts w:hint="eastAsia" w:ascii="宋体" w:hAnsi="宋体"/>
          <w:b/>
          <w:color w:val="auto"/>
          <w:sz w:val="24"/>
          <w:highlight w:val="none"/>
          <w:u w:val="single"/>
        </w:rPr>
        <w:t xml:space="preserve">         </w:t>
      </w:r>
      <w:r>
        <w:rPr>
          <w:rFonts w:hint="eastAsia" w:ascii="宋体" w:hAnsi="宋体"/>
          <w:b/>
          <w:color w:val="auto"/>
          <w:sz w:val="24"/>
          <w:highlight w:val="none"/>
        </w:rPr>
        <w:t>日</w:t>
      </w:r>
    </w:p>
    <w:p>
      <w:pPr>
        <w:rPr>
          <w:color w:val="auto"/>
          <w:sz w:val="36"/>
          <w:szCs w:val="36"/>
          <w:highlight w:val="none"/>
        </w:rPr>
      </w:pPr>
      <w:bookmarkStart w:id="183" w:name="_Toc16536"/>
      <w:bookmarkStart w:id="184" w:name="_Toc1017"/>
      <w:bookmarkStart w:id="185" w:name="_Toc1732"/>
      <w:bookmarkStart w:id="186" w:name="_Toc25012"/>
      <w:bookmarkStart w:id="187" w:name="_Toc43"/>
      <w:r>
        <w:rPr>
          <w:color w:val="auto"/>
          <w:sz w:val="36"/>
          <w:szCs w:val="36"/>
          <w:highlight w:val="none"/>
        </w:rPr>
        <w:br w:type="page"/>
      </w:r>
    </w:p>
    <w:p>
      <w:pPr>
        <w:keepNext/>
        <w:keepLines/>
        <w:spacing w:after="156" w:afterLines="50" w:line="360" w:lineRule="auto"/>
        <w:jc w:val="center"/>
        <w:outlineLvl w:val="0"/>
        <w:rPr>
          <w:b/>
          <w:bCs/>
          <w:color w:val="auto"/>
          <w:sz w:val="32"/>
          <w:szCs w:val="32"/>
          <w:highlight w:val="none"/>
        </w:rPr>
      </w:pPr>
      <w:bookmarkStart w:id="188" w:name="_Toc26036"/>
      <w:r>
        <w:rPr>
          <w:b/>
          <w:bCs/>
          <w:color w:val="auto"/>
          <w:sz w:val="32"/>
          <w:szCs w:val="32"/>
          <w:highlight w:val="none"/>
        </w:rPr>
        <w:t>第</w:t>
      </w:r>
      <w:r>
        <w:rPr>
          <w:rFonts w:hint="eastAsia"/>
          <w:b/>
          <w:bCs/>
          <w:color w:val="auto"/>
          <w:sz w:val="32"/>
          <w:szCs w:val="32"/>
          <w:highlight w:val="none"/>
        </w:rPr>
        <w:t>五</w:t>
      </w:r>
      <w:r>
        <w:rPr>
          <w:b/>
          <w:bCs/>
          <w:color w:val="auto"/>
          <w:sz w:val="32"/>
          <w:szCs w:val="32"/>
          <w:highlight w:val="none"/>
        </w:rPr>
        <w:t>章</w:t>
      </w:r>
      <w:r>
        <w:rPr>
          <w:rFonts w:hint="eastAsia"/>
          <w:b/>
          <w:bCs/>
          <w:color w:val="auto"/>
          <w:sz w:val="32"/>
          <w:szCs w:val="32"/>
          <w:highlight w:val="none"/>
        </w:rPr>
        <w:t xml:space="preserve">  </w:t>
      </w:r>
      <w:r>
        <w:rPr>
          <w:b/>
          <w:bCs/>
          <w:color w:val="auto"/>
          <w:sz w:val="32"/>
          <w:szCs w:val="32"/>
          <w:highlight w:val="none"/>
        </w:rPr>
        <w:t>合同条款</w:t>
      </w:r>
      <w:r>
        <w:rPr>
          <w:rFonts w:hint="eastAsia"/>
          <w:b/>
          <w:bCs/>
          <w:color w:val="auto"/>
          <w:sz w:val="32"/>
          <w:szCs w:val="32"/>
          <w:highlight w:val="none"/>
        </w:rPr>
        <w:t>及格式</w:t>
      </w:r>
      <w:bookmarkEnd w:id="140"/>
      <w:bookmarkEnd w:id="141"/>
      <w:bookmarkEnd w:id="142"/>
      <w:bookmarkEnd w:id="143"/>
      <w:bookmarkEnd w:id="144"/>
      <w:bookmarkEnd w:id="145"/>
      <w:bookmarkEnd w:id="146"/>
      <w:bookmarkEnd w:id="175"/>
      <w:bookmarkEnd w:id="183"/>
      <w:bookmarkEnd w:id="184"/>
      <w:bookmarkEnd w:id="185"/>
      <w:bookmarkEnd w:id="186"/>
      <w:bookmarkEnd w:id="187"/>
      <w:bookmarkEnd w:id="188"/>
    </w:p>
    <w:p>
      <w:pPr>
        <w:pStyle w:val="9"/>
        <w:spacing w:line="460" w:lineRule="exact"/>
        <w:ind w:firstLine="480" w:firstLineChars="200"/>
        <w:rPr>
          <w:b/>
          <w:color w:val="auto"/>
          <w:highlight w:val="none"/>
        </w:rPr>
      </w:pPr>
      <w:r>
        <w:rPr>
          <w:rFonts w:hint="eastAsia" w:ascii="宋体" w:hAnsi="宋体" w:cs="宋体"/>
          <w:color w:val="auto"/>
          <w:highlight w:val="none"/>
        </w:rPr>
        <w:t>(此合同仅为合同格式，成交人根据采购人要求与采购人签订合同, 但不得改变本次询价的实质性内容, 合同履行以最终签订的合同为准。)</w:t>
      </w:r>
    </w:p>
    <w:p>
      <w:pPr>
        <w:spacing w:line="360" w:lineRule="exact"/>
        <w:rPr>
          <w:rFonts w:eastAsia="'宋体"/>
          <w:b/>
          <w:color w:val="auto"/>
          <w:sz w:val="24"/>
          <w:szCs w:val="28"/>
          <w:highlight w:val="none"/>
        </w:rPr>
      </w:pPr>
      <w:bookmarkStart w:id="189" w:name="_Toc18973"/>
      <w:bookmarkStart w:id="190" w:name="_Toc14649"/>
      <w:bookmarkStart w:id="191" w:name="_Toc30944"/>
    </w:p>
    <w:p>
      <w:pPr>
        <w:spacing w:line="360" w:lineRule="exact"/>
        <w:rPr>
          <w:rFonts w:eastAsia="'宋体"/>
          <w:b/>
          <w:color w:val="auto"/>
          <w:sz w:val="24"/>
          <w:szCs w:val="28"/>
          <w:highlight w:val="none"/>
        </w:rPr>
      </w:pPr>
    </w:p>
    <w:p>
      <w:pPr>
        <w:spacing w:line="360" w:lineRule="exact"/>
        <w:rPr>
          <w:rFonts w:eastAsia="'宋体"/>
          <w:b/>
          <w:color w:val="auto"/>
          <w:sz w:val="24"/>
          <w:szCs w:val="28"/>
          <w:highlight w:val="none"/>
        </w:rPr>
      </w:pPr>
      <w:r>
        <w:rPr>
          <w:rFonts w:hint="eastAsia" w:eastAsia="'宋体"/>
          <w:b/>
          <w:color w:val="auto"/>
          <w:sz w:val="24"/>
          <w:szCs w:val="28"/>
          <w:highlight w:val="none"/>
        </w:rPr>
        <w:t>甲方：</w:t>
      </w:r>
      <w:bookmarkEnd w:id="189"/>
      <w:bookmarkEnd w:id="190"/>
      <w:bookmarkEnd w:id="191"/>
    </w:p>
    <w:p>
      <w:pPr>
        <w:spacing w:line="360" w:lineRule="exact"/>
        <w:rPr>
          <w:rFonts w:eastAsia="'宋体"/>
          <w:b/>
          <w:color w:val="auto"/>
          <w:sz w:val="24"/>
          <w:szCs w:val="28"/>
          <w:highlight w:val="none"/>
        </w:rPr>
      </w:pPr>
    </w:p>
    <w:p>
      <w:pPr>
        <w:spacing w:line="360" w:lineRule="exact"/>
        <w:rPr>
          <w:rFonts w:hAnsi="宋体"/>
          <w:color w:val="auto"/>
          <w:highlight w:val="none"/>
        </w:rPr>
      </w:pPr>
      <w:bookmarkStart w:id="192" w:name="_Toc19301"/>
      <w:bookmarkStart w:id="193" w:name="_Toc27007"/>
      <w:bookmarkStart w:id="194" w:name="_Toc30665"/>
      <w:r>
        <w:rPr>
          <w:rFonts w:hint="eastAsia" w:eastAsia="'宋体"/>
          <w:b/>
          <w:color w:val="auto"/>
          <w:sz w:val="24"/>
          <w:szCs w:val="28"/>
          <w:highlight w:val="none"/>
        </w:rPr>
        <w:t>乙方：</w:t>
      </w:r>
      <w:bookmarkEnd w:id="192"/>
      <w:bookmarkEnd w:id="193"/>
      <w:bookmarkEnd w:id="194"/>
      <w:r>
        <w:rPr>
          <w:rFonts w:eastAsia="'宋体"/>
          <w:b/>
          <w:color w:val="auto"/>
          <w:sz w:val="24"/>
          <w:szCs w:val="28"/>
          <w:highlight w:val="none"/>
        </w:rPr>
        <w:t xml:space="preserve"> </w:t>
      </w:r>
    </w:p>
    <w:p>
      <w:pPr>
        <w:pStyle w:val="36"/>
        <w:spacing w:before="156" w:beforeLines="50" w:after="156" w:afterLines="50" w:line="360" w:lineRule="auto"/>
        <w:ind w:firstLine="360" w:firstLineChars="150"/>
        <w:rPr>
          <w:rFonts w:ascii="宋体" w:hAnsi="宋体"/>
          <w:color w:val="auto"/>
          <w:highlight w:val="none"/>
        </w:rPr>
      </w:pPr>
    </w:p>
    <w:p>
      <w:pPr>
        <w:pStyle w:val="36"/>
        <w:spacing w:line="460" w:lineRule="exact"/>
        <w:ind w:firstLine="480" w:firstLineChars="200"/>
        <w:rPr>
          <w:rFonts w:hAnsi="宋体"/>
          <w:color w:val="auto"/>
          <w:highlight w:val="none"/>
        </w:rPr>
      </w:pPr>
      <w:r>
        <w:rPr>
          <w:rFonts w:hint="eastAsia" w:ascii="宋体" w:hAnsi="宋体"/>
          <w:color w:val="auto"/>
          <w:highlight w:val="none"/>
        </w:rPr>
        <w:t>根据</w:t>
      </w:r>
      <w:r>
        <w:rPr>
          <w:rFonts w:hint="eastAsia" w:ascii="宋体" w:hAnsi="宋体"/>
          <w:color w:val="auto"/>
          <w:highlight w:val="none"/>
          <w:u w:val="single"/>
        </w:rPr>
        <w:t xml:space="preserve">  （项目名称）（项目编号） </w:t>
      </w:r>
      <w:r>
        <w:rPr>
          <w:rFonts w:hint="eastAsia" w:ascii="宋体" w:hAnsi="宋体"/>
          <w:color w:val="auto"/>
          <w:highlight w:val="none"/>
        </w:rPr>
        <w:t>询价结果，甲、乙双方在平等、互利、友好的基础上，经过共同协商,</w:t>
      </w:r>
      <w:r>
        <w:rPr>
          <w:rFonts w:hint="eastAsia" w:hAnsi="宋体"/>
          <w:color w:val="auto"/>
          <w:highlight w:val="none"/>
        </w:rPr>
        <w:t>甲方和乙方签订合同如下：</w:t>
      </w:r>
    </w:p>
    <w:p>
      <w:pPr>
        <w:pStyle w:val="36"/>
        <w:spacing w:line="460" w:lineRule="exact"/>
        <w:ind w:firstLine="482" w:firstLineChars="200"/>
        <w:rPr>
          <w:rFonts w:hAnsi="宋体"/>
          <w:color w:val="auto"/>
          <w:highlight w:val="none"/>
        </w:rPr>
      </w:pPr>
      <w:r>
        <w:rPr>
          <w:rFonts w:hint="eastAsia" w:hAnsi="宋体"/>
          <w:b/>
          <w:color w:val="auto"/>
          <w:highlight w:val="none"/>
        </w:rPr>
        <w:t>1.合同文件</w:t>
      </w:r>
      <w:r>
        <w:rPr>
          <w:rFonts w:hAnsi="宋体"/>
          <w:color w:val="auto"/>
          <w:highlight w:val="none"/>
        </w:rPr>
        <w:br w:type="textWrapping"/>
      </w:r>
      <w:r>
        <w:rPr>
          <w:rFonts w:hAnsi="宋体"/>
          <w:color w:val="auto"/>
          <w:highlight w:val="none"/>
        </w:rPr>
        <w:t>本</w:t>
      </w:r>
      <w:r>
        <w:rPr>
          <w:rFonts w:hint="eastAsia" w:hAnsi="宋体"/>
          <w:color w:val="auto"/>
          <w:highlight w:val="none"/>
        </w:rPr>
        <w:t>合同包含下列文件</w:t>
      </w:r>
    </w:p>
    <w:p>
      <w:pPr>
        <w:pStyle w:val="36"/>
        <w:spacing w:line="460" w:lineRule="exact"/>
        <w:ind w:firstLine="480" w:firstLineChars="200"/>
        <w:rPr>
          <w:rFonts w:hAnsi="宋体"/>
          <w:color w:val="auto"/>
          <w:highlight w:val="none"/>
        </w:rPr>
      </w:pPr>
      <w:r>
        <w:rPr>
          <w:rFonts w:hint="eastAsia" w:hAnsi="宋体"/>
          <w:color w:val="auto"/>
          <w:highlight w:val="none"/>
        </w:rPr>
        <w:t>1.1 本合同</w:t>
      </w:r>
    </w:p>
    <w:p>
      <w:pPr>
        <w:pStyle w:val="36"/>
        <w:spacing w:line="460" w:lineRule="exact"/>
        <w:ind w:firstLine="480" w:firstLineChars="200"/>
        <w:rPr>
          <w:rFonts w:hAnsi="宋体"/>
          <w:color w:val="auto"/>
          <w:highlight w:val="none"/>
        </w:rPr>
      </w:pPr>
      <w:r>
        <w:rPr>
          <w:rFonts w:hint="eastAsia" w:hAnsi="宋体"/>
          <w:color w:val="auto"/>
          <w:highlight w:val="none"/>
        </w:rPr>
        <w:t>1.2 响应文件</w:t>
      </w:r>
    </w:p>
    <w:p>
      <w:pPr>
        <w:pStyle w:val="36"/>
        <w:spacing w:line="460" w:lineRule="exact"/>
        <w:ind w:firstLine="482" w:firstLineChars="200"/>
        <w:rPr>
          <w:rFonts w:hAnsi="宋体"/>
          <w:b/>
          <w:color w:val="auto"/>
          <w:highlight w:val="none"/>
        </w:rPr>
      </w:pPr>
      <w:r>
        <w:rPr>
          <w:rFonts w:hint="eastAsia" w:hAnsi="宋体"/>
          <w:b/>
          <w:color w:val="auto"/>
          <w:highlight w:val="none"/>
        </w:rPr>
        <w:t>2.合同标的及价格</w:t>
      </w:r>
    </w:p>
    <w:p>
      <w:pPr>
        <w:spacing w:line="460" w:lineRule="exact"/>
        <w:ind w:firstLine="480" w:firstLineChars="200"/>
        <w:rPr>
          <w:rFonts w:ascii="宋体" w:hAnsi="宋体"/>
          <w:bCs/>
          <w:color w:val="auto"/>
          <w:sz w:val="24"/>
          <w:highlight w:val="none"/>
        </w:rPr>
      </w:pPr>
      <w:bookmarkStart w:id="195" w:name="_Toc17070"/>
      <w:bookmarkStart w:id="196" w:name="_Toc27674"/>
      <w:bookmarkStart w:id="197" w:name="_Toc24620"/>
      <w:bookmarkStart w:id="198" w:name="_Toc5633"/>
      <w:bookmarkStart w:id="199" w:name="_Toc26056"/>
      <w:r>
        <w:rPr>
          <w:rFonts w:hint="eastAsia" w:ascii="宋体" w:hAnsi="宋体" w:cs="宋体"/>
          <w:color w:val="auto"/>
          <w:sz w:val="24"/>
          <w:highlight w:val="none"/>
        </w:rPr>
        <w:t>2.1采购清单</w:t>
      </w:r>
      <w:bookmarkEnd w:id="195"/>
      <w:bookmarkEnd w:id="196"/>
      <w:bookmarkEnd w:id="197"/>
      <w:bookmarkEnd w:id="198"/>
      <w:bookmarkEnd w:id="199"/>
    </w:p>
    <w:tbl>
      <w:tblPr>
        <w:tblStyle w:val="25"/>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0"/>
        <w:gridCol w:w="1410"/>
        <w:gridCol w:w="3195"/>
        <w:gridCol w:w="765"/>
        <w:gridCol w:w="810"/>
        <w:gridCol w:w="780"/>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132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名称</w:t>
            </w:r>
          </w:p>
        </w:tc>
        <w:tc>
          <w:tcPr>
            <w:tcW w:w="141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品牌/厂家</w:t>
            </w:r>
          </w:p>
        </w:tc>
        <w:tc>
          <w:tcPr>
            <w:tcW w:w="319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项目特征规格、技术参数、性能要求</w:t>
            </w:r>
          </w:p>
        </w:tc>
        <w:tc>
          <w:tcPr>
            <w:tcW w:w="765"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w:t>
            </w:r>
          </w:p>
        </w:tc>
        <w:tc>
          <w:tcPr>
            <w:tcW w:w="81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单位</w:t>
            </w:r>
          </w:p>
        </w:tc>
        <w:tc>
          <w:tcPr>
            <w:tcW w:w="780"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单价</w:t>
            </w:r>
          </w:p>
        </w:tc>
        <w:tc>
          <w:tcPr>
            <w:tcW w:w="78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320" w:type="dxa"/>
            <w:vAlign w:val="center"/>
          </w:tcPr>
          <w:p>
            <w:pPr>
              <w:spacing w:line="360" w:lineRule="auto"/>
              <w:jc w:val="center"/>
              <w:rPr>
                <w:rFonts w:ascii="宋体" w:hAnsi="宋体" w:cs="宋体"/>
                <w:color w:val="auto"/>
                <w:sz w:val="24"/>
                <w:highlight w:val="none"/>
              </w:rPr>
            </w:pPr>
          </w:p>
        </w:tc>
        <w:tc>
          <w:tcPr>
            <w:tcW w:w="1410" w:type="dxa"/>
            <w:vAlign w:val="center"/>
          </w:tcPr>
          <w:p>
            <w:pPr>
              <w:spacing w:line="360" w:lineRule="auto"/>
              <w:jc w:val="center"/>
              <w:rPr>
                <w:rFonts w:ascii="宋体" w:hAnsi="宋体" w:cs="宋体"/>
                <w:color w:val="auto"/>
                <w:sz w:val="24"/>
                <w:highlight w:val="none"/>
              </w:rPr>
            </w:pPr>
          </w:p>
        </w:tc>
        <w:tc>
          <w:tcPr>
            <w:tcW w:w="3195" w:type="dxa"/>
            <w:vAlign w:val="center"/>
          </w:tcPr>
          <w:p>
            <w:pPr>
              <w:spacing w:line="360" w:lineRule="auto"/>
              <w:jc w:val="center"/>
              <w:rPr>
                <w:rFonts w:ascii="宋体" w:hAnsi="宋体" w:cs="宋体"/>
                <w:color w:val="auto"/>
                <w:sz w:val="24"/>
                <w:highlight w:val="none"/>
              </w:rPr>
            </w:pPr>
          </w:p>
        </w:tc>
        <w:tc>
          <w:tcPr>
            <w:tcW w:w="765" w:type="dxa"/>
            <w:vAlign w:val="center"/>
          </w:tcPr>
          <w:p>
            <w:pPr>
              <w:spacing w:line="360" w:lineRule="auto"/>
              <w:jc w:val="center"/>
              <w:rPr>
                <w:rFonts w:ascii="宋体" w:hAnsi="宋体" w:cs="宋体"/>
                <w:color w:val="auto"/>
                <w:sz w:val="24"/>
                <w:highlight w:val="none"/>
              </w:rPr>
            </w:pPr>
          </w:p>
        </w:tc>
        <w:tc>
          <w:tcPr>
            <w:tcW w:w="810" w:type="dxa"/>
            <w:vAlign w:val="center"/>
          </w:tcPr>
          <w:p>
            <w:pPr>
              <w:spacing w:line="360" w:lineRule="auto"/>
              <w:jc w:val="center"/>
              <w:rPr>
                <w:rFonts w:ascii="宋体" w:hAnsi="宋体" w:cs="宋体"/>
                <w:color w:val="auto"/>
                <w:sz w:val="24"/>
                <w:highlight w:val="none"/>
              </w:rPr>
            </w:pPr>
          </w:p>
        </w:tc>
        <w:tc>
          <w:tcPr>
            <w:tcW w:w="780" w:type="dxa"/>
          </w:tcPr>
          <w:p>
            <w:pPr>
              <w:spacing w:line="360" w:lineRule="auto"/>
              <w:rPr>
                <w:rFonts w:ascii="宋体" w:hAnsi="宋体" w:cs="宋体"/>
                <w:color w:val="auto"/>
                <w:sz w:val="24"/>
                <w:highlight w:val="none"/>
              </w:rPr>
            </w:pPr>
          </w:p>
        </w:tc>
        <w:tc>
          <w:tcPr>
            <w:tcW w:w="787"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ascii="宋体" w:hAnsi="宋体" w:cs="宋体"/>
                <w:color w:val="auto"/>
                <w:sz w:val="24"/>
                <w:highlight w:val="none"/>
              </w:rPr>
            </w:pPr>
          </w:p>
        </w:tc>
        <w:tc>
          <w:tcPr>
            <w:tcW w:w="1410" w:type="dxa"/>
            <w:vAlign w:val="center"/>
          </w:tcPr>
          <w:p>
            <w:pPr>
              <w:spacing w:line="360" w:lineRule="auto"/>
              <w:jc w:val="center"/>
              <w:rPr>
                <w:rFonts w:ascii="宋体" w:hAnsi="宋体" w:cs="宋体"/>
                <w:color w:val="auto"/>
                <w:sz w:val="24"/>
                <w:highlight w:val="none"/>
              </w:rPr>
            </w:pPr>
          </w:p>
        </w:tc>
        <w:tc>
          <w:tcPr>
            <w:tcW w:w="3195" w:type="dxa"/>
            <w:vAlign w:val="center"/>
          </w:tcPr>
          <w:p>
            <w:pPr>
              <w:spacing w:line="360" w:lineRule="auto"/>
              <w:jc w:val="center"/>
              <w:rPr>
                <w:rFonts w:ascii="宋体" w:hAnsi="宋体" w:cs="宋体"/>
                <w:color w:val="auto"/>
                <w:sz w:val="24"/>
                <w:highlight w:val="none"/>
              </w:rPr>
            </w:pPr>
          </w:p>
        </w:tc>
        <w:tc>
          <w:tcPr>
            <w:tcW w:w="765" w:type="dxa"/>
            <w:vAlign w:val="center"/>
          </w:tcPr>
          <w:p>
            <w:pPr>
              <w:spacing w:line="360" w:lineRule="auto"/>
              <w:jc w:val="center"/>
              <w:rPr>
                <w:rFonts w:ascii="宋体" w:hAnsi="宋体" w:cs="宋体"/>
                <w:color w:val="auto"/>
                <w:sz w:val="24"/>
                <w:highlight w:val="none"/>
              </w:rPr>
            </w:pPr>
          </w:p>
        </w:tc>
        <w:tc>
          <w:tcPr>
            <w:tcW w:w="810" w:type="dxa"/>
            <w:vAlign w:val="center"/>
          </w:tcPr>
          <w:p>
            <w:pPr>
              <w:spacing w:line="360" w:lineRule="auto"/>
              <w:jc w:val="center"/>
              <w:rPr>
                <w:rFonts w:ascii="宋体" w:hAnsi="宋体" w:cs="宋体"/>
                <w:color w:val="auto"/>
                <w:sz w:val="24"/>
                <w:highlight w:val="none"/>
              </w:rPr>
            </w:pPr>
          </w:p>
        </w:tc>
        <w:tc>
          <w:tcPr>
            <w:tcW w:w="780" w:type="dxa"/>
          </w:tcPr>
          <w:p>
            <w:pPr>
              <w:spacing w:line="360" w:lineRule="auto"/>
              <w:rPr>
                <w:rFonts w:ascii="宋体" w:hAnsi="宋体" w:cs="宋体"/>
                <w:color w:val="auto"/>
                <w:sz w:val="24"/>
                <w:highlight w:val="none"/>
              </w:rPr>
            </w:pPr>
          </w:p>
        </w:tc>
        <w:tc>
          <w:tcPr>
            <w:tcW w:w="787" w:type="dxa"/>
          </w:tcPr>
          <w:p>
            <w:pPr>
              <w:spacing w:line="360" w:lineRule="auto"/>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0" w:type="dxa"/>
            <w:vAlign w:val="center"/>
          </w:tcPr>
          <w:p>
            <w:pPr>
              <w:spacing w:line="360" w:lineRule="auto"/>
              <w:jc w:val="center"/>
              <w:rPr>
                <w:rFonts w:ascii="宋体" w:hAnsi="宋体" w:cs="宋体"/>
                <w:color w:val="auto"/>
                <w:sz w:val="24"/>
                <w:highlight w:val="none"/>
              </w:rPr>
            </w:pPr>
          </w:p>
        </w:tc>
        <w:tc>
          <w:tcPr>
            <w:tcW w:w="1410" w:type="dxa"/>
            <w:vAlign w:val="center"/>
          </w:tcPr>
          <w:p>
            <w:pPr>
              <w:spacing w:line="360" w:lineRule="auto"/>
              <w:jc w:val="center"/>
              <w:rPr>
                <w:rFonts w:ascii="宋体" w:hAnsi="宋体" w:cs="宋体"/>
                <w:color w:val="auto"/>
                <w:sz w:val="24"/>
                <w:highlight w:val="none"/>
              </w:rPr>
            </w:pPr>
          </w:p>
        </w:tc>
        <w:tc>
          <w:tcPr>
            <w:tcW w:w="3195" w:type="dxa"/>
            <w:vAlign w:val="center"/>
          </w:tcPr>
          <w:p>
            <w:pPr>
              <w:spacing w:line="360" w:lineRule="auto"/>
              <w:jc w:val="center"/>
              <w:rPr>
                <w:rFonts w:ascii="宋体" w:hAnsi="宋体" w:cs="宋体"/>
                <w:color w:val="auto"/>
                <w:sz w:val="24"/>
                <w:highlight w:val="none"/>
              </w:rPr>
            </w:pPr>
          </w:p>
        </w:tc>
        <w:tc>
          <w:tcPr>
            <w:tcW w:w="765" w:type="dxa"/>
            <w:vAlign w:val="center"/>
          </w:tcPr>
          <w:p>
            <w:pPr>
              <w:spacing w:line="360" w:lineRule="auto"/>
              <w:jc w:val="center"/>
              <w:rPr>
                <w:rFonts w:ascii="宋体" w:hAnsi="宋体" w:cs="宋体"/>
                <w:color w:val="auto"/>
                <w:sz w:val="24"/>
                <w:highlight w:val="none"/>
              </w:rPr>
            </w:pPr>
          </w:p>
        </w:tc>
        <w:tc>
          <w:tcPr>
            <w:tcW w:w="810" w:type="dxa"/>
            <w:vAlign w:val="center"/>
          </w:tcPr>
          <w:p>
            <w:pPr>
              <w:spacing w:line="360" w:lineRule="auto"/>
              <w:jc w:val="center"/>
              <w:rPr>
                <w:rFonts w:ascii="宋体" w:hAnsi="宋体" w:cs="宋体"/>
                <w:color w:val="auto"/>
                <w:sz w:val="24"/>
                <w:highlight w:val="none"/>
              </w:rPr>
            </w:pPr>
          </w:p>
        </w:tc>
        <w:tc>
          <w:tcPr>
            <w:tcW w:w="780" w:type="dxa"/>
          </w:tcPr>
          <w:p>
            <w:pPr>
              <w:spacing w:line="360" w:lineRule="auto"/>
              <w:rPr>
                <w:rFonts w:ascii="宋体" w:hAnsi="宋体" w:cs="宋体"/>
                <w:color w:val="auto"/>
                <w:sz w:val="24"/>
                <w:highlight w:val="none"/>
              </w:rPr>
            </w:pPr>
          </w:p>
        </w:tc>
        <w:tc>
          <w:tcPr>
            <w:tcW w:w="787" w:type="dxa"/>
          </w:tcPr>
          <w:p>
            <w:pPr>
              <w:spacing w:line="360" w:lineRule="auto"/>
              <w:rPr>
                <w:rFonts w:ascii="宋体" w:hAnsi="宋体" w:cs="宋体"/>
                <w:color w:val="auto"/>
                <w:sz w:val="24"/>
                <w:highlight w:val="none"/>
              </w:rPr>
            </w:pPr>
          </w:p>
        </w:tc>
      </w:tr>
    </w:tbl>
    <w:p>
      <w:pPr>
        <w:spacing w:line="460" w:lineRule="exact"/>
        <w:ind w:firstLine="480" w:firstLineChars="200"/>
        <w:rPr>
          <w:rFonts w:ascii="宋体" w:hAnsi="宋体"/>
          <w:color w:val="auto"/>
          <w:sz w:val="24"/>
          <w:highlight w:val="none"/>
        </w:rPr>
      </w:pPr>
      <w:bookmarkStart w:id="200" w:name="_Toc11273"/>
      <w:bookmarkStart w:id="201" w:name="_Toc22672"/>
      <w:bookmarkStart w:id="202" w:name="_Toc7628"/>
      <w:bookmarkStart w:id="203" w:name="_Toc1993"/>
      <w:bookmarkStart w:id="204" w:name="_Toc23659"/>
      <w:r>
        <w:rPr>
          <w:rFonts w:hint="eastAsia" w:ascii="宋体" w:hAnsi="宋体"/>
          <w:color w:val="auto"/>
          <w:sz w:val="24"/>
          <w:highlight w:val="none"/>
        </w:rPr>
        <w:t>2.2</w:t>
      </w:r>
      <w:r>
        <w:rPr>
          <w:rFonts w:hint="eastAsia" w:ascii="宋体" w:hAnsi="宋体"/>
          <w:bCs/>
          <w:color w:val="auto"/>
          <w:sz w:val="24"/>
          <w:highlight w:val="none"/>
        </w:rPr>
        <w:t xml:space="preserve"> 本合同设备总价为人民币</w:t>
      </w:r>
      <w:r>
        <w:rPr>
          <w:rFonts w:hint="eastAsia" w:ascii="宋体" w:hAnsi="宋体"/>
          <w:color w:val="auto"/>
          <w:sz w:val="24"/>
          <w:highlight w:val="none"/>
        </w:rPr>
        <w:t>¥</w:t>
      </w:r>
      <w:r>
        <w:rPr>
          <w:rFonts w:ascii="宋体" w:hAnsi="宋体"/>
          <w:bCs/>
          <w:color w:val="auto"/>
          <w:sz w:val="24"/>
          <w:highlight w:val="none"/>
          <w:u w:val="single"/>
        </w:rPr>
        <w:t xml:space="preserve">           </w:t>
      </w:r>
      <w:r>
        <w:rPr>
          <w:rFonts w:hint="eastAsia" w:ascii="宋体" w:hAnsi="宋体"/>
          <w:color w:val="auto"/>
          <w:sz w:val="24"/>
          <w:highlight w:val="none"/>
        </w:rPr>
        <w:t>整（大写人民币</w:t>
      </w:r>
      <w:r>
        <w:rPr>
          <w:rFonts w:ascii="宋体" w:hAnsi="宋体"/>
          <w:color w:val="auto"/>
          <w:sz w:val="24"/>
          <w:highlight w:val="none"/>
          <w:u w:val="single"/>
        </w:rPr>
        <w:t xml:space="preserve">       </w:t>
      </w:r>
      <w:r>
        <w:rPr>
          <w:rFonts w:hint="eastAsia" w:ascii="宋体" w:hAnsi="宋体"/>
          <w:color w:val="auto"/>
          <w:sz w:val="24"/>
          <w:highlight w:val="none"/>
        </w:rPr>
        <w:t>.元）</w:t>
      </w:r>
      <w:bookmarkEnd w:id="200"/>
      <w:bookmarkEnd w:id="201"/>
      <w:bookmarkEnd w:id="202"/>
      <w:bookmarkEnd w:id="203"/>
      <w:bookmarkEnd w:id="204"/>
    </w:p>
    <w:p>
      <w:pPr>
        <w:spacing w:line="460" w:lineRule="exact"/>
        <w:ind w:firstLine="480" w:firstLineChars="200"/>
        <w:rPr>
          <w:rFonts w:ascii="宋体" w:hAnsi="宋体"/>
          <w:color w:val="auto"/>
          <w:sz w:val="24"/>
          <w:highlight w:val="none"/>
        </w:rPr>
      </w:pPr>
      <w:r>
        <w:rPr>
          <w:rFonts w:hint="eastAsia" w:ascii="宋体" w:hAnsi="宋体"/>
          <w:color w:val="auto"/>
          <w:sz w:val="24"/>
          <w:highlight w:val="none"/>
        </w:rPr>
        <w:t>上述合同总价包括：</w:t>
      </w:r>
      <w:r>
        <w:rPr>
          <w:rFonts w:hint="eastAsia" w:ascii="宋体" w:hAnsi="宋体" w:cs="宋体"/>
          <w:color w:val="auto"/>
          <w:sz w:val="24"/>
          <w:highlight w:val="none"/>
          <w:lang w:val="zh-CN"/>
        </w:rPr>
        <w:t>本项目产品、产品的运输装卸、安装、调试、验收、维护费、质保等伴随的服务及各种税费等全部费用</w:t>
      </w:r>
      <w:r>
        <w:rPr>
          <w:rFonts w:hint="eastAsia" w:ascii="宋体" w:hAnsi="宋体" w:cs="宋体"/>
          <w:color w:val="auto"/>
          <w:sz w:val="24"/>
          <w:highlight w:val="none"/>
        </w:rPr>
        <w:t>。</w:t>
      </w:r>
    </w:p>
    <w:p>
      <w:pPr>
        <w:spacing w:line="460" w:lineRule="exact"/>
        <w:ind w:firstLine="482" w:firstLineChars="200"/>
        <w:rPr>
          <w:rFonts w:ascii="宋体" w:hAnsi="宋体"/>
          <w:color w:val="auto"/>
          <w:sz w:val="24"/>
          <w:highlight w:val="none"/>
        </w:rPr>
      </w:pPr>
      <w:r>
        <w:rPr>
          <w:rFonts w:hint="eastAsia" w:ascii="宋体" w:hAnsi="宋体"/>
          <w:b/>
          <w:color w:val="auto"/>
          <w:sz w:val="24"/>
          <w:highlight w:val="none"/>
        </w:rPr>
        <w:t>3.付款方式</w:t>
      </w:r>
      <w:r>
        <w:rPr>
          <w:rFonts w:hint="eastAsia" w:ascii="宋体" w:hAnsi="宋体"/>
          <w:color w:val="auto"/>
          <w:sz w:val="24"/>
          <w:highlight w:val="none"/>
        </w:rPr>
        <w:t xml:space="preserve">    </w:t>
      </w:r>
    </w:p>
    <w:p>
      <w:pPr>
        <w:spacing w:line="460" w:lineRule="exact"/>
        <w:ind w:firstLine="480" w:firstLineChars="200"/>
        <w:jc w:val="left"/>
        <w:rPr>
          <w:rFonts w:ascii="宋体" w:hAnsi="宋体"/>
          <w:color w:val="auto"/>
          <w:sz w:val="24"/>
          <w:highlight w:val="none"/>
        </w:rPr>
      </w:pPr>
      <w:r>
        <w:rPr>
          <w:rFonts w:hint="eastAsia" w:ascii="宋体" w:hAnsi="宋体"/>
          <w:color w:val="auto"/>
          <w:sz w:val="24"/>
          <w:highlight w:val="none"/>
        </w:rPr>
        <w:t>3.1预付款</w:t>
      </w:r>
      <w:r>
        <w:rPr>
          <w:rFonts w:ascii="宋体" w:hAnsi="宋体"/>
          <w:color w:val="auto"/>
          <w:sz w:val="24"/>
          <w:highlight w:val="none"/>
        </w:rPr>
        <w:br w:type="textWrapping"/>
      </w:r>
      <w:r>
        <w:rPr>
          <w:rFonts w:ascii="宋体" w:hAnsi="宋体"/>
          <w:color w:val="auto"/>
          <w:sz w:val="24"/>
          <w:highlight w:val="none"/>
        </w:rPr>
        <w:t xml:space="preserve">  </w:t>
      </w:r>
      <w:r>
        <w:rPr>
          <w:rFonts w:hint="eastAsia" w:ascii="宋体" w:hAnsi="宋体"/>
          <w:color w:val="auto"/>
          <w:sz w:val="24"/>
          <w:highlight w:val="none"/>
        </w:rPr>
        <w:t xml:space="preserve"> 本合同签订生效后</w:t>
      </w:r>
      <w:r>
        <w:rPr>
          <w:rFonts w:hint="eastAsia" w:ascii="宋体" w:hAnsi="宋体"/>
          <w:color w:val="auto"/>
          <w:sz w:val="24"/>
          <w:highlight w:val="none"/>
          <w:u w:val="single"/>
        </w:rPr>
        <w:t xml:space="preserve">   </w:t>
      </w:r>
      <w:r>
        <w:rPr>
          <w:rFonts w:hint="eastAsia" w:ascii="宋体" w:hAnsi="宋体"/>
          <w:color w:val="auto"/>
          <w:sz w:val="24"/>
          <w:highlight w:val="none"/>
        </w:rPr>
        <w:t>个工作日内，甲方以</w:t>
      </w:r>
      <w:r>
        <w:rPr>
          <w:rFonts w:hint="eastAsia" w:ascii="宋体" w:hAnsi="宋体"/>
          <w:color w:val="auto"/>
          <w:sz w:val="24"/>
          <w:highlight w:val="none"/>
          <w:u w:val="single"/>
        </w:rPr>
        <w:t xml:space="preserve">       </w:t>
      </w:r>
      <w:r>
        <w:rPr>
          <w:rFonts w:hint="eastAsia" w:ascii="宋体" w:hAnsi="宋体"/>
          <w:color w:val="auto"/>
          <w:sz w:val="24"/>
          <w:highlight w:val="none"/>
        </w:rPr>
        <w:t>方式支付合同总价的</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%(百分之</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ascii="宋体" w:hAnsi="宋体"/>
          <w:color w:val="auto"/>
          <w:sz w:val="24"/>
          <w:highlight w:val="none"/>
        </w:rPr>
        <w:t>，</w:t>
      </w:r>
      <w:r>
        <w:rPr>
          <w:rFonts w:hint="eastAsia" w:ascii="宋体" w:hAnsi="宋体"/>
          <w:color w:val="auto"/>
          <w:sz w:val="24"/>
          <w:highlight w:val="none"/>
        </w:rPr>
        <w:t>即人民币</w:t>
      </w:r>
      <w:r>
        <w:rPr>
          <w:rFonts w:hint="eastAsia" w:ascii="宋体" w:hAnsi="宋体"/>
          <w:color w:val="auto"/>
          <w:sz w:val="24"/>
          <w:highlight w:val="none"/>
          <w:u w:val="single"/>
        </w:rPr>
        <w:t xml:space="preserve">          </w:t>
      </w:r>
      <w:r>
        <w:rPr>
          <w:rFonts w:hint="eastAsia" w:ascii="宋体" w:hAnsi="宋体"/>
          <w:color w:val="auto"/>
          <w:sz w:val="24"/>
          <w:highlight w:val="none"/>
        </w:rPr>
        <w:t>元（大写人民币</w:t>
      </w:r>
      <w:r>
        <w:rPr>
          <w:rFonts w:hint="eastAsia" w:ascii="宋体" w:hAnsi="宋体"/>
          <w:color w:val="auto"/>
          <w:sz w:val="24"/>
          <w:highlight w:val="none"/>
          <w:u w:val="single"/>
        </w:rPr>
        <w:t xml:space="preserve">       </w:t>
      </w:r>
      <w:r>
        <w:rPr>
          <w:rFonts w:hint="eastAsia" w:ascii="宋体" w:hAnsi="宋体"/>
          <w:color w:val="auto"/>
          <w:sz w:val="24"/>
          <w:highlight w:val="none"/>
        </w:rPr>
        <w:t>整）。</w:t>
      </w:r>
    </w:p>
    <w:p>
      <w:pPr>
        <w:spacing w:line="460" w:lineRule="exact"/>
        <w:ind w:firstLine="480" w:firstLineChars="200"/>
        <w:rPr>
          <w:rFonts w:ascii="宋体" w:hAnsi="宋体" w:cs="宋体"/>
          <w:color w:val="auto"/>
          <w:sz w:val="24"/>
          <w:highlight w:val="none"/>
        </w:rPr>
      </w:pPr>
      <w:r>
        <w:rPr>
          <w:rFonts w:hint="eastAsia" w:ascii="宋体" w:hAnsi="宋体"/>
          <w:color w:val="auto"/>
          <w:sz w:val="24"/>
          <w:highlight w:val="none"/>
        </w:rPr>
        <w:t>3.2当全部设备按照本合同第5条的规定验收合格后，甲方在签发验收合格证明后</w:t>
      </w:r>
      <w:r>
        <w:rPr>
          <w:rFonts w:hint="eastAsia" w:ascii="宋体" w:hAnsi="宋体"/>
          <w:color w:val="auto"/>
          <w:sz w:val="24"/>
          <w:highlight w:val="none"/>
          <w:u w:val="single"/>
        </w:rPr>
        <w:t xml:space="preserve">        </w:t>
      </w:r>
      <w:r>
        <w:rPr>
          <w:rFonts w:hint="eastAsia" w:ascii="宋体" w:hAnsi="宋体"/>
          <w:color w:val="auto"/>
          <w:sz w:val="24"/>
          <w:highlight w:val="none"/>
        </w:rPr>
        <w:t>个工作日内，向乙方支付至合同总价的</w:t>
      </w:r>
      <w:r>
        <w:rPr>
          <w:rFonts w:hint="eastAsia"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百分之</w:t>
      </w:r>
      <w:r>
        <w:rPr>
          <w:rFonts w:hint="eastAsia" w:ascii="宋体" w:hAnsi="宋体"/>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即人民币</w:t>
      </w:r>
      <w:r>
        <w:rPr>
          <w:rFonts w:hint="eastAsia" w:ascii="宋体" w:hAnsi="宋体"/>
          <w:color w:val="auto"/>
          <w:sz w:val="24"/>
          <w:highlight w:val="none"/>
          <w:u w:val="single"/>
        </w:rPr>
        <w:t xml:space="preserve">         </w:t>
      </w:r>
      <w:r>
        <w:rPr>
          <w:rFonts w:hint="eastAsia" w:ascii="宋体" w:hAnsi="宋体"/>
          <w:color w:val="auto"/>
          <w:sz w:val="24"/>
          <w:highlight w:val="none"/>
        </w:rPr>
        <w:t>元（大</w:t>
      </w:r>
      <w:r>
        <w:rPr>
          <w:rFonts w:hint="eastAsia" w:ascii="宋体" w:hAnsi="宋体" w:cs="宋体"/>
          <w:color w:val="auto"/>
          <w:sz w:val="24"/>
          <w:highlight w:val="none"/>
        </w:rPr>
        <w:t>写人民币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整）。</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3.3该项目设备保修期为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，保修期满后双方无异议，在</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个工作日内，甲方向乙方支付合同总价的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%(百分之</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)，即人民币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元（大写人民币</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整）。</w:t>
      </w:r>
    </w:p>
    <w:p>
      <w:pPr>
        <w:spacing w:line="460" w:lineRule="exact"/>
        <w:ind w:firstLine="422" w:firstLineChars="200"/>
        <w:rPr>
          <w:rFonts w:ascii="宋体" w:hAnsi="宋体" w:cs="宋体"/>
          <w:iCs/>
          <w:color w:val="auto"/>
          <w:sz w:val="24"/>
          <w:highlight w:val="none"/>
        </w:rPr>
      </w:pPr>
      <w:r>
        <w:rPr>
          <w:rFonts w:hint="eastAsia" w:ascii="宋体" w:hAnsi="宋体" w:cs="宋体"/>
          <w:b/>
          <w:color w:val="auto"/>
          <w:highlight w:val="none"/>
        </w:rPr>
        <w:t xml:space="preserve">4. </w:t>
      </w:r>
      <w:r>
        <w:rPr>
          <w:rFonts w:hint="eastAsia" w:ascii="宋体" w:hAnsi="宋体" w:cs="宋体"/>
          <w:b/>
          <w:color w:val="auto"/>
          <w:sz w:val="24"/>
          <w:highlight w:val="none"/>
        </w:rPr>
        <w:t>交货、运输</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4.1交货日期：本合同“设备”的制造、运输由乙方负责，上述工作须在合同生效后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天完成。</w:t>
      </w:r>
    </w:p>
    <w:p>
      <w:pPr>
        <w:spacing w:line="4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4.2交货地点：</w:t>
      </w:r>
      <w:r>
        <w:rPr>
          <w:rFonts w:hint="eastAsia" w:ascii="宋体" w:hAnsi="宋体" w:cs="宋体"/>
          <w:color w:val="auto"/>
          <w:sz w:val="24"/>
          <w:highlight w:val="none"/>
          <w:u w:val="single"/>
        </w:rPr>
        <w:t xml:space="preserve">                 </w:t>
      </w:r>
    </w:p>
    <w:p>
      <w:pPr>
        <w:spacing w:line="4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4.3乙方根据装卸及搬运不同货物特点及不同要求，每一包装上应标明惯用的标志及图示，显著标明“小心轻放”、“此端向上”、“防潮”等字样或图案。每箱货应当有一份详细的装箱单，装箱单中同时标明净重和毛重。乙方应对不充分或不适当包装造成的货物损坏或灭失承担责任。对于箱内和捆内的散装部件，乙方均应系加标签并注明部件名称以及该部件在装配图上的位号和零件号。对于备件和工具，除注明上述内容外，尚需注明“备件”或“工具”字样。</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4.4</w:t>
      </w:r>
      <w:r>
        <w:rPr>
          <w:rFonts w:hint="eastAsia" w:ascii="宋体" w:hAnsi="宋体" w:cs="宋体"/>
          <w:color w:val="auto"/>
          <w:kern w:val="0"/>
          <w:sz w:val="24"/>
          <w:highlight w:val="none"/>
        </w:rPr>
        <w:t xml:space="preserve"> 乙方应在不迟于每批货物备妥待运前_____日通知甲方如下内容：</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4.4.1 合同号；</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4.4.2 货物备妥待运日；</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4.4.3 货物总体积；</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4.4.4 货物总毛重/总包数；</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4.4.5 发运站名称；</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4.4.6 发运货物的详细清单，包括合同号、分项号、合同设备的名称、规格、型号、数量、单价/总价、单位重量、单件体积/总体积，每件货物的外包装尺寸（长×宽×高）、总件数和发运站；</w:t>
      </w:r>
    </w:p>
    <w:p>
      <w:pPr>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4.4.7 有关合同设备在储存和运输中特殊注意事项的说明。</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4.5</w:t>
      </w:r>
      <w:r>
        <w:rPr>
          <w:rFonts w:hint="eastAsia" w:ascii="宋体" w:hAnsi="宋体" w:cs="宋体"/>
          <w:color w:val="auto"/>
          <w:kern w:val="0"/>
          <w:sz w:val="24"/>
          <w:highlight w:val="none"/>
        </w:rPr>
        <w:t xml:space="preserve">   在每批货物的交货清单中都应附有下列单据：</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4.5.1 装箱明细单副本一式两份；</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4.5.2 质量合格证副本一式两份；</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4.5.3 相关设备的技术资料一份；</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4.5.4 需要组装的部件及机器的系统装配图一式两份</w:t>
      </w:r>
    </w:p>
    <w:p>
      <w:pPr>
        <w:autoSpaceDE w:val="0"/>
        <w:autoSpaceDN w:val="0"/>
        <w:adjustRightInd w:val="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4.6 </w:t>
      </w:r>
      <w:r>
        <w:rPr>
          <w:rFonts w:hint="eastAsia" w:ascii="宋体" w:hAnsi="宋体" w:cs="宋体"/>
          <w:color w:val="auto"/>
          <w:kern w:val="0"/>
          <w:sz w:val="24"/>
          <w:highlight w:val="none"/>
        </w:rPr>
        <w:t>凡由于对货物包装不当或采取防护措施不充分致使货物损坏或丢失时，乙方均应按合同的规定负责修理、更换或赔偿。如果因乙方在包装和唛头标记方面发生的错误造成货物的误运，乙方应承担由此发生的额外费用。</w:t>
      </w:r>
    </w:p>
    <w:p>
      <w:pPr>
        <w:spacing w:line="4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5.验收</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5.1甲方按照本合同约定的产品质量、规格、材料、数量及国家、行业的相关标准对乙方提供的设备进行验收。乙方应将所有资料、备件备品备齐，并保证</w:t>
      </w:r>
      <w:r>
        <w:rPr>
          <w:rFonts w:hint="eastAsia" w:ascii="宋体" w:hAnsi="宋体" w:cs="宋体"/>
          <w:bCs/>
          <w:color w:val="auto"/>
          <w:sz w:val="24"/>
          <w:highlight w:val="none"/>
        </w:rPr>
        <w:t>设备性能和技术参数达到合同要求。</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5.2乙方保证上述所有验收项目一次性通过验收。反之，每增加一次验收程序，乙方向甲方支付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元的违约金，如果经过</w:t>
      </w:r>
      <w:r>
        <w:rPr>
          <w:rFonts w:hint="eastAsia" w:ascii="宋体" w:hAnsi="宋体" w:cs="宋体"/>
          <w:color w:val="auto"/>
          <w:sz w:val="24"/>
          <w:highlight w:val="none"/>
          <w:u w:val="single"/>
        </w:rPr>
        <w:t>3</w:t>
      </w:r>
      <w:r>
        <w:rPr>
          <w:rFonts w:hint="eastAsia" w:ascii="宋体" w:hAnsi="宋体" w:cs="宋体"/>
          <w:color w:val="auto"/>
          <w:sz w:val="24"/>
          <w:highlight w:val="none"/>
        </w:rPr>
        <w:t>次验收程序，合同设备仍不能通过验收，甲方有权拒绝接收设备并解除合同，乙方应在解除合同之日起</w:t>
      </w:r>
      <w:r>
        <w:rPr>
          <w:rFonts w:hint="eastAsia" w:ascii="宋体" w:hAnsi="宋体" w:cs="宋体"/>
          <w:color w:val="auto"/>
          <w:sz w:val="24"/>
          <w:highlight w:val="none"/>
          <w:u w:val="single"/>
        </w:rPr>
        <w:t>3</w:t>
      </w:r>
      <w:r>
        <w:rPr>
          <w:rFonts w:hint="eastAsia" w:ascii="宋体" w:hAnsi="宋体" w:cs="宋体"/>
          <w:color w:val="auto"/>
          <w:sz w:val="24"/>
          <w:highlight w:val="none"/>
        </w:rPr>
        <w:t>日内，返还甲方已付货款，并承担甲方由此造成的损失。</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5.3 双方以样品验收的，乙方应提前</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日将甲方订购的设备样品封存，并将样品交甲方保管。</w:t>
      </w:r>
    </w:p>
    <w:p>
      <w:pPr>
        <w:spacing w:line="4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5.4由乙方设备验收不合格所产生的费用由乙方承担，且交货期不顺延。</w:t>
      </w:r>
    </w:p>
    <w:p>
      <w:pPr>
        <w:spacing w:line="460" w:lineRule="exact"/>
        <w:ind w:left="479" w:leftChars="228"/>
        <w:jc w:val="left"/>
        <w:rPr>
          <w:rFonts w:ascii="宋体" w:hAnsi="宋体" w:cs="宋体"/>
          <w:b/>
          <w:bCs/>
          <w:color w:val="auto"/>
          <w:sz w:val="24"/>
          <w:highlight w:val="none"/>
        </w:rPr>
      </w:pPr>
      <w:r>
        <w:rPr>
          <w:rFonts w:hint="eastAsia" w:ascii="宋体" w:hAnsi="宋体" w:cs="宋体"/>
          <w:b/>
          <w:bCs/>
          <w:color w:val="auto"/>
          <w:sz w:val="24"/>
          <w:highlight w:val="none"/>
        </w:rPr>
        <w:t>6.所有权和风险的转移</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在验收合格后，设备交付给甲方时，该设备硬件的所有权、风险从乙方转移到甲方，甲方获得该设备的所有权。</w:t>
      </w:r>
    </w:p>
    <w:p>
      <w:pPr>
        <w:spacing w:line="46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7.设备保证、保修及售后服务</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7.1设备保证</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7.1.1 乙方对其出售的产品享有完整的所有权，保证不被第三人追索和占有。若因乙方权利瑕疵所产生的一切后果及给甲方造成的损失，由乙方承担。乙方须自付费用为甲方取得继续使用该产品的权利。    </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7.1.2 乙方保证其供应的本合同的“设备”的技术水平达到国家同类设备的技术指标，提供的所有设备及元器件是全新的并按最佳方案设计和制造。设备和材料的选型均符合工艺、安全运行操作以及长期使用的要求，并符合本合同附件的规定的各项运行指标及国家、行业有关的技术标准。     </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7.1.3 设备在验收和保修期内运行性能和质量达不到设备技术规范要求，乙方无条件满足甲方要求。更换设备的一切费用由乙方负责，且交货期不顺延。</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7.1.4 乙方对本合同“设备”的保修期为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月，自“设备”验收合格之日起计算。</w:t>
      </w:r>
    </w:p>
    <w:p>
      <w:pPr>
        <w:spacing w:line="460" w:lineRule="exact"/>
        <w:ind w:firstLine="480" w:firstLineChars="200"/>
        <w:rPr>
          <w:rFonts w:ascii="宋体" w:hAnsi="宋体"/>
          <w:color w:val="auto"/>
          <w:sz w:val="24"/>
          <w:highlight w:val="none"/>
        </w:rPr>
      </w:pPr>
      <w:r>
        <w:rPr>
          <w:rFonts w:hint="eastAsia" w:ascii="宋体" w:hAnsi="宋体" w:cs="宋体"/>
          <w:color w:val="auto"/>
          <w:sz w:val="24"/>
          <w:highlight w:val="none"/>
        </w:rPr>
        <w:t>7.1.5  在设备保修期内如设备出现故障、乙方应立即对甲方的故障器件进行修理、更换，并应自收到甲方报修通知的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天内完成更换、修理及返件工作。新更换和补充修复部件保修期经甲方验收后重新开始计算。若由于乙方的迟延造成甲方不能正常工作或致使返修的故障设备超过保修期，则由此产</w:t>
      </w:r>
      <w:r>
        <w:rPr>
          <w:rFonts w:hint="eastAsia" w:ascii="宋体" w:hAnsi="宋体"/>
          <w:color w:val="auto"/>
          <w:sz w:val="24"/>
          <w:highlight w:val="none"/>
        </w:rPr>
        <w:t>生的修理费用及甲方损失由乙方负责。</w:t>
      </w:r>
    </w:p>
    <w:p>
      <w:pPr>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7.1.6 本合同“设备”使用期间内，乙方应向甲方持续提供维护支持、技术支持和备件支持。乙方向甲方提供的备件价格不得高于当时同种型号的市场价格。</w:t>
      </w:r>
    </w:p>
    <w:p>
      <w:pPr>
        <w:spacing w:line="460" w:lineRule="exact"/>
        <w:ind w:firstLine="482" w:firstLineChars="200"/>
        <w:rPr>
          <w:rFonts w:ascii="宋体" w:hAnsi="宋体" w:cs="宋体"/>
          <w:color w:val="auto"/>
          <w:sz w:val="24"/>
          <w:highlight w:val="none"/>
        </w:rPr>
      </w:pPr>
      <w:r>
        <w:rPr>
          <w:rFonts w:hint="eastAsia" w:ascii="宋体" w:hAnsi="宋体" w:cs="宋体"/>
          <w:b/>
          <w:color w:val="auto"/>
          <w:sz w:val="24"/>
          <w:highlight w:val="none"/>
        </w:rPr>
        <w:t>8.</w:t>
      </w:r>
      <w:r>
        <w:rPr>
          <w:rFonts w:hint="eastAsia" w:ascii="宋体" w:hAnsi="宋体" w:cs="宋体"/>
          <w:color w:val="auto"/>
          <w:sz w:val="24"/>
          <w:szCs w:val="32"/>
          <w:highlight w:val="none"/>
        </w:rPr>
        <w:t>索赔</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8.1</w:t>
      </w:r>
      <w:r>
        <w:rPr>
          <w:rFonts w:hint="eastAsia" w:ascii="宋体" w:hAnsi="宋体" w:cs="宋体"/>
          <w:color w:val="auto"/>
          <w:kern w:val="0"/>
          <w:sz w:val="24"/>
          <w:highlight w:val="none"/>
        </w:rPr>
        <w:t>如果设备在制造、验收和保证期内乙方未能履行其在本合同项下所承担的义务，甲方有权寻求本条款规定的任意或全部救济方式。</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8.2在本合同“设备”使用期内，如发现乙方提供的“设备”有缺陷或不符合合同规定时，甲方有权凭有关管理部门的检验证书或验收文件向乙方提出索赔。乙方应立即无偿换货或退货，并负担由此产生的费用和损失。乙方对整体设备及配件的更换期限或退款期限不迟于收到甲方通知后</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日。</w:t>
      </w:r>
      <w:r>
        <w:rPr>
          <w:rFonts w:hint="eastAsia" w:ascii="宋体" w:hAnsi="宋体" w:cs="宋体"/>
          <w:color w:val="auto"/>
          <w:sz w:val="24"/>
          <w:highlight w:val="none"/>
        </w:rPr>
        <w:t>如乙方</w:t>
      </w:r>
      <w:r>
        <w:rPr>
          <w:rFonts w:hint="eastAsia" w:ascii="宋体" w:hAnsi="宋体" w:cs="宋体"/>
          <w:color w:val="auto"/>
          <w:kern w:val="0"/>
          <w:sz w:val="24"/>
          <w:highlight w:val="none"/>
        </w:rPr>
        <w:t>不能按期派遣人员到工作现场，甲方有权自行消除缺陷或不符合合同之处，由此产生的一切费用均由乙方承担。</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sz w:val="24"/>
          <w:szCs w:val="32"/>
          <w:highlight w:val="none"/>
        </w:rPr>
        <w:t xml:space="preserve">8.3 </w:t>
      </w:r>
      <w:r>
        <w:rPr>
          <w:rFonts w:hint="eastAsia" w:ascii="宋体" w:hAnsi="宋体" w:cs="宋体"/>
          <w:color w:val="auto"/>
          <w:kern w:val="0"/>
          <w:sz w:val="24"/>
          <w:highlight w:val="none"/>
        </w:rPr>
        <w:t>由乙方自付费用以新设备替换有缺陷的合同设备，同时乙方应在重新起算的保证期内对替换后的设备作出质量保证。乙方应自负风险和费用将替换后的设备或补供的设备运抵工作现场。</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8.4 乙方按质量低劣的程度、甲方受损害的程度及损失的数额对合同设备进行降价。</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8.5 乙方赔偿由乙方违约引起的甲方所受损失。</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8.6 乙方应在收到甲方索赔要求后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日内作出回复。乙方应在甲方发出索赔通知后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日内，按照甲方同意的方法解决索赔事宜。</w:t>
      </w:r>
    </w:p>
    <w:p>
      <w:pPr>
        <w:autoSpaceDE w:val="0"/>
        <w:autoSpaceDN w:val="0"/>
        <w:adjustRightInd w:val="0"/>
        <w:spacing w:line="460" w:lineRule="exact"/>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8.7 如果乙方在收到甲方索赔要求后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日内未能作出回复，该索赔要求将被视为已被乙方接受。如乙方未能在甲方发出索赔通知后</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日内或甲方同意的延长期限内，按照甲方同意的上述规定的方法解决索赔事宜，甲方有权从乙方开具的履约保证金及设备保修金中扣回或要求乙方支付索赔金额。</w:t>
      </w:r>
      <w:bookmarkStart w:id="205" w:name="_Toc181673968"/>
    </w:p>
    <w:p>
      <w:pPr>
        <w:spacing w:line="46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9</w:t>
      </w:r>
      <w:bookmarkStart w:id="206" w:name="_Toc47151588"/>
      <w:r>
        <w:rPr>
          <w:rFonts w:hint="eastAsia" w:ascii="宋体" w:hAnsi="宋体" w:cs="宋体"/>
          <w:b/>
          <w:color w:val="auto"/>
          <w:sz w:val="24"/>
          <w:highlight w:val="none"/>
        </w:rPr>
        <w:t>.履约保证金</w:t>
      </w:r>
      <w:bookmarkEnd w:id="205"/>
      <w:bookmarkEnd w:id="206"/>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9.1 乙方应在与甲方签订合同</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日内，向乙方提交履约保证金，并要求：</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9.1.1 履约保证金金额为合同总价的百分之</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 。</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9.1.2 履约保证金采用银行保函、支票、现金方式提交。</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9.2 如果乙方在合同有效期内未能履行本合同项下乙方的义务，甲方有权从履约保证金中扣除或追索。</w:t>
      </w:r>
    </w:p>
    <w:p>
      <w:pPr>
        <w:spacing w:line="4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9.3 本合同规定的保修期期满后，履约保函失效，履约保证金甲方退还乙方。</w:t>
      </w:r>
    </w:p>
    <w:p>
      <w:pPr>
        <w:spacing w:line="460" w:lineRule="exact"/>
        <w:ind w:left="479" w:leftChars="228"/>
        <w:jc w:val="left"/>
        <w:rPr>
          <w:rFonts w:ascii="宋体" w:hAnsi="宋体" w:cs="宋体"/>
          <w:b/>
          <w:color w:val="auto"/>
          <w:sz w:val="24"/>
          <w:highlight w:val="none"/>
        </w:rPr>
      </w:pPr>
      <w:r>
        <w:rPr>
          <w:rFonts w:hint="eastAsia" w:ascii="宋体" w:hAnsi="宋体" w:cs="宋体"/>
          <w:b/>
          <w:color w:val="auto"/>
          <w:sz w:val="24"/>
          <w:highlight w:val="none"/>
        </w:rPr>
        <w:t>10.不可抗力</w:t>
      </w:r>
    </w:p>
    <w:p>
      <w:pPr>
        <w:spacing w:line="460" w:lineRule="exact"/>
        <w:ind w:firstLine="480" w:firstLineChars="200"/>
        <w:jc w:val="left"/>
        <w:rPr>
          <w:rFonts w:ascii="宋体" w:hAnsi="宋体" w:cs="宋体"/>
          <w:color w:val="auto"/>
          <w:sz w:val="24"/>
          <w:szCs w:val="32"/>
          <w:highlight w:val="none"/>
        </w:rPr>
      </w:pPr>
      <w:r>
        <w:rPr>
          <w:rFonts w:hint="eastAsia" w:ascii="宋体" w:hAnsi="宋体" w:cs="宋体"/>
          <w:color w:val="auto"/>
          <w:sz w:val="24"/>
          <w:szCs w:val="32"/>
          <w:highlight w:val="none"/>
        </w:rPr>
        <w:t>如部分或者全部因下列人力不可控制的原因而致使合同义务没有或延迟履行,合同各方均不承担任何违约责任，包括且限于：战争、叛乱暴动、地震、洪水。在上述情况下，受不</w:t>
      </w:r>
      <w:r>
        <w:rPr>
          <w:rFonts w:hint="eastAsia"/>
          <w:color w:val="auto"/>
          <w:sz w:val="24"/>
          <w:szCs w:val="32"/>
          <w:highlight w:val="none"/>
        </w:rPr>
        <w:t>可抗力影响的一方应当及时将不可抗力的情况以书面方式通知本合同的另一</w:t>
      </w:r>
      <w:r>
        <w:rPr>
          <w:rFonts w:hint="eastAsia" w:ascii="宋体" w:hAnsi="宋体" w:cs="宋体"/>
          <w:color w:val="auto"/>
          <w:sz w:val="24"/>
          <w:szCs w:val="32"/>
          <w:highlight w:val="none"/>
        </w:rPr>
        <w:t>方，并将预计的或者实际延迟期限以及有关细节通知另一方。如果不可抗力导致的延迟期限达到了</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天，而且合同双方未能就本合同的进一步执行和修改达成合同的话，任何一方在向另一方提前</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天发出书面通知之后，可以解除本合同。</w:t>
      </w:r>
    </w:p>
    <w:p>
      <w:pPr>
        <w:spacing w:line="460" w:lineRule="exact"/>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11.违约责任</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sz w:val="24"/>
          <w:szCs w:val="32"/>
          <w:highlight w:val="none"/>
        </w:rPr>
        <w:t xml:space="preserve">11.1 </w:t>
      </w:r>
      <w:r>
        <w:rPr>
          <w:rFonts w:hint="eastAsia" w:ascii="宋体" w:hAnsi="宋体" w:cs="宋体"/>
          <w:color w:val="auto"/>
          <w:kern w:val="0"/>
          <w:sz w:val="24"/>
          <w:highlight w:val="none"/>
        </w:rPr>
        <w:t>如果乙方有下述违约行为，在不妨碍甲方其它救济手段的情况下，甲方可以向乙方发出书面违约通知，全部或部分地终止合同，并要求乙方</w:t>
      </w:r>
      <w:r>
        <w:rPr>
          <w:rFonts w:hint="eastAsia" w:ascii="宋体" w:hAnsi="宋体" w:cs="宋体"/>
          <w:color w:val="auto"/>
          <w:sz w:val="24"/>
          <w:highlight w:val="none"/>
        </w:rPr>
        <w:t>承担合同总金额的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的违约金</w:t>
      </w:r>
      <w:r>
        <w:rPr>
          <w:rFonts w:hint="eastAsia" w:ascii="宋体" w:hAnsi="宋体" w:cs="宋体"/>
          <w:color w:val="auto"/>
          <w:kern w:val="0"/>
          <w:sz w:val="24"/>
          <w:highlight w:val="none"/>
        </w:rPr>
        <w:t>。</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11.1.1 乙方在合同规定的交货期后____日内仍未能交付合同设备； </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11.1.2 乙方未能使设备达到规定的最低技术性能和保证指标；</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11.1.3 乙方未能履行合同项下任何其它义务，并且在收到甲方违约通知后____日内仍未能对其违约行为作出补救。</w:t>
      </w:r>
    </w:p>
    <w:p>
      <w:pPr>
        <w:spacing w:line="46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 xml:space="preserve">11.2  </w:t>
      </w:r>
      <w:r>
        <w:rPr>
          <w:rFonts w:hint="eastAsia" w:ascii="宋体" w:hAnsi="宋体" w:cs="宋体"/>
          <w:color w:val="auto"/>
          <w:sz w:val="24"/>
          <w:highlight w:val="none"/>
        </w:rPr>
        <w:t>由于乙方原因未能按期向甲方交付验收合格的“设备”时，每逾1天，乙方向甲方支付合同金额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的违约金。</w:t>
      </w:r>
      <w:r>
        <w:rPr>
          <w:rFonts w:hint="eastAsia" w:ascii="宋体" w:hAnsi="宋体" w:cs="宋体"/>
          <w:color w:val="auto"/>
          <w:kern w:val="0"/>
          <w:sz w:val="24"/>
          <w:highlight w:val="none"/>
        </w:rPr>
        <w:t>如果逾期</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天，乙方仍不能交付设备的，甲方有权解除合同，并要求乙方承担相应的违约责任</w:t>
      </w:r>
      <w:r>
        <w:rPr>
          <w:rFonts w:hint="eastAsia" w:ascii="宋体" w:hAnsi="宋体" w:cs="宋体"/>
          <w:color w:val="auto"/>
          <w:sz w:val="24"/>
          <w:highlight w:val="none"/>
        </w:rPr>
        <w:t>。</w:t>
      </w:r>
    </w:p>
    <w:p>
      <w:pPr>
        <w:autoSpaceDE w:val="0"/>
        <w:autoSpaceDN w:val="0"/>
        <w:adjustRightIn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11.3  在甲方全部或部分终止合同的情况下，甲方可以以适当的条件取得与未按合同规定交付的设备和/或服务，乙方应承担甲方由此发生的额外费用。</w:t>
      </w:r>
    </w:p>
    <w:p>
      <w:pPr>
        <w:spacing w:line="460" w:lineRule="exact"/>
        <w:ind w:firstLine="480" w:firstLineChars="200"/>
        <w:rPr>
          <w:rFonts w:ascii="宋体" w:hAnsi="宋体" w:cs="宋体"/>
          <w:color w:val="auto"/>
          <w:sz w:val="24"/>
          <w:highlight w:val="none"/>
        </w:rPr>
      </w:pPr>
      <w:r>
        <w:rPr>
          <w:rFonts w:hint="eastAsia" w:ascii="宋体" w:hAnsi="宋体" w:cs="宋体"/>
          <w:color w:val="auto"/>
          <w:kern w:val="0"/>
          <w:sz w:val="24"/>
          <w:highlight w:val="none"/>
        </w:rPr>
        <w:t>11.4</w:t>
      </w:r>
      <w:r>
        <w:rPr>
          <w:rFonts w:hint="eastAsia" w:ascii="宋体" w:hAnsi="宋体" w:cs="宋体"/>
          <w:color w:val="auto"/>
          <w:sz w:val="24"/>
          <w:highlight w:val="none"/>
        </w:rPr>
        <w:t>合同签订后，双方均不得无故更改或终止合同。若因一方原因而导致合同无法继续履行，违约方应赔偿因此而给守约方带来的损失，并承担合同金额的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的违约金。</w:t>
      </w:r>
    </w:p>
    <w:p>
      <w:pPr>
        <w:spacing w:line="460" w:lineRule="exact"/>
        <w:ind w:firstLine="482" w:firstLineChars="200"/>
        <w:rPr>
          <w:rFonts w:ascii="宋体" w:hAnsi="宋体" w:cs="宋体"/>
          <w:color w:val="auto"/>
          <w:sz w:val="24"/>
          <w:szCs w:val="32"/>
          <w:highlight w:val="none"/>
        </w:rPr>
      </w:pPr>
      <w:r>
        <w:rPr>
          <w:rFonts w:hint="eastAsia" w:ascii="宋体" w:hAnsi="宋体" w:cs="宋体"/>
          <w:b/>
          <w:color w:val="auto"/>
          <w:sz w:val="24"/>
          <w:szCs w:val="32"/>
          <w:highlight w:val="none"/>
        </w:rPr>
        <w:t>12.</w:t>
      </w:r>
      <w:r>
        <w:rPr>
          <w:rFonts w:hint="eastAsia" w:ascii="宋体" w:hAnsi="宋体" w:cs="宋体"/>
          <w:color w:val="auto"/>
          <w:sz w:val="24"/>
          <w:szCs w:val="32"/>
          <w:highlight w:val="none"/>
        </w:rPr>
        <w:t>公开</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任何一方，如果没有得到另一方的书面同意，不得对外公布任何与本合同有关的消息。</w:t>
      </w:r>
    </w:p>
    <w:p>
      <w:pPr>
        <w:spacing w:line="460" w:lineRule="exact"/>
        <w:ind w:firstLine="482" w:firstLineChars="200"/>
        <w:rPr>
          <w:rFonts w:ascii="宋体" w:hAnsi="宋体" w:cs="宋体"/>
          <w:color w:val="auto"/>
          <w:sz w:val="24"/>
          <w:szCs w:val="32"/>
          <w:highlight w:val="none"/>
        </w:rPr>
      </w:pPr>
      <w:r>
        <w:rPr>
          <w:rFonts w:hint="eastAsia" w:ascii="宋体" w:hAnsi="宋体" w:cs="宋体"/>
          <w:b/>
          <w:color w:val="auto"/>
          <w:sz w:val="24"/>
          <w:szCs w:val="32"/>
          <w:highlight w:val="none"/>
        </w:rPr>
        <w:t>13.</w:t>
      </w:r>
      <w:r>
        <w:rPr>
          <w:rFonts w:hint="eastAsia" w:ascii="宋体" w:hAnsi="宋体" w:cs="宋体"/>
          <w:color w:val="auto"/>
          <w:sz w:val="24"/>
          <w:szCs w:val="32"/>
          <w:highlight w:val="none"/>
        </w:rPr>
        <w:t>适用法律</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本合同的解释和执行适用中华人民共和国法律。</w:t>
      </w:r>
    </w:p>
    <w:p>
      <w:pPr>
        <w:spacing w:line="460" w:lineRule="exact"/>
        <w:ind w:firstLine="482" w:firstLineChars="200"/>
        <w:rPr>
          <w:rFonts w:ascii="宋体" w:hAnsi="宋体" w:cs="宋体"/>
          <w:color w:val="auto"/>
          <w:sz w:val="24"/>
          <w:szCs w:val="32"/>
          <w:highlight w:val="none"/>
        </w:rPr>
      </w:pPr>
      <w:r>
        <w:rPr>
          <w:rFonts w:hint="eastAsia" w:ascii="宋体" w:hAnsi="宋体" w:cs="宋体"/>
          <w:b/>
          <w:color w:val="auto"/>
          <w:sz w:val="24"/>
          <w:szCs w:val="32"/>
          <w:highlight w:val="none"/>
        </w:rPr>
        <w:t>14.</w:t>
      </w:r>
      <w:r>
        <w:rPr>
          <w:rFonts w:hint="eastAsia" w:ascii="宋体" w:hAnsi="宋体" w:cs="宋体"/>
          <w:color w:val="auto"/>
          <w:sz w:val="24"/>
          <w:szCs w:val="32"/>
          <w:highlight w:val="none"/>
        </w:rPr>
        <w:t>转让</w:t>
      </w:r>
    </w:p>
    <w:p>
      <w:pPr>
        <w:spacing w:line="460" w:lineRule="exact"/>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除非合同双方另有约定，任何一方都不得将本合同以及本合同项下的任何权利义务，直接或者间接地转让给任何第三方。</w:t>
      </w:r>
    </w:p>
    <w:p>
      <w:pPr>
        <w:spacing w:line="460" w:lineRule="exact"/>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15.其他约定事项</w:t>
      </w:r>
    </w:p>
    <w:p>
      <w:pPr>
        <w:spacing w:line="460" w:lineRule="exact"/>
        <w:ind w:firstLine="480" w:firstLineChars="200"/>
        <w:rPr>
          <w:rFonts w:ascii="宋体" w:hAnsi="宋体"/>
          <w:color w:val="auto"/>
          <w:sz w:val="24"/>
          <w:szCs w:val="32"/>
          <w:highlight w:val="none"/>
        </w:rPr>
      </w:pPr>
      <w:r>
        <w:rPr>
          <w:rFonts w:hint="eastAsia" w:ascii="宋体" w:hAnsi="宋体"/>
          <w:color w:val="auto"/>
          <w:sz w:val="24"/>
          <w:szCs w:val="32"/>
          <w:highlight w:val="none"/>
        </w:rPr>
        <w:t>15.1本合同在履行过程中如发生纠纷，双方应协商解决，协商不成，均可向人民法院起诉。</w:t>
      </w:r>
    </w:p>
    <w:p>
      <w:pPr>
        <w:spacing w:line="460" w:lineRule="exact"/>
        <w:ind w:firstLine="480" w:firstLineChars="200"/>
        <w:rPr>
          <w:rFonts w:ascii="宋体" w:hAnsi="宋体"/>
          <w:color w:val="auto"/>
          <w:sz w:val="24"/>
          <w:szCs w:val="32"/>
          <w:highlight w:val="none"/>
        </w:rPr>
      </w:pPr>
      <w:r>
        <w:rPr>
          <w:rFonts w:hint="eastAsia" w:ascii="宋体" w:hAnsi="宋体"/>
          <w:color w:val="auto"/>
          <w:sz w:val="24"/>
          <w:szCs w:val="32"/>
          <w:highlight w:val="none"/>
        </w:rPr>
        <w:t>15.2本合同双方签字盖章后正式生效。</w:t>
      </w:r>
    </w:p>
    <w:p>
      <w:pPr>
        <w:spacing w:line="460" w:lineRule="exact"/>
        <w:ind w:firstLine="480" w:firstLineChars="200"/>
        <w:rPr>
          <w:rFonts w:ascii="宋体" w:hAnsi="宋体"/>
          <w:color w:val="auto"/>
          <w:sz w:val="24"/>
          <w:szCs w:val="32"/>
          <w:highlight w:val="none"/>
        </w:rPr>
      </w:pPr>
      <w:r>
        <w:rPr>
          <w:rFonts w:hint="eastAsia" w:ascii="宋体" w:hAnsi="宋体"/>
          <w:color w:val="auto"/>
          <w:sz w:val="24"/>
          <w:szCs w:val="32"/>
          <w:highlight w:val="none"/>
        </w:rPr>
        <w:t>15.3本合同一式</w:t>
      </w:r>
      <w:r>
        <w:rPr>
          <w:rFonts w:hint="eastAsia" w:ascii="宋体" w:hAnsi="宋体"/>
          <w:color w:val="auto"/>
          <w:sz w:val="24"/>
          <w:szCs w:val="32"/>
          <w:highlight w:val="none"/>
          <w:u w:val="single"/>
        </w:rPr>
        <w:t xml:space="preserve">    </w:t>
      </w:r>
      <w:r>
        <w:rPr>
          <w:rFonts w:hint="eastAsia" w:ascii="宋体" w:hAnsi="宋体"/>
          <w:color w:val="auto"/>
          <w:sz w:val="24"/>
          <w:szCs w:val="32"/>
          <w:highlight w:val="none"/>
        </w:rPr>
        <w:t>份，甲方执</w:t>
      </w:r>
      <w:r>
        <w:rPr>
          <w:rFonts w:hint="eastAsia" w:ascii="宋体" w:hAnsi="宋体"/>
          <w:color w:val="auto"/>
          <w:sz w:val="24"/>
          <w:szCs w:val="32"/>
          <w:highlight w:val="none"/>
          <w:u w:val="single"/>
        </w:rPr>
        <w:t xml:space="preserve">    </w:t>
      </w:r>
      <w:r>
        <w:rPr>
          <w:rFonts w:hint="eastAsia" w:ascii="宋体" w:hAnsi="宋体"/>
          <w:color w:val="auto"/>
          <w:sz w:val="24"/>
          <w:szCs w:val="32"/>
          <w:highlight w:val="none"/>
        </w:rPr>
        <w:t>份，乙方执</w:t>
      </w:r>
      <w:r>
        <w:rPr>
          <w:rFonts w:hint="eastAsia" w:ascii="宋体" w:hAnsi="宋体"/>
          <w:color w:val="auto"/>
          <w:sz w:val="24"/>
          <w:szCs w:val="32"/>
          <w:highlight w:val="none"/>
          <w:u w:val="single"/>
        </w:rPr>
        <w:t xml:space="preserve">     </w:t>
      </w:r>
      <w:r>
        <w:rPr>
          <w:rFonts w:hint="eastAsia" w:ascii="宋体" w:hAnsi="宋体"/>
          <w:color w:val="auto"/>
          <w:sz w:val="24"/>
          <w:szCs w:val="32"/>
          <w:highlight w:val="none"/>
        </w:rPr>
        <w:t>份，均具有同等法律效力。</w:t>
      </w:r>
    </w:p>
    <w:p>
      <w:pPr>
        <w:spacing w:line="460" w:lineRule="exact"/>
        <w:ind w:firstLine="480" w:firstLineChars="200"/>
        <w:rPr>
          <w:rFonts w:ascii="宋体" w:hAnsi="宋体"/>
          <w:color w:val="auto"/>
          <w:sz w:val="24"/>
          <w:szCs w:val="32"/>
          <w:highlight w:val="none"/>
        </w:rPr>
      </w:pPr>
      <w:r>
        <w:rPr>
          <w:rFonts w:hint="eastAsia" w:ascii="宋体" w:hAnsi="宋体"/>
          <w:color w:val="auto"/>
          <w:sz w:val="24"/>
          <w:szCs w:val="32"/>
          <w:highlight w:val="none"/>
        </w:rPr>
        <w:t>15.4本合同未尽事宜，双方协商解决或另立合同，但不得与本合同抵触。</w:t>
      </w:r>
    </w:p>
    <w:p>
      <w:pPr>
        <w:spacing w:line="460" w:lineRule="exact"/>
        <w:ind w:firstLine="480" w:firstLineChars="200"/>
        <w:rPr>
          <w:color w:val="auto"/>
          <w:sz w:val="24"/>
          <w:szCs w:val="32"/>
          <w:highlight w:val="none"/>
        </w:rPr>
      </w:pPr>
      <w:r>
        <w:rPr>
          <w:rFonts w:hint="eastAsia" w:ascii="宋体" w:hAnsi="宋体"/>
          <w:color w:val="auto"/>
          <w:sz w:val="24"/>
          <w:szCs w:val="32"/>
          <w:highlight w:val="none"/>
        </w:rPr>
        <w:t>15.5本合同履行完后自动终止。</w:t>
      </w:r>
    </w:p>
    <w:p>
      <w:pPr>
        <w:spacing w:line="460" w:lineRule="exact"/>
        <w:rPr>
          <w:rFonts w:eastAsia="'宋体"/>
          <w:color w:val="auto"/>
          <w:sz w:val="24"/>
          <w:highlight w:val="none"/>
        </w:rPr>
      </w:pPr>
    </w:p>
    <w:p>
      <w:pPr>
        <w:pStyle w:val="2"/>
        <w:rPr>
          <w:color w:val="auto"/>
          <w:highlight w:val="none"/>
        </w:rPr>
      </w:pPr>
    </w:p>
    <w:p>
      <w:pPr>
        <w:spacing w:line="460" w:lineRule="exact"/>
        <w:rPr>
          <w:rFonts w:eastAsia="'宋体"/>
          <w:color w:val="auto"/>
          <w:sz w:val="24"/>
          <w:highlight w:val="none"/>
        </w:rPr>
      </w:pPr>
      <w:r>
        <w:rPr>
          <w:rFonts w:hint="eastAsia" w:eastAsia="'宋体"/>
          <w:color w:val="auto"/>
          <w:sz w:val="24"/>
          <w:highlight w:val="none"/>
        </w:rPr>
        <w:t>合同各方授权代表签字如下：</w:t>
      </w:r>
    </w:p>
    <w:p>
      <w:pPr>
        <w:spacing w:line="460" w:lineRule="exact"/>
        <w:ind w:left="279" w:leftChars="133"/>
        <w:rPr>
          <w:color w:val="auto"/>
          <w:sz w:val="24"/>
          <w:highlight w:val="none"/>
        </w:rPr>
      </w:pPr>
      <w:r>
        <w:rPr>
          <w:rFonts w:hint="eastAsia"/>
          <w:color w:val="auto"/>
          <w:sz w:val="24"/>
          <w:highlight w:val="none"/>
        </w:rPr>
        <w:t>甲方：</w:t>
      </w:r>
      <w:r>
        <w:rPr>
          <w:rFonts w:hint="eastAsia" w:hAnsi="宋体"/>
          <w:color w:val="auto"/>
          <w:sz w:val="24"/>
          <w:highlight w:val="none"/>
        </w:rPr>
        <w:t xml:space="preserve">                     </w:t>
      </w:r>
      <w:r>
        <w:rPr>
          <w:rFonts w:hint="eastAsia"/>
          <w:color w:val="auto"/>
          <w:sz w:val="24"/>
          <w:highlight w:val="none"/>
        </w:rPr>
        <w:t xml:space="preserve">                乙方： </w:t>
      </w:r>
    </w:p>
    <w:p>
      <w:pPr>
        <w:spacing w:line="460" w:lineRule="exact"/>
        <w:ind w:firstLine="240" w:firstLineChars="100"/>
        <w:rPr>
          <w:color w:val="auto"/>
          <w:sz w:val="24"/>
          <w:highlight w:val="none"/>
        </w:rPr>
      </w:pPr>
      <w:r>
        <w:rPr>
          <w:rFonts w:hint="eastAsia"/>
          <w:color w:val="auto"/>
          <w:sz w:val="24"/>
          <w:highlight w:val="none"/>
        </w:rPr>
        <w:t>法定代表人签字：                           法定代表人签字：</w:t>
      </w:r>
    </w:p>
    <w:p>
      <w:pPr>
        <w:spacing w:line="460" w:lineRule="exact"/>
        <w:ind w:firstLine="240" w:firstLineChars="100"/>
        <w:rPr>
          <w:color w:val="auto"/>
          <w:sz w:val="24"/>
          <w:highlight w:val="none"/>
        </w:rPr>
      </w:pPr>
      <w:r>
        <w:rPr>
          <w:rFonts w:hint="eastAsia"/>
          <w:color w:val="auto"/>
          <w:sz w:val="24"/>
          <w:highlight w:val="none"/>
        </w:rPr>
        <w:t>地址：                                     地址：</w:t>
      </w:r>
    </w:p>
    <w:p>
      <w:pPr>
        <w:spacing w:line="460" w:lineRule="exact"/>
        <w:ind w:firstLine="240" w:firstLineChars="100"/>
        <w:rPr>
          <w:color w:val="auto"/>
          <w:sz w:val="24"/>
          <w:highlight w:val="none"/>
        </w:rPr>
      </w:pPr>
      <w:r>
        <w:rPr>
          <w:rFonts w:hint="eastAsia"/>
          <w:color w:val="auto"/>
          <w:sz w:val="24"/>
          <w:highlight w:val="none"/>
        </w:rPr>
        <w:t xml:space="preserve">电话：                                     电话： </w:t>
      </w:r>
    </w:p>
    <w:p>
      <w:pPr>
        <w:spacing w:line="460" w:lineRule="exact"/>
        <w:ind w:firstLine="240" w:firstLineChars="100"/>
        <w:rPr>
          <w:color w:val="auto"/>
          <w:sz w:val="24"/>
          <w:highlight w:val="none"/>
        </w:rPr>
      </w:pPr>
      <w:r>
        <w:rPr>
          <w:rFonts w:hint="eastAsia"/>
          <w:color w:val="auto"/>
          <w:sz w:val="24"/>
          <w:highlight w:val="none"/>
        </w:rPr>
        <w:t>开户行：                                   开户行：</w:t>
      </w:r>
    </w:p>
    <w:p>
      <w:pPr>
        <w:spacing w:line="460" w:lineRule="exact"/>
        <w:ind w:firstLine="240" w:firstLineChars="100"/>
        <w:rPr>
          <w:color w:val="auto"/>
          <w:sz w:val="24"/>
          <w:highlight w:val="none"/>
        </w:rPr>
      </w:pPr>
      <w:r>
        <w:rPr>
          <w:rFonts w:hint="eastAsia"/>
          <w:color w:val="auto"/>
          <w:sz w:val="24"/>
          <w:highlight w:val="none"/>
        </w:rPr>
        <w:t>账号：                                     账号：</w:t>
      </w:r>
    </w:p>
    <w:p>
      <w:pPr>
        <w:spacing w:line="460" w:lineRule="exact"/>
        <w:ind w:firstLine="240" w:firstLineChars="100"/>
        <w:rPr>
          <w:color w:val="auto"/>
          <w:sz w:val="24"/>
          <w:highlight w:val="none"/>
        </w:rPr>
      </w:pPr>
      <w:r>
        <w:rPr>
          <w:rFonts w:hint="eastAsia"/>
          <w:color w:val="auto"/>
          <w:sz w:val="24"/>
          <w:highlight w:val="none"/>
        </w:rPr>
        <w:t>邮政编码：                                 邮政编码：</w:t>
      </w:r>
    </w:p>
    <w:p>
      <w:pPr>
        <w:pStyle w:val="61"/>
        <w:spacing w:before="0" w:after="0" w:line="460" w:lineRule="exact"/>
        <w:ind w:left="0" w:right="24"/>
        <w:rPr>
          <w:color w:val="auto"/>
          <w:highlight w:val="none"/>
        </w:rPr>
      </w:pPr>
      <w:r>
        <w:rPr>
          <w:rFonts w:hint="eastAsia"/>
          <w:color w:val="auto"/>
          <w:highlight w:val="none"/>
        </w:rPr>
        <w:t xml:space="preserve">  </w:t>
      </w:r>
      <w:bookmarkStart w:id="207" w:name="_Toc30039"/>
      <w:bookmarkStart w:id="208" w:name="_Toc9996"/>
      <w:r>
        <w:rPr>
          <w:rFonts w:hint="eastAsia"/>
          <w:color w:val="auto"/>
          <w:highlight w:val="none"/>
        </w:rPr>
        <w:t>签订时间：                                 签订时间：</w:t>
      </w:r>
      <w:bookmarkEnd w:id="207"/>
      <w:bookmarkEnd w:id="208"/>
    </w:p>
    <w:p>
      <w:pPr>
        <w:pStyle w:val="77"/>
        <w:tabs>
          <w:tab w:val="left" w:pos="1054"/>
        </w:tabs>
        <w:spacing w:line="500" w:lineRule="exact"/>
        <w:ind w:firstLine="723"/>
        <w:rPr>
          <w:rFonts w:ascii="宋体" w:hAnsi="宋体"/>
          <w:b/>
          <w:color w:val="auto"/>
          <w:sz w:val="36"/>
          <w:szCs w:val="36"/>
          <w:highlight w:val="none"/>
        </w:rPr>
      </w:pPr>
      <w:r>
        <w:rPr>
          <w:rFonts w:hint="eastAsia" w:ascii="宋体" w:hAnsi="宋体"/>
          <w:b/>
          <w:color w:val="auto"/>
          <w:sz w:val="36"/>
          <w:szCs w:val="36"/>
          <w:highlight w:val="none"/>
        </w:rPr>
        <w:br w:type="page"/>
      </w:r>
    </w:p>
    <w:p>
      <w:pPr>
        <w:spacing w:after="156" w:afterLines="50" w:line="360" w:lineRule="auto"/>
        <w:jc w:val="center"/>
        <w:outlineLvl w:val="0"/>
        <w:rPr>
          <w:rFonts w:ascii="宋体" w:hAnsi="宋体"/>
          <w:b/>
          <w:color w:val="auto"/>
          <w:sz w:val="32"/>
          <w:szCs w:val="32"/>
          <w:highlight w:val="none"/>
        </w:rPr>
      </w:pPr>
      <w:bookmarkStart w:id="209" w:name="_Toc27901"/>
      <w:bookmarkStart w:id="210" w:name="_Toc23247"/>
      <w:bookmarkStart w:id="211" w:name="_Toc15617_WPSOffice_Level1"/>
      <w:bookmarkStart w:id="212" w:name="_Toc24657"/>
      <w:bookmarkStart w:id="213" w:name="_Toc18097"/>
      <w:bookmarkStart w:id="214" w:name="_Toc11173"/>
      <w:bookmarkStart w:id="215" w:name="_Toc608"/>
      <w:bookmarkStart w:id="216" w:name="_Toc22025"/>
      <w:bookmarkStart w:id="217" w:name="_Toc30603"/>
      <w:bookmarkStart w:id="218" w:name="_Toc17814"/>
      <w:bookmarkStart w:id="219" w:name="_Toc21168"/>
      <w:r>
        <w:rPr>
          <w:rFonts w:hint="eastAsia" w:ascii="宋体" w:hAnsi="宋体"/>
          <w:b/>
          <w:color w:val="auto"/>
          <w:sz w:val="32"/>
          <w:szCs w:val="32"/>
          <w:highlight w:val="none"/>
        </w:rPr>
        <w:t>第六章  响应文件格式</w:t>
      </w:r>
      <w:bookmarkEnd w:id="209"/>
      <w:bookmarkEnd w:id="210"/>
      <w:bookmarkEnd w:id="211"/>
      <w:bookmarkEnd w:id="212"/>
      <w:bookmarkEnd w:id="213"/>
      <w:bookmarkEnd w:id="214"/>
      <w:bookmarkEnd w:id="215"/>
      <w:bookmarkEnd w:id="216"/>
      <w:bookmarkEnd w:id="217"/>
      <w:bookmarkEnd w:id="218"/>
      <w:bookmarkEnd w:id="219"/>
    </w:p>
    <w:p>
      <w:pPr>
        <w:rPr>
          <w:rFonts w:ascii="宋体" w:hAnsi="宋体"/>
          <w:b/>
          <w:bCs/>
          <w:color w:val="auto"/>
          <w:sz w:val="24"/>
          <w:highlight w:val="none"/>
        </w:rPr>
      </w:pPr>
      <w:r>
        <w:rPr>
          <w:rFonts w:hint="eastAsia" w:ascii="宋体" w:hAnsi="宋体"/>
          <w:b/>
          <w:bCs/>
          <w:color w:val="auto"/>
          <w:sz w:val="24"/>
          <w:highlight w:val="none"/>
        </w:rPr>
        <w:t>外封面</w:t>
      </w:r>
    </w:p>
    <w:p>
      <w:pPr>
        <w:ind w:firstLine="480" w:firstLineChars="200"/>
        <w:jc w:val="center"/>
        <w:rPr>
          <w:rFonts w:ascii="宋体" w:hAnsi="宋体"/>
          <w:color w:val="auto"/>
          <w:sz w:val="24"/>
          <w:highlight w:val="none"/>
        </w:rPr>
      </w:pPr>
    </w:p>
    <w:p>
      <w:pPr>
        <w:spacing w:line="360" w:lineRule="auto"/>
        <w:jc w:val="center"/>
        <w:rPr>
          <w:rFonts w:ascii="宋体" w:hAnsi="宋体"/>
          <w:b/>
          <w:bCs/>
          <w:color w:val="auto"/>
          <w:sz w:val="44"/>
          <w:szCs w:val="44"/>
          <w:highlight w:val="none"/>
        </w:rPr>
      </w:pPr>
    </w:p>
    <w:p>
      <w:pPr>
        <w:spacing w:line="360" w:lineRule="auto"/>
        <w:jc w:val="center"/>
        <w:rPr>
          <w:rFonts w:ascii="宋体" w:hAnsi="宋体"/>
          <w:color w:val="auto"/>
          <w:sz w:val="44"/>
          <w:szCs w:val="44"/>
          <w:highlight w:val="none"/>
        </w:rPr>
      </w:pPr>
      <w:r>
        <w:rPr>
          <w:rFonts w:hint="eastAsia" w:ascii="宋体" w:hAnsi="宋体" w:cs="宋体"/>
          <w:b/>
          <w:bCs/>
          <w:color w:val="auto"/>
          <w:sz w:val="44"/>
          <w:szCs w:val="44"/>
          <w:highlight w:val="none"/>
        </w:rPr>
        <w:t>德宏职业学院基础医学院显微镜采购项目</w:t>
      </w:r>
    </w:p>
    <w:p>
      <w:pPr>
        <w:pStyle w:val="15"/>
        <w:ind w:left="0" w:leftChars="0" w:firstLine="0" w:firstLineChars="0"/>
        <w:rPr>
          <w:color w:val="auto"/>
          <w:highlight w:val="none"/>
        </w:rPr>
      </w:pPr>
    </w:p>
    <w:p>
      <w:pPr>
        <w:rPr>
          <w:rFonts w:ascii="宋体" w:hAnsi="宋体"/>
          <w:color w:val="auto"/>
          <w:sz w:val="48"/>
          <w:szCs w:val="48"/>
          <w:highlight w:val="none"/>
        </w:rPr>
      </w:pPr>
    </w:p>
    <w:p>
      <w:pPr>
        <w:jc w:val="center"/>
        <w:rPr>
          <w:rFonts w:ascii="宋体" w:hAnsi="宋体"/>
          <w:color w:val="auto"/>
          <w:sz w:val="48"/>
          <w:szCs w:val="48"/>
          <w:highlight w:val="none"/>
        </w:rPr>
      </w:pPr>
      <w:bookmarkStart w:id="220" w:name="_Toc7994"/>
      <w:bookmarkStart w:id="221" w:name="_Toc9106_WPSOffice_Level1"/>
      <w:r>
        <w:rPr>
          <w:rFonts w:hint="eastAsia" w:ascii="宋体" w:hAnsi="宋体"/>
          <w:b/>
          <w:bCs/>
          <w:color w:val="auto"/>
          <w:sz w:val="48"/>
          <w:szCs w:val="48"/>
          <w:highlight w:val="none"/>
        </w:rPr>
        <w:t>响 应 文 件</w:t>
      </w:r>
      <w:bookmarkEnd w:id="220"/>
      <w:bookmarkEnd w:id="221"/>
    </w:p>
    <w:p>
      <w:pPr>
        <w:jc w:val="center"/>
        <w:rPr>
          <w:rFonts w:ascii="宋体" w:hAnsi="宋体"/>
          <w:color w:val="auto"/>
          <w:sz w:val="32"/>
          <w:szCs w:val="32"/>
          <w:highlight w:val="none"/>
        </w:rPr>
      </w:pPr>
    </w:p>
    <w:p>
      <w:pPr>
        <w:spacing w:line="500" w:lineRule="exact"/>
        <w:jc w:val="center"/>
        <w:rPr>
          <w:color w:val="auto"/>
          <w:sz w:val="28"/>
          <w:szCs w:val="28"/>
          <w:highlight w:val="none"/>
        </w:rPr>
      </w:pPr>
    </w:p>
    <w:p>
      <w:pPr>
        <w:spacing w:line="500" w:lineRule="exact"/>
        <w:jc w:val="center"/>
        <w:rPr>
          <w:b/>
          <w:color w:val="auto"/>
          <w:sz w:val="28"/>
          <w:szCs w:val="28"/>
          <w:highlight w:val="none"/>
        </w:rPr>
      </w:pPr>
      <w:r>
        <w:rPr>
          <w:color w:val="auto"/>
          <w:sz w:val="28"/>
          <w:szCs w:val="28"/>
          <w:highlight w:val="none"/>
        </w:rPr>
        <w:t>×年×月×日×时前不得启封</w:t>
      </w:r>
    </w:p>
    <w:p>
      <w:pPr>
        <w:rPr>
          <w:rFonts w:ascii="宋体" w:hAnsi="宋体"/>
          <w:color w:val="auto"/>
          <w:sz w:val="32"/>
          <w:szCs w:val="32"/>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spacing w:line="800" w:lineRule="exact"/>
        <w:rPr>
          <w:rFonts w:ascii="宋体" w:hAnsi="宋体"/>
          <w:color w:val="auto"/>
          <w:sz w:val="32"/>
          <w:szCs w:val="32"/>
          <w:highlight w:val="none"/>
        </w:rPr>
      </w:pPr>
      <w:bookmarkStart w:id="222" w:name="_Toc20562_WPSOffice_Level1"/>
      <w:bookmarkStart w:id="223" w:name="_Toc30510"/>
      <w:r>
        <w:rPr>
          <w:rFonts w:hint="eastAsia" w:ascii="宋体" w:hAnsi="宋体"/>
          <w:color w:val="auto"/>
          <w:sz w:val="32"/>
          <w:szCs w:val="32"/>
          <w:highlight w:val="none"/>
        </w:rPr>
        <w:t>项目编号：</w:t>
      </w:r>
      <w:bookmarkEnd w:id="222"/>
      <w:bookmarkEnd w:id="223"/>
    </w:p>
    <w:p>
      <w:pPr>
        <w:spacing w:line="800" w:lineRule="exact"/>
        <w:rPr>
          <w:rFonts w:ascii="宋体" w:hAnsi="宋体"/>
          <w:color w:val="auto"/>
          <w:sz w:val="32"/>
          <w:szCs w:val="32"/>
          <w:highlight w:val="none"/>
        </w:rPr>
      </w:pPr>
      <w:bookmarkStart w:id="224" w:name="_Toc12050"/>
      <w:bookmarkStart w:id="225" w:name="_Toc29702_WPSOffice_Level1"/>
      <w:r>
        <w:rPr>
          <w:rFonts w:hint="eastAsia" w:ascii="宋体" w:hAnsi="宋体"/>
          <w:color w:val="auto"/>
          <w:sz w:val="32"/>
          <w:szCs w:val="32"/>
          <w:highlight w:val="none"/>
        </w:rPr>
        <w:t>供应商全称(加盖单位公章)：</w:t>
      </w:r>
      <w:bookmarkEnd w:id="224"/>
      <w:bookmarkEnd w:id="225"/>
      <w:bookmarkStart w:id="226" w:name="_Toc14962_WPSOffice_Level1"/>
      <w:bookmarkStart w:id="227" w:name="_Toc12622"/>
    </w:p>
    <w:p>
      <w:pPr>
        <w:spacing w:line="800" w:lineRule="exact"/>
        <w:rPr>
          <w:rFonts w:ascii="宋体" w:hAnsi="宋体"/>
          <w:color w:val="auto"/>
          <w:sz w:val="32"/>
          <w:szCs w:val="32"/>
          <w:highlight w:val="none"/>
        </w:rPr>
      </w:pPr>
      <w:r>
        <w:rPr>
          <w:rFonts w:hint="eastAsia" w:ascii="宋体" w:hAnsi="宋体"/>
          <w:color w:val="auto"/>
          <w:sz w:val="32"/>
          <w:szCs w:val="32"/>
          <w:highlight w:val="none"/>
        </w:rPr>
        <w:t>地  址：</w:t>
      </w:r>
      <w:bookmarkEnd w:id="226"/>
      <w:bookmarkEnd w:id="227"/>
    </w:p>
    <w:p>
      <w:pPr>
        <w:spacing w:line="800" w:lineRule="exact"/>
        <w:rPr>
          <w:rFonts w:ascii="宋体" w:hAnsi="宋体"/>
          <w:color w:val="auto"/>
          <w:sz w:val="32"/>
          <w:szCs w:val="32"/>
          <w:highlight w:val="none"/>
        </w:rPr>
      </w:pPr>
      <w:bookmarkStart w:id="228" w:name="_Toc25040"/>
      <w:bookmarkStart w:id="229" w:name="_Toc25348_WPSOffice_Level1"/>
      <w:r>
        <w:rPr>
          <w:rFonts w:hint="eastAsia" w:ascii="宋体" w:hAnsi="宋体"/>
          <w:color w:val="auto"/>
          <w:sz w:val="32"/>
          <w:szCs w:val="32"/>
          <w:highlight w:val="none"/>
        </w:rPr>
        <w:t xml:space="preserve">联系人： </w:t>
      </w:r>
    </w:p>
    <w:p>
      <w:pPr>
        <w:spacing w:line="800" w:lineRule="exact"/>
        <w:rPr>
          <w:rFonts w:ascii="宋体" w:hAnsi="宋体"/>
          <w:color w:val="auto"/>
          <w:sz w:val="32"/>
          <w:szCs w:val="32"/>
          <w:highlight w:val="none"/>
        </w:rPr>
      </w:pPr>
      <w:r>
        <w:rPr>
          <w:rFonts w:hint="eastAsia" w:ascii="宋体" w:hAnsi="宋体"/>
          <w:color w:val="auto"/>
          <w:sz w:val="32"/>
          <w:szCs w:val="32"/>
          <w:highlight w:val="none"/>
        </w:rPr>
        <w:t>联系电话：</w:t>
      </w:r>
      <w:bookmarkEnd w:id="228"/>
      <w:bookmarkEnd w:id="229"/>
      <w:bookmarkStart w:id="230" w:name="_Toc1153_WPSOffice_Level1"/>
      <w:bookmarkStart w:id="231" w:name="_Toc19416"/>
    </w:p>
    <w:p>
      <w:pPr>
        <w:spacing w:line="800" w:lineRule="exact"/>
        <w:rPr>
          <w:rFonts w:ascii="宋体" w:hAnsi="宋体"/>
          <w:b/>
          <w:bCs/>
          <w:color w:val="auto"/>
          <w:sz w:val="24"/>
          <w:highlight w:val="none"/>
        </w:rPr>
      </w:pPr>
      <w:r>
        <w:rPr>
          <w:rFonts w:hint="eastAsia" w:ascii="宋体" w:hAnsi="宋体"/>
          <w:color w:val="auto"/>
          <w:sz w:val="32"/>
          <w:szCs w:val="32"/>
          <w:highlight w:val="none"/>
        </w:rPr>
        <w:t>日  期：</w:t>
      </w:r>
      <w:bookmarkEnd w:id="230"/>
      <w:bookmarkEnd w:id="231"/>
      <w:bookmarkStart w:id="232" w:name="_Toc30602"/>
      <w:bookmarkStart w:id="233" w:name="_Toc25181_WPSOffice_Level1"/>
      <w:bookmarkStart w:id="234" w:name="_Toc277254058"/>
    </w:p>
    <w:p>
      <w:pPr>
        <w:rPr>
          <w:rFonts w:ascii="宋体" w:hAnsi="宋体"/>
          <w:b/>
          <w:bCs/>
          <w:color w:val="auto"/>
          <w:sz w:val="24"/>
          <w:highlight w:val="none"/>
        </w:rPr>
      </w:pPr>
      <w:r>
        <w:rPr>
          <w:rFonts w:hint="eastAsia" w:ascii="宋体" w:hAnsi="宋体"/>
          <w:b/>
          <w:bCs/>
          <w:color w:val="auto"/>
          <w:sz w:val="24"/>
          <w:highlight w:val="none"/>
        </w:rPr>
        <w:br w:type="page"/>
      </w:r>
    </w:p>
    <w:p>
      <w:pPr>
        <w:rPr>
          <w:rFonts w:ascii="宋体" w:hAnsi="宋体"/>
          <w:b/>
          <w:bCs/>
          <w:color w:val="auto"/>
          <w:sz w:val="24"/>
          <w:highlight w:val="none"/>
        </w:rPr>
      </w:pPr>
    </w:p>
    <w:p>
      <w:pPr>
        <w:rPr>
          <w:rFonts w:ascii="宋体" w:hAnsi="宋体"/>
          <w:b/>
          <w:bCs/>
          <w:color w:val="auto"/>
          <w:sz w:val="24"/>
          <w:highlight w:val="none"/>
        </w:rPr>
      </w:pPr>
      <w:r>
        <w:rPr>
          <w:rFonts w:hint="eastAsia" w:ascii="宋体" w:hAnsi="宋体"/>
          <w:b/>
          <w:bCs/>
          <w:color w:val="auto"/>
          <w:sz w:val="24"/>
          <w:highlight w:val="none"/>
        </w:rPr>
        <w:t>内封面</w:t>
      </w:r>
    </w:p>
    <w:p>
      <w:pPr>
        <w:ind w:firstLine="480" w:firstLineChars="200"/>
        <w:jc w:val="center"/>
        <w:rPr>
          <w:rFonts w:ascii="宋体" w:hAnsi="宋体"/>
          <w:color w:val="auto"/>
          <w:sz w:val="24"/>
          <w:highlight w:val="none"/>
        </w:rPr>
      </w:pPr>
    </w:p>
    <w:p>
      <w:pPr>
        <w:spacing w:line="360" w:lineRule="auto"/>
        <w:jc w:val="center"/>
        <w:rPr>
          <w:rFonts w:ascii="宋体" w:hAnsi="宋体"/>
          <w:b/>
          <w:bCs/>
          <w:color w:val="auto"/>
          <w:sz w:val="44"/>
          <w:szCs w:val="44"/>
          <w:highlight w:val="none"/>
        </w:rPr>
      </w:pPr>
    </w:p>
    <w:p>
      <w:pPr>
        <w:spacing w:line="360" w:lineRule="auto"/>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德宏职业学院基础医学院显微镜采购项目</w:t>
      </w:r>
    </w:p>
    <w:p>
      <w:pPr>
        <w:rPr>
          <w:rFonts w:ascii="宋体" w:hAnsi="宋体"/>
          <w:color w:val="auto"/>
          <w:sz w:val="24"/>
          <w:highlight w:val="none"/>
        </w:rPr>
      </w:pPr>
    </w:p>
    <w:p>
      <w:pPr>
        <w:pStyle w:val="15"/>
        <w:ind w:left="0" w:leftChars="0" w:firstLine="0" w:firstLineChars="0"/>
        <w:rPr>
          <w:color w:val="auto"/>
          <w:highlight w:val="none"/>
        </w:rPr>
      </w:pPr>
    </w:p>
    <w:p>
      <w:pPr>
        <w:rPr>
          <w:rFonts w:ascii="宋体" w:hAnsi="宋体"/>
          <w:color w:val="auto"/>
          <w:sz w:val="48"/>
          <w:szCs w:val="48"/>
          <w:highlight w:val="none"/>
        </w:rPr>
      </w:pPr>
    </w:p>
    <w:p>
      <w:pPr>
        <w:jc w:val="center"/>
        <w:rPr>
          <w:rFonts w:ascii="宋体" w:hAnsi="宋体"/>
          <w:color w:val="auto"/>
          <w:sz w:val="48"/>
          <w:szCs w:val="48"/>
          <w:highlight w:val="none"/>
        </w:rPr>
      </w:pPr>
      <w:r>
        <w:rPr>
          <w:rFonts w:hint="eastAsia" w:ascii="宋体" w:hAnsi="宋体"/>
          <w:b/>
          <w:bCs/>
          <w:color w:val="auto"/>
          <w:sz w:val="48"/>
          <w:szCs w:val="48"/>
          <w:highlight w:val="none"/>
        </w:rPr>
        <w:t>响 应 文 件</w:t>
      </w:r>
    </w:p>
    <w:p>
      <w:pPr>
        <w:jc w:val="center"/>
        <w:rPr>
          <w:rFonts w:ascii="宋体" w:hAnsi="宋体"/>
          <w:color w:val="auto"/>
          <w:sz w:val="32"/>
          <w:szCs w:val="32"/>
          <w:highlight w:val="none"/>
        </w:rPr>
      </w:pPr>
    </w:p>
    <w:p>
      <w:pPr>
        <w:spacing w:line="500" w:lineRule="exact"/>
        <w:jc w:val="center"/>
        <w:rPr>
          <w:color w:val="auto"/>
          <w:sz w:val="28"/>
          <w:szCs w:val="28"/>
          <w:highlight w:val="none"/>
        </w:rPr>
      </w:pPr>
    </w:p>
    <w:p>
      <w:pPr>
        <w:spacing w:line="500" w:lineRule="exact"/>
        <w:jc w:val="center"/>
        <w:rPr>
          <w:b/>
          <w:color w:val="auto"/>
          <w:sz w:val="44"/>
          <w:szCs w:val="44"/>
          <w:highlight w:val="none"/>
        </w:rPr>
      </w:pPr>
      <w:bookmarkStart w:id="235" w:name="_Toc10603"/>
      <w:bookmarkStart w:id="236" w:name="_Toc25929"/>
      <w:bookmarkStart w:id="237" w:name="_Toc8481"/>
      <w:bookmarkStart w:id="238" w:name="_Toc4570"/>
      <w:bookmarkStart w:id="239" w:name="_Toc1160"/>
      <w:r>
        <w:rPr>
          <w:b/>
          <w:color w:val="auto"/>
          <w:sz w:val="44"/>
          <w:szCs w:val="44"/>
          <w:highlight w:val="none"/>
        </w:rPr>
        <w:t>（正本/副本）</w:t>
      </w:r>
      <w:bookmarkEnd w:id="235"/>
      <w:bookmarkEnd w:id="236"/>
      <w:bookmarkEnd w:id="237"/>
      <w:bookmarkEnd w:id="238"/>
      <w:bookmarkEnd w:id="239"/>
    </w:p>
    <w:p>
      <w:pPr>
        <w:rPr>
          <w:rFonts w:ascii="宋体" w:hAnsi="宋体"/>
          <w:color w:val="auto"/>
          <w:sz w:val="32"/>
          <w:szCs w:val="32"/>
          <w:highlight w:val="none"/>
        </w:rPr>
      </w:pPr>
    </w:p>
    <w:p>
      <w:pPr>
        <w:rPr>
          <w:rFonts w:ascii="宋体" w:hAnsi="宋体"/>
          <w:color w:val="auto"/>
          <w:sz w:val="32"/>
          <w:szCs w:val="32"/>
          <w:highlight w:val="none"/>
        </w:rPr>
      </w:pPr>
    </w:p>
    <w:p>
      <w:pPr>
        <w:rPr>
          <w:rFonts w:ascii="宋体" w:hAnsi="宋体"/>
          <w:color w:val="auto"/>
          <w:sz w:val="32"/>
          <w:szCs w:val="32"/>
          <w:highlight w:val="none"/>
        </w:rPr>
      </w:pPr>
    </w:p>
    <w:p>
      <w:pPr>
        <w:spacing w:line="800" w:lineRule="exact"/>
        <w:rPr>
          <w:rFonts w:ascii="宋体" w:hAnsi="宋体"/>
          <w:color w:val="auto"/>
          <w:sz w:val="32"/>
          <w:szCs w:val="32"/>
          <w:highlight w:val="none"/>
        </w:rPr>
      </w:pPr>
      <w:bookmarkStart w:id="240" w:name="_Toc1003"/>
      <w:bookmarkStart w:id="241" w:name="_Toc28582"/>
      <w:bookmarkStart w:id="242" w:name="_Toc28562"/>
      <w:bookmarkStart w:id="243" w:name="_Toc20548"/>
      <w:bookmarkStart w:id="244" w:name="_Toc28535"/>
      <w:r>
        <w:rPr>
          <w:rFonts w:hint="eastAsia" w:ascii="宋体" w:hAnsi="宋体"/>
          <w:color w:val="auto"/>
          <w:sz w:val="32"/>
          <w:szCs w:val="32"/>
          <w:highlight w:val="none"/>
        </w:rPr>
        <w:t>项目编号：</w:t>
      </w:r>
      <w:bookmarkEnd w:id="240"/>
      <w:bookmarkEnd w:id="241"/>
      <w:bookmarkEnd w:id="242"/>
      <w:bookmarkEnd w:id="243"/>
      <w:bookmarkEnd w:id="244"/>
    </w:p>
    <w:p>
      <w:pPr>
        <w:spacing w:line="800" w:lineRule="exact"/>
        <w:rPr>
          <w:rFonts w:ascii="宋体" w:hAnsi="宋体"/>
          <w:color w:val="auto"/>
          <w:sz w:val="32"/>
          <w:szCs w:val="32"/>
          <w:highlight w:val="none"/>
        </w:rPr>
      </w:pPr>
      <w:bookmarkStart w:id="245" w:name="_Toc9771"/>
      <w:bookmarkStart w:id="246" w:name="_Toc14295"/>
      <w:bookmarkStart w:id="247" w:name="_Toc22359"/>
      <w:bookmarkStart w:id="248" w:name="_Toc28998"/>
      <w:bookmarkStart w:id="249" w:name="_Toc4633"/>
      <w:r>
        <w:rPr>
          <w:rFonts w:hint="eastAsia" w:ascii="宋体" w:hAnsi="宋体"/>
          <w:color w:val="auto"/>
          <w:sz w:val="32"/>
          <w:szCs w:val="32"/>
          <w:highlight w:val="none"/>
        </w:rPr>
        <w:t>供应商全称(加盖单位公章)：</w:t>
      </w:r>
      <w:bookmarkEnd w:id="245"/>
      <w:bookmarkEnd w:id="246"/>
      <w:bookmarkEnd w:id="247"/>
      <w:bookmarkEnd w:id="248"/>
      <w:bookmarkEnd w:id="249"/>
    </w:p>
    <w:p>
      <w:pPr>
        <w:spacing w:line="800" w:lineRule="exact"/>
        <w:rPr>
          <w:rFonts w:ascii="宋体" w:hAnsi="宋体"/>
          <w:color w:val="auto"/>
          <w:sz w:val="32"/>
          <w:szCs w:val="32"/>
          <w:highlight w:val="none"/>
        </w:rPr>
      </w:pPr>
      <w:bookmarkStart w:id="250" w:name="_Toc7508"/>
      <w:bookmarkStart w:id="251" w:name="_Toc27345"/>
      <w:bookmarkStart w:id="252" w:name="_Toc19723"/>
      <w:bookmarkStart w:id="253" w:name="_Toc11191"/>
      <w:bookmarkStart w:id="254" w:name="_Toc11009"/>
      <w:r>
        <w:rPr>
          <w:rFonts w:hint="eastAsia" w:ascii="宋体" w:hAnsi="宋体"/>
          <w:color w:val="auto"/>
          <w:sz w:val="32"/>
          <w:szCs w:val="32"/>
          <w:highlight w:val="none"/>
        </w:rPr>
        <w:t>地  址：</w:t>
      </w:r>
      <w:bookmarkEnd w:id="250"/>
      <w:bookmarkEnd w:id="251"/>
      <w:bookmarkEnd w:id="252"/>
      <w:bookmarkEnd w:id="253"/>
      <w:bookmarkEnd w:id="254"/>
    </w:p>
    <w:p>
      <w:pPr>
        <w:spacing w:line="800" w:lineRule="exact"/>
        <w:rPr>
          <w:rFonts w:ascii="宋体" w:hAnsi="宋体"/>
          <w:color w:val="auto"/>
          <w:sz w:val="32"/>
          <w:szCs w:val="32"/>
          <w:highlight w:val="none"/>
        </w:rPr>
      </w:pPr>
      <w:bookmarkStart w:id="255" w:name="_Toc8367"/>
      <w:bookmarkStart w:id="256" w:name="_Toc18648"/>
      <w:bookmarkStart w:id="257" w:name="_Toc20706"/>
      <w:bookmarkStart w:id="258" w:name="_Toc8235"/>
      <w:bookmarkStart w:id="259" w:name="_Toc28920"/>
      <w:r>
        <w:rPr>
          <w:rFonts w:hint="eastAsia" w:ascii="宋体" w:hAnsi="宋体"/>
          <w:color w:val="auto"/>
          <w:sz w:val="32"/>
          <w:szCs w:val="32"/>
          <w:highlight w:val="none"/>
        </w:rPr>
        <w:t>联系人：</w:t>
      </w:r>
      <w:bookmarkEnd w:id="255"/>
      <w:bookmarkEnd w:id="256"/>
      <w:bookmarkEnd w:id="257"/>
      <w:bookmarkEnd w:id="258"/>
      <w:bookmarkEnd w:id="259"/>
      <w:r>
        <w:rPr>
          <w:rFonts w:hint="eastAsia" w:ascii="宋体" w:hAnsi="宋体"/>
          <w:color w:val="auto"/>
          <w:sz w:val="32"/>
          <w:szCs w:val="32"/>
          <w:highlight w:val="none"/>
        </w:rPr>
        <w:t xml:space="preserve"> </w:t>
      </w:r>
    </w:p>
    <w:p>
      <w:pPr>
        <w:spacing w:line="800" w:lineRule="exact"/>
        <w:rPr>
          <w:rFonts w:ascii="宋体" w:hAnsi="宋体"/>
          <w:color w:val="auto"/>
          <w:sz w:val="32"/>
          <w:szCs w:val="32"/>
          <w:highlight w:val="none"/>
        </w:rPr>
      </w:pPr>
      <w:bookmarkStart w:id="260" w:name="_Toc29254"/>
      <w:bookmarkStart w:id="261" w:name="_Toc8654"/>
      <w:bookmarkStart w:id="262" w:name="_Toc21223"/>
      <w:bookmarkStart w:id="263" w:name="_Toc30492"/>
      <w:bookmarkStart w:id="264" w:name="_Toc7329"/>
      <w:r>
        <w:rPr>
          <w:rFonts w:hint="eastAsia" w:ascii="宋体" w:hAnsi="宋体"/>
          <w:color w:val="auto"/>
          <w:sz w:val="32"/>
          <w:szCs w:val="32"/>
          <w:highlight w:val="none"/>
        </w:rPr>
        <w:t>联系电话：</w:t>
      </w:r>
      <w:bookmarkEnd w:id="260"/>
      <w:bookmarkEnd w:id="261"/>
      <w:bookmarkEnd w:id="262"/>
      <w:bookmarkEnd w:id="263"/>
      <w:bookmarkEnd w:id="264"/>
    </w:p>
    <w:p>
      <w:pPr>
        <w:spacing w:line="800" w:lineRule="exact"/>
        <w:rPr>
          <w:rFonts w:ascii="宋体" w:hAnsi="宋体"/>
          <w:color w:val="auto"/>
          <w:sz w:val="32"/>
          <w:szCs w:val="32"/>
          <w:highlight w:val="none"/>
        </w:rPr>
      </w:pPr>
      <w:bookmarkStart w:id="265" w:name="_Toc2069"/>
      <w:bookmarkStart w:id="266" w:name="_Toc8451"/>
      <w:bookmarkStart w:id="267" w:name="_Toc27604"/>
      <w:bookmarkStart w:id="268" w:name="_Toc5038"/>
      <w:bookmarkStart w:id="269" w:name="_Toc27973"/>
      <w:r>
        <w:rPr>
          <w:rFonts w:hint="eastAsia" w:ascii="宋体" w:hAnsi="宋体"/>
          <w:color w:val="auto"/>
          <w:sz w:val="32"/>
          <w:szCs w:val="32"/>
          <w:highlight w:val="none"/>
        </w:rPr>
        <w:t>日  期：</w:t>
      </w:r>
      <w:bookmarkEnd w:id="265"/>
      <w:bookmarkEnd w:id="266"/>
      <w:bookmarkEnd w:id="267"/>
      <w:bookmarkEnd w:id="268"/>
      <w:bookmarkEnd w:id="269"/>
      <w:bookmarkStart w:id="270" w:name="_Toc10329"/>
      <w:bookmarkStart w:id="271" w:name="_Toc8639"/>
      <w:bookmarkStart w:id="272" w:name="_Toc25455"/>
      <w:bookmarkStart w:id="273" w:name="_Toc6344"/>
      <w:bookmarkStart w:id="274" w:name="_Toc19281"/>
    </w:p>
    <w:p>
      <w:pPr>
        <w:rPr>
          <w:rFonts w:ascii="宋体" w:hAnsi="宋体"/>
          <w:b/>
          <w:color w:val="auto"/>
          <w:sz w:val="28"/>
          <w:szCs w:val="28"/>
          <w:highlight w:val="none"/>
        </w:rPr>
      </w:pPr>
      <w:r>
        <w:rPr>
          <w:rFonts w:hint="eastAsia" w:ascii="宋体" w:hAnsi="宋体"/>
          <w:b/>
          <w:color w:val="auto"/>
          <w:sz w:val="28"/>
          <w:szCs w:val="28"/>
          <w:highlight w:val="none"/>
        </w:rPr>
        <w:br w:type="page"/>
      </w: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一、</w:t>
      </w:r>
      <w:bookmarkEnd w:id="232"/>
      <w:bookmarkEnd w:id="233"/>
      <w:bookmarkEnd w:id="270"/>
      <w:bookmarkEnd w:id="271"/>
      <w:bookmarkEnd w:id="272"/>
      <w:bookmarkEnd w:id="273"/>
      <w:bookmarkEnd w:id="274"/>
      <w:r>
        <w:rPr>
          <w:rFonts w:hint="eastAsia" w:ascii="宋体" w:hAnsi="宋体"/>
          <w:b/>
          <w:color w:val="auto"/>
          <w:sz w:val="28"/>
          <w:szCs w:val="28"/>
          <w:highlight w:val="none"/>
        </w:rPr>
        <w:t>报价一览表</w:t>
      </w:r>
    </w:p>
    <w:p>
      <w:pPr>
        <w:pStyle w:val="15"/>
        <w:ind w:left="0" w:leftChars="0" w:firstLine="0" w:firstLineChars="0"/>
        <w:rPr>
          <w:color w:val="auto"/>
          <w:highlight w:val="none"/>
        </w:rPr>
      </w:pPr>
    </w:p>
    <w:tbl>
      <w:tblPr>
        <w:tblStyle w:val="25"/>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3"/>
        <w:gridCol w:w="6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2423" w:type="dxa"/>
            <w:vMerge w:val="restart"/>
            <w:vAlign w:val="center"/>
          </w:tcPr>
          <w:p>
            <w:pPr>
              <w:spacing w:line="500" w:lineRule="exact"/>
              <w:jc w:val="center"/>
              <w:rPr>
                <w:bCs/>
                <w:color w:val="auto"/>
                <w:sz w:val="24"/>
                <w:highlight w:val="none"/>
                <w:u w:val="single"/>
              </w:rPr>
            </w:pPr>
            <w:r>
              <w:rPr>
                <w:rFonts w:hint="eastAsia"/>
                <w:bCs/>
                <w:color w:val="auto"/>
                <w:sz w:val="24"/>
                <w:highlight w:val="none"/>
              </w:rPr>
              <w:t>报价</w:t>
            </w:r>
          </w:p>
        </w:tc>
        <w:tc>
          <w:tcPr>
            <w:tcW w:w="6097" w:type="dxa"/>
            <w:vAlign w:val="center"/>
          </w:tcPr>
          <w:p>
            <w:pPr>
              <w:spacing w:line="500" w:lineRule="exact"/>
              <w:rPr>
                <w:bCs/>
                <w:color w:val="auto"/>
                <w:sz w:val="24"/>
                <w:highlight w:val="none"/>
                <w:u w:val="single"/>
              </w:rPr>
            </w:pPr>
            <w:r>
              <w:rPr>
                <w:color w:val="auto"/>
                <w:sz w:val="24"/>
                <w:highlight w:val="none"/>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423" w:type="dxa"/>
            <w:vMerge w:val="continue"/>
          </w:tcPr>
          <w:p>
            <w:pPr>
              <w:spacing w:line="500" w:lineRule="exact"/>
              <w:jc w:val="center"/>
              <w:rPr>
                <w:bCs/>
                <w:color w:val="auto"/>
                <w:sz w:val="24"/>
                <w:highlight w:val="none"/>
                <w:u w:val="single"/>
              </w:rPr>
            </w:pPr>
          </w:p>
        </w:tc>
        <w:tc>
          <w:tcPr>
            <w:tcW w:w="6097" w:type="dxa"/>
            <w:vAlign w:val="center"/>
          </w:tcPr>
          <w:p>
            <w:pPr>
              <w:spacing w:line="500" w:lineRule="exact"/>
              <w:rPr>
                <w:bCs/>
                <w:color w:val="auto"/>
                <w:sz w:val="24"/>
                <w:highlight w:val="none"/>
                <w:u w:val="single"/>
              </w:rPr>
            </w:pPr>
            <w:r>
              <w:rPr>
                <w:color w:val="auto"/>
                <w:sz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423" w:type="dxa"/>
            <w:vAlign w:val="center"/>
          </w:tcPr>
          <w:p>
            <w:pPr>
              <w:spacing w:line="500" w:lineRule="exact"/>
              <w:jc w:val="center"/>
              <w:rPr>
                <w:bCs/>
                <w:color w:val="auto"/>
                <w:sz w:val="24"/>
                <w:highlight w:val="none"/>
                <w:u w:val="single"/>
              </w:rPr>
            </w:pPr>
            <w:r>
              <w:rPr>
                <w:rFonts w:hint="eastAsia" w:ascii="宋体" w:hAnsi="宋体" w:cs="宋体"/>
                <w:color w:val="auto"/>
                <w:sz w:val="24"/>
                <w:highlight w:val="none"/>
              </w:rPr>
              <w:t>合同履行期限</w:t>
            </w:r>
          </w:p>
        </w:tc>
        <w:tc>
          <w:tcPr>
            <w:tcW w:w="6097" w:type="dxa"/>
            <w:vAlign w:val="center"/>
          </w:tcPr>
          <w:p>
            <w:pPr>
              <w:spacing w:line="5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423" w:type="dxa"/>
            <w:vAlign w:val="center"/>
          </w:tcPr>
          <w:p>
            <w:pPr>
              <w:spacing w:line="500" w:lineRule="exact"/>
              <w:jc w:val="center"/>
              <w:rPr>
                <w:color w:val="auto"/>
                <w:sz w:val="24"/>
                <w:highlight w:val="none"/>
              </w:rPr>
            </w:pPr>
            <w:r>
              <w:rPr>
                <w:rFonts w:hint="eastAsia" w:ascii="宋体" w:hAnsi="宋体" w:cs="宋体"/>
                <w:color w:val="auto"/>
                <w:sz w:val="24"/>
                <w:highlight w:val="none"/>
              </w:rPr>
              <w:t>质保期</w:t>
            </w:r>
          </w:p>
        </w:tc>
        <w:tc>
          <w:tcPr>
            <w:tcW w:w="6097" w:type="dxa"/>
            <w:vAlign w:val="center"/>
          </w:tcPr>
          <w:p>
            <w:pPr>
              <w:spacing w:line="500" w:lineRule="exact"/>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423" w:type="dxa"/>
            <w:vAlign w:val="center"/>
          </w:tcPr>
          <w:p>
            <w:pPr>
              <w:pStyle w:val="18"/>
              <w:tabs>
                <w:tab w:val="left" w:pos="720"/>
                <w:tab w:val="left" w:pos="8295"/>
              </w:tabs>
              <w:spacing w:before="120" w:after="120" w:line="500" w:lineRule="exact"/>
              <w:ind w:left="0" w:leftChars="0"/>
              <w:jc w:val="center"/>
              <w:rPr>
                <w:color w:val="auto"/>
                <w:sz w:val="24"/>
                <w:highlight w:val="none"/>
              </w:rPr>
            </w:pPr>
            <w:r>
              <w:rPr>
                <w:rFonts w:hint="eastAsia"/>
                <w:color w:val="auto"/>
                <w:sz w:val="24"/>
                <w:highlight w:val="none"/>
              </w:rPr>
              <w:t>备注</w:t>
            </w:r>
          </w:p>
        </w:tc>
        <w:tc>
          <w:tcPr>
            <w:tcW w:w="6097" w:type="dxa"/>
            <w:vAlign w:val="center"/>
          </w:tcPr>
          <w:p>
            <w:pPr>
              <w:spacing w:line="500" w:lineRule="exact"/>
              <w:rPr>
                <w:bCs/>
                <w:color w:val="auto"/>
                <w:sz w:val="24"/>
                <w:highlight w:val="none"/>
                <w:u w:val="single"/>
              </w:rPr>
            </w:pPr>
          </w:p>
        </w:tc>
      </w:tr>
    </w:tbl>
    <w:p>
      <w:pPr>
        <w:spacing w:line="440" w:lineRule="exact"/>
        <w:rPr>
          <w:rFonts w:ascii="宋体" w:hAnsi="宋体"/>
          <w:color w:val="auto"/>
          <w:sz w:val="28"/>
          <w:szCs w:val="28"/>
          <w:highlight w:val="none"/>
        </w:rPr>
      </w:pPr>
    </w:p>
    <w:p>
      <w:pPr>
        <w:snapToGrid w:val="0"/>
        <w:spacing w:line="460" w:lineRule="exact"/>
        <w:ind w:firstLine="480" w:firstLineChars="200"/>
        <w:rPr>
          <w:color w:val="auto"/>
          <w:sz w:val="24"/>
          <w:highlight w:val="none"/>
          <w:lang w:val="zh-CN"/>
        </w:rPr>
      </w:pPr>
      <w:r>
        <w:rPr>
          <w:rFonts w:hint="eastAsia"/>
          <w:color w:val="auto"/>
          <w:sz w:val="24"/>
          <w:highlight w:val="none"/>
          <w:lang w:val="zh-CN"/>
        </w:rPr>
        <w:t>注：</w:t>
      </w:r>
    </w:p>
    <w:p>
      <w:pPr>
        <w:snapToGrid w:val="0"/>
        <w:spacing w:line="46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1.报价为全包价，</w:t>
      </w:r>
      <w:r>
        <w:rPr>
          <w:rFonts w:hint="eastAsia" w:ascii="宋体" w:hAnsi="宋体" w:cs="宋体"/>
          <w:color w:val="auto"/>
          <w:sz w:val="24"/>
          <w:highlight w:val="none"/>
          <w:lang w:val="zh-CN"/>
        </w:rPr>
        <w:t>以人民币为结算单位，报价包括：本项目产品、产品的运输装卸、安装、调试、验收、维护费、质保等伴随的服务及各种税费等全部费用</w:t>
      </w:r>
      <w:r>
        <w:rPr>
          <w:rFonts w:hint="eastAsia" w:ascii="宋体" w:hAnsi="宋体" w:cs="宋体"/>
          <w:bCs/>
          <w:color w:val="auto"/>
          <w:sz w:val="24"/>
          <w:highlight w:val="none"/>
        </w:rPr>
        <w:t>。</w:t>
      </w:r>
    </w:p>
    <w:p>
      <w:pPr>
        <w:adjustRightInd w:val="0"/>
        <w:snapToGrid w:val="0"/>
        <w:spacing w:line="460" w:lineRule="exact"/>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lang w:val="zh-CN"/>
        </w:rPr>
        <w:t>报价超过最高限价，响应文件无效。</w:t>
      </w:r>
    </w:p>
    <w:p>
      <w:pPr>
        <w:pStyle w:val="15"/>
        <w:rPr>
          <w:color w:val="auto"/>
          <w:highlight w:val="none"/>
        </w:rPr>
      </w:pPr>
    </w:p>
    <w:p>
      <w:pPr>
        <w:pStyle w:val="16"/>
        <w:rPr>
          <w:color w:val="auto"/>
          <w:highlight w:val="none"/>
        </w:rPr>
      </w:pPr>
    </w:p>
    <w:p>
      <w:pPr>
        <w:spacing w:line="500" w:lineRule="exact"/>
        <w:rPr>
          <w:rFonts w:ascii="宋体" w:hAnsi="宋体" w:cs="宋体"/>
          <w:color w:val="auto"/>
          <w:sz w:val="24"/>
          <w:highlight w:val="none"/>
          <w:lang w:val="zh-CN"/>
        </w:rPr>
      </w:pPr>
      <w:r>
        <w:rPr>
          <w:rFonts w:hint="eastAsia" w:ascii="宋体" w:hAnsi="宋体"/>
          <w:color w:val="auto"/>
          <w:sz w:val="24"/>
          <w:highlight w:val="none"/>
        </w:rPr>
        <w:t>供应商全称（加盖单位公章）：</w:t>
      </w:r>
      <w:r>
        <w:rPr>
          <w:rFonts w:hint="eastAsia" w:ascii="宋体" w:hAnsi="宋体" w:cs="宋体"/>
          <w:color w:val="auto"/>
          <w:sz w:val="24"/>
          <w:highlight w:val="none"/>
          <w:u w:val="single"/>
        </w:rPr>
        <w:t>　　　　　　　　　　　　</w:t>
      </w:r>
    </w:p>
    <w:p>
      <w:pPr>
        <w:tabs>
          <w:tab w:val="left" w:pos="13000"/>
        </w:tabs>
        <w:autoSpaceDE w:val="0"/>
        <w:autoSpaceDN w:val="0"/>
        <w:adjustRightInd w:val="0"/>
        <w:spacing w:line="50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法定代表人或其委托代理人（签字或盖章）：</w:t>
      </w:r>
      <w:r>
        <w:rPr>
          <w:rFonts w:hint="eastAsia" w:ascii="宋体" w:hAnsi="宋体" w:cs="宋体"/>
          <w:color w:val="auto"/>
          <w:sz w:val="24"/>
          <w:highlight w:val="none"/>
          <w:u w:val="single"/>
        </w:rPr>
        <w:t>　　　　　　　　　　　　</w:t>
      </w:r>
    </w:p>
    <w:p>
      <w:pPr>
        <w:spacing w:line="500" w:lineRule="exact"/>
        <w:jc w:val="left"/>
        <w:rPr>
          <w:rFonts w:ascii="宋体"/>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w:t>
      </w:r>
      <w:r>
        <w:rPr>
          <w:rFonts w:hint="eastAsia" w:ascii="宋体" w:hAnsi="宋体" w:cs="宋体"/>
          <w:color w:val="auto"/>
          <w:sz w:val="24"/>
          <w:highlight w:val="none"/>
        </w:rPr>
        <w:t>年</w:t>
      </w:r>
      <w:r>
        <w:rPr>
          <w:rFonts w:hint="eastAsia" w:ascii="宋体" w:hAnsi="宋体" w:cs="宋体"/>
          <w:color w:val="auto"/>
          <w:sz w:val="24"/>
          <w:highlight w:val="none"/>
          <w:u w:val="single"/>
        </w:rPr>
        <w:t>　　</w:t>
      </w:r>
      <w:r>
        <w:rPr>
          <w:rFonts w:hint="eastAsia" w:ascii="宋体" w:hAnsi="宋体" w:cs="宋体"/>
          <w:color w:val="auto"/>
          <w:sz w:val="24"/>
          <w:highlight w:val="none"/>
        </w:rPr>
        <w:t>月</w:t>
      </w:r>
      <w:r>
        <w:rPr>
          <w:rFonts w:hint="eastAsia" w:ascii="宋体" w:hAnsi="宋体" w:cs="宋体"/>
          <w:color w:val="auto"/>
          <w:sz w:val="24"/>
          <w:highlight w:val="none"/>
          <w:u w:val="single"/>
        </w:rPr>
        <w:t>　　</w:t>
      </w:r>
      <w:r>
        <w:rPr>
          <w:rFonts w:hint="eastAsia" w:ascii="宋体" w:hAnsi="宋体" w:cs="宋体"/>
          <w:color w:val="auto"/>
          <w:sz w:val="24"/>
          <w:highlight w:val="none"/>
        </w:rPr>
        <w:t>日</w:t>
      </w:r>
    </w:p>
    <w:p>
      <w:pPr>
        <w:spacing w:line="500" w:lineRule="exact"/>
        <w:rPr>
          <w:rFonts w:ascii="宋体" w:hAnsi="宋体"/>
          <w:b/>
          <w:color w:val="auto"/>
          <w:sz w:val="24"/>
          <w:highlight w:val="none"/>
        </w:rPr>
      </w:pPr>
    </w:p>
    <w:p>
      <w:pPr>
        <w:spacing w:line="360" w:lineRule="auto"/>
        <w:ind w:left="560"/>
        <w:jc w:val="center"/>
        <w:rPr>
          <w:rFonts w:ascii="宋体" w:hAnsi="宋体"/>
          <w:b/>
          <w:color w:val="auto"/>
          <w:sz w:val="28"/>
          <w:szCs w:val="28"/>
          <w:highlight w:val="none"/>
        </w:rPr>
      </w:pPr>
      <w:bookmarkStart w:id="275" w:name="_Toc25027"/>
      <w:bookmarkStart w:id="276" w:name="_Toc1535_WPSOffice_Level1"/>
      <w:r>
        <w:rPr>
          <w:rFonts w:hint="eastAsia" w:ascii="宋体" w:hAnsi="宋体"/>
          <w:b/>
          <w:color w:val="auto"/>
          <w:sz w:val="28"/>
          <w:szCs w:val="28"/>
          <w:highlight w:val="none"/>
        </w:rPr>
        <w:br w:type="page"/>
      </w:r>
    </w:p>
    <w:p>
      <w:pPr>
        <w:spacing w:line="360" w:lineRule="auto"/>
        <w:jc w:val="center"/>
        <w:rPr>
          <w:color w:val="auto"/>
          <w:sz w:val="28"/>
          <w:szCs w:val="28"/>
          <w:highlight w:val="none"/>
        </w:rPr>
      </w:pPr>
      <w:bookmarkStart w:id="277" w:name="_Toc8916"/>
      <w:bookmarkStart w:id="278" w:name="_Toc12806"/>
      <w:bookmarkStart w:id="279" w:name="_Toc22341"/>
      <w:bookmarkStart w:id="280" w:name="_Toc30658"/>
      <w:bookmarkStart w:id="281" w:name="_Toc32062"/>
      <w:r>
        <w:rPr>
          <w:b/>
          <w:color w:val="auto"/>
          <w:sz w:val="28"/>
          <w:szCs w:val="28"/>
          <w:highlight w:val="none"/>
        </w:rPr>
        <w:t>二</w:t>
      </w:r>
      <w:r>
        <w:rPr>
          <w:rFonts w:hint="eastAsia"/>
          <w:b/>
          <w:color w:val="auto"/>
          <w:sz w:val="28"/>
          <w:szCs w:val="28"/>
          <w:highlight w:val="none"/>
        </w:rPr>
        <w:t>、分项</w:t>
      </w:r>
      <w:r>
        <w:rPr>
          <w:b/>
          <w:color w:val="auto"/>
          <w:sz w:val="28"/>
          <w:szCs w:val="28"/>
          <w:highlight w:val="none"/>
        </w:rPr>
        <w:t>报价明细表</w:t>
      </w:r>
      <w:bookmarkEnd w:id="277"/>
      <w:bookmarkEnd w:id="278"/>
      <w:bookmarkEnd w:id="279"/>
      <w:bookmarkEnd w:id="280"/>
      <w:bookmarkEnd w:id="281"/>
    </w:p>
    <w:tbl>
      <w:tblPr>
        <w:tblStyle w:val="25"/>
        <w:tblpPr w:leftFromText="180" w:rightFromText="180" w:vertAnchor="text" w:horzAnchor="page" w:tblpX="1435" w:tblpY="476"/>
        <w:tblOverlap w:val="never"/>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236"/>
        <w:gridCol w:w="1635"/>
        <w:gridCol w:w="1320"/>
        <w:gridCol w:w="795"/>
        <w:gridCol w:w="795"/>
        <w:gridCol w:w="1050"/>
        <w:gridCol w:w="84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7" w:hRule="atLeast"/>
        </w:trPr>
        <w:tc>
          <w:tcPr>
            <w:tcW w:w="86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r>
              <w:rPr>
                <w:b/>
                <w:bCs/>
                <w:color w:val="auto"/>
                <w:spacing w:val="-4"/>
                <w:kern w:val="24"/>
                <w:sz w:val="24"/>
                <w:highlight w:val="none"/>
              </w:rPr>
              <w:t>序号</w:t>
            </w:r>
          </w:p>
        </w:tc>
        <w:tc>
          <w:tcPr>
            <w:tcW w:w="123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r>
              <w:rPr>
                <w:rFonts w:hint="eastAsia"/>
                <w:b/>
                <w:bCs/>
                <w:color w:val="auto"/>
                <w:spacing w:val="-4"/>
                <w:kern w:val="24"/>
                <w:sz w:val="24"/>
                <w:highlight w:val="none"/>
              </w:rPr>
              <w:t>产品</w:t>
            </w:r>
            <w:r>
              <w:rPr>
                <w:b/>
                <w:bCs/>
                <w:color w:val="auto"/>
                <w:spacing w:val="-4"/>
                <w:kern w:val="24"/>
                <w:sz w:val="24"/>
                <w:highlight w:val="none"/>
              </w:rPr>
              <w:t>名称</w:t>
            </w:r>
          </w:p>
        </w:tc>
        <w:tc>
          <w:tcPr>
            <w:tcW w:w="16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r>
              <w:rPr>
                <w:b/>
                <w:bCs/>
                <w:color w:val="auto"/>
                <w:spacing w:val="-4"/>
                <w:kern w:val="24"/>
                <w:sz w:val="24"/>
                <w:highlight w:val="none"/>
              </w:rPr>
              <w:t>品牌</w:t>
            </w:r>
          </w:p>
        </w:tc>
        <w:tc>
          <w:tcPr>
            <w:tcW w:w="13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r>
              <w:rPr>
                <w:b/>
                <w:bCs/>
                <w:color w:val="auto"/>
                <w:spacing w:val="-4"/>
                <w:kern w:val="24"/>
                <w:sz w:val="24"/>
                <w:highlight w:val="none"/>
              </w:rPr>
              <w:t>型号</w:t>
            </w: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r>
              <w:rPr>
                <w:b/>
                <w:bCs/>
                <w:color w:val="auto"/>
                <w:spacing w:val="-4"/>
                <w:kern w:val="24"/>
                <w:sz w:val="24"/>
                <w:highlight w:val="none"/>
              </w:rPr>
              <w:t>数量</w:t>
            </w: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r>
              <w:rPr>
                <w:b/>
                <w:bCs/>
                <w:color w:val="auto"/>
                <w:spacing w:val="-4"/>
                <w:kern w:val="24"/>
                <w:sz w:val="24"/>
                <w:highlight w:val="none"/>
              </w:rPr>
              <w:t>单位</w:t>
            </w: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r>
              <w:rPr>
                <w:b/>
                <w:bCs/>
                <w:color w:val="auto"/>
                <w:spacing w:val="-4"/>
                <w:kern w:val="24"/>
                <w:sz w:val="24"/>
                <w:highlight w:val="none"/>
              </w:rPr>
              <w:t>单价</w:t>
            </w:r>
          </w:p>
        </w:tc>
        <w:tc>
          <w:tcPr>
            <w:tcW w:w="84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116" w:firstLineChars="50"/>
              <w:jc w:val="center"/>
              <w:rPr>
                <w:b/>
                <w:bCs/>
                <w:color w:val="auto"/>
                <w:spacing w:val="-4"/>
                <w:kern w:val="24"/>
                <w:sz w:val="24"/>
                <w:highlight w:val="none"/>
              </w:rPr>
            </w:pPr>
            <w:r>
              <w:rPr>
                <w:b/>
                <w:bCs/>
                <w:color w:val="auto"/>
                <w:spacing w:val="-4"/>
                <w:kern w:val="24"/>
                <w:sz w:val="24"/>
                <w:highlight w:val="none"/>
              </w:rPr>
              <w:t>合价</w:t>
            </w:r>
          </w:p>
        </w:tc>
        <w:tc>
          <w:tcPr>
            <w:tcW w:w="94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116" w:firstLineChars="50"/>
              <w:rPr>
                <w:b/>
                <w:bCs/>
                <w:color w:val="auto"/>
                <w:spacing w:val="-4"/>
                <w:kern w:val="24"/>
                <w:sz w:val="24"/>
                <w:highlight w:val="none"/>
              </w:rPr>
            </w:pPr>
            <w:r>
              <w:rPr>
                <w:rFonts w:hint="eastAsia"/>
                <w:b/>
                <w:bCs/>
                <w:color w:val="auto"/>
                <w:spacing w:val="-4"/>
                <w:kern w:val="24"/>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863"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spacing w:val="-4"/>
                <w:kern w:val="24"/>
                <w:sz w:val="24"/>
                <w:highlight w:val="none"/>
              </w:rPr>
            </w:pPr>
            <w:r>
              <w:rPr>
                <w:rFonts w:hint="eastAsia" w:ascii="宋体" w:hAnsi="宋体" w:cs="宋体"/>
                <w:color w:val="auto"/>
                <w:kern w:val="0"/>
                <w:sz w:val="24"/>
                <w:highlight w:val="none"/>
                <w:lang w:bidi="ar"/>
              </w:rPr>
              <w:t>1</w:t>
            </w:r>
          </w:p>
        </w:tc>
        <w:tc>
          <w:tcPr>
            <w:tcW w:w="123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bCs/>
                <w:color w:val="auto"/>
                <w:spacing w:val="-4"/>
                <w:kern w:val="24"/>
                <w:sz w:val="24"/>
                <w:highlight w:val="none"/>
              </w:rPr>
            </w:pPr>
          </w:p>
        </w:tc>
        <w:tc>
          <w:tcPr>
            <w:tcW w:w="163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p>
        </w:tc>
        <w:tc>
          <w:tcPr>
            <w:tcW w:w="132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p>
        </w:tc>
        <w:tc>
          <w:tcPr>
            <w:tcW w:w="79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p>
        </w:tc>
        <w:tc>
          <w:tcPr>
            <w:tcW w:w="840" w:type="dxa"/>
            <w:tcBorders>
              <w:top w:val="single" w:color="auto" w:sz="4" w:space="0"/>
              <w:left w:val="single" w:color="auto" w:sz="4" w:space="0"/>
              <w:bottom w:val="single" w:color="auto" w:sz="4" w:space="0"/>
              <w:right w:val="single" w:color="auto" w:sz="4" w:space="0"/>
            </w:tcBorders>
            <w:vAlign w:val="center"/>
          </w:tcPr>
          <w:p>
            <w:pPr>
              <w:spacing w:line="500" w:lineRule="exact"/>
              <w:ind w:firstLine="116" w:firstLineChars="50"/>
              <w:jc w:val="center"/>
              <w:rPr>
                <w:b/>
                <w:bCs/>
                <w:color w:val="auto"/>
                <w:spacing w:val="-4"/>
                <w:kern w:val="24"/>
                <w:sz w:val="24"/>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116" w:firstLineChars="50"/>
              <w:jc w:val="center"/>
              <w:rPr>
                <w:b/>
                <w:bCs/>
                <w:color w:val="auto"/>
                <w:spacing w:val="-4"/>
                <w:kern w:val="24"/>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2099"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b/>
                <w:bCs/>
                <w:color w:val="auto"/>
                <w:spacing w:val="-4"/>
                <w:kern w:val="24"/>
                <w:sz w:val="24"/>
                <w:highlight w:val="none"/>
              </w:rPr>
            </w:pPr>
            <w:r>
              <w:rPr>
                <w:b/>
                <w:bCs/>
                <w:color w:val="auto"/>
                <w:spacing w:val="-4"/>
                <w:kern w:val="24"/>
                <w:sz w:val="24"/>
                <w:highlight w:val="none"/>
              </w:rPr>
              <w:t>合计</w:t>
            </w:r>
          </w:p>
        </w:tc>
        <w:tc>
          <w:tcPr>
            <w:tcW w:w="7380" w:type="dxa"/>
            <w:gridSpan w:val="7"/>
            <w:tcBorders>
              <w:top w:val="single" w:color="auto" w:sz="4" w:space="0"/>
              <w:left w:val="single" w:color="auto" w:sz="4" w:space="0"/>
              <w:bottom w:val="single" w:color="auto" w:sz="4" w:space="0"/>
              <w:right w:val="single" w:color="auto" w:sz="4" w:space="0"/>
            </w:tcBorders>
            <w:vAlign w:val="center"/>
          </w:tcPr>
          <w:p>
            <w:pPr>
              <w:spacing w:line="500" w:lineRule="exact"/>
              <w:jc w:val="left"/>
              <w:rPr>
                <w:b/>
                <w:bCs/>
                <w:color w:val="auto"/>
                <w:spacing w:val="-4"/>
                <w:kern w:val="24"/>
                <w:sz w:val="24"/>
                <w:highlight w:val="none"/>
              </w:rPr>
            </w:pPr>
            <w:r>
              <w:rPr>
                <w:b/>
                <w:bCs/>
                <w:color w:val="auto"/>
                <w:spacing w:val="-4"/>
                <w:kern w:val="24"/>
                <w:sz w:val="24"/>
                <w:highlight w:val="none"/>
              </w:rPr>
              <w:t>大写金额：                      ￥：     元</w:t>
            </w:r>
          </w:p>
        </w:tc>
      </w:tr>
    </w:tbl>
    <w:p>
      <w:pPr>
        <w:pStyle w:val="15"/>
        <w:ind w:left="0" w:leftChars="0" w:firstLine="0" w:firstLineChars="0"/>
        <w:rPr>
          <w:color w:val="auto"/>
          <w:highlight w:val="none"/>
        </w:rPr>
      </w:pPr>
    </w:p>
    <w:p>
      <w:pPr>
        <w:autoSpaceDE w:val="0"/>
        <w:autoSpaceDN w:val="0"/>
        <w:spacing w:line="500" w:lineRule="exact"/>
        <w:rPr>
          <w:color w:val="auto"/>
          <w:sz w:val="24"/>
          <w:highlight w:val="none"/>
        </w:rPr>
      </w:pPr>
    </w:p>
    <w:p>
      <w:pPr>
        <w:spacing w:line="360" w:lineRule="auto"/>
        <w:rPr>
          <w:rFonts w:ascii="宋体" w:hAnsi="宋体"/>
          <w:b/>
          <w:color w:val="auto"/>
          <w:sz w:val="30"/>
          <w:szCs w:val="30"/>
          <w:highlight w:val="none"/>
        </w:rPr>
      </w:pPr>
      <w:r>
        <w:rPr>
          <w:rFonts w:hint="eastAsia"/>
          <w:color w:val="auto"/>
          <w:sz w:val="24"/>
          <w:highlight w:val="none"/>
        </w:rPr>
        <w:t>注：本表需按照本文件第三章采购需求中第一点采购清单中的设备进行填写。</w:t>
      </w:r>
    </w:p>
    <w:p>
      <w:pPr>
        <w:spacing w:line="500" w:lineRule="exact"/>
        <w:rPr>
          <w:rFonts w:ascii="宋体" w:hAnsi="宋体"/>
          <w:color w:val="auto"/>
          <w:sz w:val="24"/>
          <w:highlight w:val="none"/>
        </w:rPr>
      </w:pPr>
    </w:p>
    <w:p>
      <w:pPr>
        <w:pStyle w:val="2"/>
        <w:rPr>
          <w:color w:val="auto"/>
          <w:highlight w:val="none"/>
        </w:rPr>
      </w:pPr>
    </w:p>
    <w:p>
      <w:pPr>
        <w:spacing w:line="500" w:lineRule="exact"/>
        <w:rPr>
          <w:rFonts w:ascii="宋体" w:hAnsi="宋体" w:cs="宋体"/>
          <w:color w:val="auto"/>
          <w:sz w:val="24"/>
          <w:highlight w:val="none"/>
          <w:lang w:val="zh-CN"/>
        </w:rPr>
      </w:pPr>
      <w:r>
        <w:rPr>
          <w:rFonts w:hint="eastAsia" w:ascii="宋体" w:hAnsi="宋体"/>
          <w:color w:val="auto"/>
          <w:sz w:val="24"/>
          <w:highlight w:val="none"/>
        </w:rPr>
        <w:t>供应商全称（加盖单位公章）：</w:t>
      </w:r>
      <w:r>
        <w:rPr>
          <w:rFonts w:hint="eastAsia" w:ascii="宋体" w:hAnsi="宋体" w:cs="宋体"/>
          <w:color w:val="auto"/>
          <w:sz w:val="24"/>
          <w:highlight w:val="none"/>
          <w:u w:val="single"/>
        </w:rPr>
        <w:t>　　　　　　　　　　　　</w:t>
      </w:r>
    </w:p>
    <w:p>
      <w:pPr>
        <w:tabs>
          <w:tab w:val="left" w:pos="13000"/>
        </w:tabs>
        <w:autoSpaceDE w:val="0"/>
        <w:autoSpaceDN w:val="0"/>
        <w:adjustRightInd w:val="0"/>
        <w:spacing w:line="500" w:lineRule="exact"/>
        <w:rPr>
          <w:rFonts w:ascii="宋体" w:hAnsi="宋体" w:cs="宋体"/>
          <w:color w:val="auto"/>
          <w:sz w:val="24"/>
          <w:highlight w:val="none"/>
          <w:lang w:val="zh-CN"/>
        </w:rPr>
      </w:pPr>
      <w:r>
        <w:rPr>
          <w:rFonts w:hint="eastAsia" w:ascii="宋体" w:hAnsi="宋体" w:cs="宋体"/>
          <w:color w:val="auto"/>
          <w:sz w:val="24"/>
          <w:highlight w:val="none"/>
          <w:lang w:val="zh-CN"/>
        </w:rPr>
        <w:t>法定代表人或其委托代理人（签字或盖章）：</w:t>
      </w:r>
      <w:r>
        <w:rPr>
          <w:rFonts w:hint="eastAsia" w:ascii="宋体" w:hAnsi="宋体" w:cs="宋体"/>
          <w:color w:val="auto"/>
          <w:sz w:val="24"/>
          <w:highlight w:val="none"/>
          <w:u w:val="single"/>
        </w:rPr>
        <w:t>　　　　　　　　　　　　</w:t>
      </w:r>
    </w:p>
    <w:p>
      <w:pPr>
        <w:spacing w:line="500" w:lineRule="exact"/>
        <w:jc w:val="left"/>
        <w:rPr>
          <w:rFonts w:ascii="宋体" w:hAnsi="宋体"/>
          <w:b/>
          <w:color w:val="auto"/>
          <w:sz w:val="30"/>
          <w:szCs w:val="30"/>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w:t>
      </w:r>
      <w:r>
        <w:rPr>
          <w:rFonts w:hint="eastAsia" w:ascii="宋体" w:hAnsi="宋体" w:cs="宋体"/>
          <w:color w:val="auto"/>
          <w:sz w:val="24"/>
          <w:highlight w:val="none"/>
        </w:rPr>
        <w:t>年</w:t>
      </w:r>
      <w:r>
        <w:rPr>
          <w:rFonts w:hint="eastAsia" w:ascii="宋体" w:hAnsi="宋体" w:cs="宋体"/>
          <w:color w:val="auto"/>
          <w:sz w:val="24"/>
          <w:highlight w:val="none"/>
          <w:u w:val="single"/>
        </w:rPr>
        <w:t>　　</w:t>
      </w:r>
      <w:r>
        <w:rPr>
          <w:rFonts w:hint="eastAsia" w:ascii="宋体" w:hAnsi="宋体" w:cs="宋体"/>
          <w:color w:val="auto"/>
          <w:sz w:val="24"/>
          <w:highlight w:val="none"/>
        </w:rPr>
        <w:t>月</w:t>
      </w:r>
      <w:r>
        <w:rPr>
          <w:rFonts w:hint="eastAsia" w:ascii="宋体" w:hAnsi="宋体" w:cs="宋体"/>
          <w:color w:val="auto"/>
          <w:sz w:val="24"/>
          <w:highlight w:val="none"/>
          <w:u w:val="single"/>
        </w:rPr>
        <w:t>　　</w:t>
      </w:r>
      <w:r>
        <w:rPr>
          <w:rFonts w:hint="eastAsia" w:ascii="宋体" w:hAnsi="宋体" w:cs="宋体"/>
          <w:color w:val="auto"/>
          <w:sz w:val="24"/>
          <w:highlight w:val="none"/>
        </w:rPr>
        <w:t>日</w:t>
      </w:r>
    </w:p>
    <w:p>
      <w:pPr>
        <w:rPr>
          <w:rFonts w:ascii="宋体" w:hAnsi="宋体"/>
          <w:b/>
          <w:color w:val="auto"/>
          <w:sz w:val="30"/>
          <w:szCs w:val="30"/>
          <w:highlight w:val="none"/>
        </w:rPr>
      </w:pPr>
      <w:r>
        <w:rPr>
          <w:rFonts w:hint="eastAsia" w:ascii="宋体" w:hAnsi="宋体"/>
          <w:b/>
          <w:color w:val="auto"/>
          <w:sz w:val="30"/>
          <w:szCs w:val="30"/>
          <w:highlight w:val="none"/>
        </w:rPr>
        <w:br w:type="page"/>
      </w:r>
    </w:p>
    <w:p>
      <w:pPr>
        <w:spacing w:line="360" w:lineRule="auto"/>
        <w:jc w:val="center"/>
        <w:rPr>
          <w:rFonts w:ascii="宋体" w:hAnsi="宋体"/>
          <w:color w:val="auto"/>
          <w:sz w:val="28"/>
          <w:szCs w:val="28"/>
          <w:highlight w:val="none"/>
        </w:rPr>
      </w:pPr>
      <w:bookmarkStart w:id="282" w:name="_Toc22554"/>
      <w:bookmarkStart w:id="283" w:name="_Toc26664"/>
      <w:bookmarkStart w:id="284" w:name="_Toc3775"/>
      <w:bookmarkStart w:id="285" w:name="_Toc22637"/>
      <w:bookmarkStart w:id="286" w:name="_Toc17295"/>
      <w:r>
        <w:rPr>
          <w:rFonts w:hint="eastAsia" w:ascii="宋体" w:hAnsi="宋体"/>
          <w:b/>
          <w:color w:val="auto"/>
          <w:sz w:val="28"/>
          <w:szCs w:val="28"/>
          <w:highlight w:val="none"/>
        </w:rPr>
        <w:t>三、报价承诺书</w:t>
      </w:r>
      <w:bookmarkEnd w:id="275"/>
      <w:bookmarkEnd w:id="276"/>
      <w:bookmarkEnd w:id="282"/>
      <w:bookmarkEnd w:id="283"/>
      <w:bookmarkEnd w:id="284"/>
      <w:bookmarkEnd w:id="285"/>
      <w:bookmarkEnd w:id="286"/>
    </w:p>
    <w:p>
      <w:pPr>
        <w:spacing w:line="500" w:lineRule="exact"/>
        <w:rPr>
          <w:rFonts w:ascii="宋体" w:hAnsi="宋体"/>
          <w:color w:val="auto"/>
          <w:sz w:val="24"/>
          <w:highlight w:val="none"/>
          <w:u w:val="single"/>
        </w:rPr>
      </w:pPr>
      <w:r>
        <w:rPr>
          <w:rFonts w:hint="eastAsia" w:ascii="宋体" w:hAnsi="宋体"/>
          <w:color w:val="auto"/>
          <w:sz w:val="24"/>
          <w:highlight w:val="none"/>
        </w:rPr>
        <w:t>致：</w:t>
      </w:r>
      <w:r>
        <w:rPr>
          <w:rFonts w:hint="eastAsia" w:ascii="宋体" w:hAnsi="宋体"/>
          <w:color w:val="auto"/>
          <w:sz w:val="24"/>
          <w:highlight w:val="none"/>
          <w:u w:val="single"/>
        </w:rPr>
        <w:t xml:space="preserve">  （采购人）  </w:t>
      </w:r>
    </w:p>
    <w:p>
      <w:pPr>
        <w:spacing w:line="500" w:lineRule="exact"/>
        <w:ind w:firstLine="480" w:firstLineChars="200"/>
        <w:rPr>
          <w:b/>
          <w:color w:val="auto"/>
          <w:sz w:val="44"/>
          <w:szCs w:val="44"/>
          <w:highlight w:val="none"/>
        </w:rPr>
      </w:pPr>
      <w:r>
        <w:rPr>
          <w:rFonts w:hint="eastAsia" w:ascii="宋体" w:hAnsi="宋体"/>
          <w:color w:val="auto"/>
          <w:sz w:val="24"/>
          <w:highlight w:val="none"/>
        </w:rPr>
        <w:t>我单位决定参加由贵方组织的</w:t>
      </w:r>
      <w:r>
        <w:rPr>
          <w:rFonts w:hint="eastAsia" w:ascii="宋体" w:hAnsi="宋体"/>
          <w:color w:val="auto"/>
          <w:sz w:val="24"/>
          <w:highlight w:val="none"/>
          <w:u w:val="single"/>
        </w:rPr>
        <w:t xml:space="preserve">（项目名称）（项目编号）     </w:t>
      </w:r>
      <w:r>
        <w:rPr>
          <w:rFonts w:hint="eastAsia" w:ascii="宋体" w:hAnsi="宋体"/>
          <w:color w:val="auto"/>
          <w:sz w:val="24"/>
          <w:highlight w:val="none"/>
        </w:rPr>
        <w:t>，并提交响应文件。据此函，并承诺如下</w:t>
      </w:r>
      <w:r>
        <w:rPr>
          <w:rFonts w:hint="eastAsia" w:ascii="宋体" w:hAnsi="宋体"/>
          <w:color w:val="auto"/>
          <w:kern w:val="0"/>
          <w:sz w:val="24"/>
          <w:highlight w:val="none"/>
        </w:rPr>
        <w:t>：</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1.询价有效期为递交询价文件截止日起90天。</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2.我方已经详细地阅读了全部询价文件及其附件，包括澄清及更正文件。我方已完全清晰理解询价文件的要求，不存在任何含糊不清和误解之处，同意放弃对这些文件所提出异议和质疑的权利。</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3.我方承诺在本次响应文件中提供的一切文件</w:t>
      </w:r>
      <w:r>
        <w:rPr>
          <w:rFonts w:hint="eastAsia" w:ascii="宋体" w:hAnsi="宋体" w:cs="宋体"/>
          <w:color w:val="auto"/>
          <w:sz w:val="24"/>
          <w:highlight w:val="none"/>
        </w:rPr>
        <w:t>、材料</w:t>
      </w:r>
      <w:r>
        <w:rPr>
          <w:rFonts w:hint="eastAsia" w:ascii="宋体" w:hAnsi="宋体"/>
          <w:color w:val="auto"/>
          <w:sz w:val="24"/>
          <w:highlight w:val="none"/>
        </w:rPr>
        <w:t>均为真实和准确的，绝无任何虚假、伪造和夸大的成份，否则，愿承担相应的后果和法律责任。</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4.我方完全服从和尊重询价小组所作的询价结果，同时清楚理解到报价最低并非意味着必定获得成交的资格。</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5.我方所供货物、服务质量达到国家及行业验收合格标准。保证提供的货物是符合国家质量标准、是中国有关部门手续完备、具有货物合格证的货物。</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6.完全满足“第三章  采购需求”的实质性条款。</w:t>
      </w:r>
    </w:p>
    <w:p>
      <w:pPr>
        <w:spacing w:line="500" w:lineRule="exact"/>
        <w:ind w:firstLine="480" w:firstLineChars="200"/>
        <w:rPr>
          <w:rFonts w:ascii="宋体" w:hAnsi="宋体"/>
          <w:color w:val="auto"/>
          <w:sz w:val="24"/>
          <w:highlight w:val="none"/>
        </w:rPr>
      </w:pPr>
      <w:r>
        <w:rPr>
          <w:rFonts w:hint="eastAsia" w:ascii="宋体" w:hAnsi="宋体"/>
          <w:color w:val="auto"/>
          <w:sz w:val="24"/>
          <w:highlight w:val="none"/>
        </w:rPr>
        <w:t xml:space="preserve">7.一旦我方成交，我们将根据询价文件、响应文件及其有效补充文件的规定，严格按照《中华人民共和国民法典》履行自己的责任和义务。 </w:t>
      </w:r>
    </w:p>
    <w:p>
      <w:pPr>
        <w:spacing w:line="360" w:lineRule="auto"/>
        <w:rPr>
          <w:rFonts w:ascii="宋体" w:hAnsi="宋体"/>
          <w:color w:val="auto"/>
          <w:sz w:val="24"/>
          <w:highlight w:val="none"/>
        </w:rPr>
      </w:pPr>
    </w:p>
    <w:p>
      <w:pPr>
        <w:spacing w:line="360" w:lineRule="auto"/>
        <w:ind w:firstLine="480" w:firstLineChars="200"/>
        <w:rPr>
          <w:rFonts w:ascii="宋体" w:hAnsi="宋体" w:cs="宋体"/>
          <w:color w:val="auto"/>
          <w:sz w:val="24"/>
          <w:highlight w:val="none"/>
          <w:lang w:val="zh-CN"/>
        </w:rPr>
      </w:pPr>
    </w:p>
    <w:p>
      <w:pPr>
        <w:spacing w:line="460" w:lineRule="exact"/>
        <w:ind w:firstLine="480" w:firstLineChars="200"/>
        <w:rPr>
          <w:rFonts w:ascii="宋体" w:hAnsi="宋体" w:cs="宋体"/>
          <w:color w:val="auto"/>
          <w:sz w:val="24"/>
          <w:highlight w:val="none"/>
          <w:lang w:val="zh-CN"/>
        </w:rPr>
      </w:pPr>
      <w:r>
        <w:rPr>
          <w:rFonts w:hint="eastAsia" w:ascii="宋体" w:hAnsi="宋体"/>
          <w:color w:val="auto"/>
          <w:sz w:val="24"/>
          <w:highlight w:val="none"/>
        </w:rPr>
        <w:t>供应商全称（加盖单位公章）：</w:t>
      </w:r>
      <w:r>
        <w:rPr>
          <w:rFonts w:hint="eastAsia" w:ascii="宋体" w:hAnsi="宋体" w:cs="宋体"/>
          <w:color w:val="auto"/>
          <w:sz w:val="24"/>
          <w:highlight w:val="none"/>
          <w:u w:val="single"/>
        </w:rPr>
        <w:t>　　　　　　　　　　　　</w:t>
      </w:r>
    </w:p>
    <w:p>
      <w:pPr>
        <w:tabs>
          <w:tab w:val="left" w:pos="13000"/>
        </w:tabs>
        <w:autoSpaceDE w:val="0"/>
        <w:autoSpaceDN w:val="0"/>
        <w:adjustRightInd w:val="0"/>
        <w:spacing w:line="460" w:lineRule="exact"/>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法定代表人或其委托代理人（签字或盖章）：</w:t>
      </w:r>
      <w:r>
        <w:rPr>
          <w:rFonts w:hint="eastAsia" w:ascii="宋体" w:hAnsi="宋体" w:cs="宋体"/>
          <w:color w:val="auto"/>
          <w:sz w:val="24"/>
          <w:highlight w:val="none"/>
          <w:u w:val="single"/>
        </w:rPr>
        <w:t>　　　　　　  　　　　</w:t>
      </w:r>
    </w:p>
    <w:p>
      <w:pPr>
        <w:spacing w:line="460" w:lineRule="exact"/>
        <w:ind w:firstLine="480" w:firstLineChars="200"/>
        <w:rPr>
          <w:rFonts w:ascii="宋体" w:hAnsi="宋体"/>
          <w:color w:val="auto"/>
          <w:sz w:val="24"/>
          <w:highlight w:val="none"/>
          <w:u w:val="single"/>
        </w:rPr>
      </w:pPr>
      <w:r>
        <w:rPr>
          <w:rFonts w:hint="eastAsia" w:ascii="宋体" w:hAnsi="宋体"/>
          <w:color w:val="auto"/>
          <w:sz w:val="24"/>
          <w:highlight w:val="none"/>
        </w:rPr>
        <w:t>单位地址：</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邮政编码：</w:t>
      </w:r>
      <w:r>
        <w:rPr>
          <w:rFonts w:hint="eastAsia" w:ascii="宋体" w:hAnsi="宋体"/>
          <w:color w:val="auto"/>
          <w:sz w:val="24"/>
          <w:highlight w:val="none"/>
          <w:u w:val="single"/>
        </w:rPr>
        <w:t xml:space="preserve">               </w:t>
      </w:r>
    </w:p>
    <w:p>
      <w:pPr>
        <w:spacing w:line="460" w:lineRule="exact"/>
        <w:ind w:firstLine="480" w:firstLineChars="200"/>
        <w:rPr>
          <w:rFonts w:ascii="宋体" w:hAnsi="宋体"/>
          <w:color w:val="auto"/>
          <w:sz w:val="24"/>
          <w:highlight w:val="none"/>
        </w:rPr>
      </w:pPr>
      <w:r>
        <w:rPr>
          <w:rFonts w:hint="eastAsia" w:ascii="宋体" w:hAnsi="宋体"/>
          <w:color w:val="auto"/>
          <w:sz w:val="24"/>
          <w:highlight w:val="none"/>
        </w:rPr>
        <w:t>电    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传   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60" w:lineRule="exact"/>
        <w:ind w:firstLine="480" w:firstLineChars="200"/>
        <w:rPr>
          <w:rFonts w:ascii="宋体" w:hAnsi="宋体"/>
          <w:color w:val="auto"/>
          <w:sz w:val="24"/>
          <w:highlight w:val="none"/>
          <w:u w:val="single"/>
        </w:rPr>
      </w:pPr>
      <w:r>
        <w:rPr>
          <w:rFonts w:hint="eastAsia" w:ascii="宋体" w:hAnsi="宋体"/>
          <w:color w:val="auto"/>
          <w:sz w:val="24"/>
          <w:highlight w:val="none"/>
        </w:rPr>
        <w:t xml:space="preserve">                                      日  期：</w:t>
      </w:r>
      <w:r>
        <w:rPr>
          <w:rFonts w:hint="eastAsia" w:ascii="宋体" w:hAnsi="宋体"/>
          <w:color w:val="auto"/>
          <w:sz w:val="24"/>
          <w:highlight w:val="none"/>
          <w:u w:val="single"/>
        </w:rPr>
        <w:t xml:space="preserve">                </w:t>
      </w:r>
    </w:p>
    <w:p>
      <w:pPr>
        <w:rPr>
          <w:rFonts w:ascii="宋体" w:hAnsi="宋体"/>
          <w:b/>
          <w:color w:val="auto"/>
          <w:sz w:val="30"/>
          <w:szCs w:val="30"/>
          <w:highlight w:val="none"/>
        </w:rPr>
      </w:pPr>
      <w:bookmarkStart w:id="287" w:name="_Toc6939"/>
      <w:bookmarkStart w:id="288" w:name="_Toc5864_WPSOffice_Level1"/>
      <w:bookmarkStart w:id="289" w:name="_Toc14605"/>
      <w:bookmarkStart w:id="290" w:name="_Toc19418"/>
      <w:bookmarkStart w:id="291" w:name="_Toc2715"/>
      <w:bookmarkStart w:id="292" w:name="_Toc13116"/>
      <w:bookmarkStart w:id="293" w:name="_Toc8086"/>
      <w:r>
        <w:rPr>
          <w:rFonts w:hint="eastAsia" w:ascii="宋体" w:hAnsi="宋体"/>
          <w:b/>
          <w:color w:val="auto"/>
          <w:sz w:val="30"/>
          <w:szCs w:val="30"/>
          <w:highlight w:val="none"/>
        </w:rPr>
        <w:br w:type="page"/>
      </w:r>
    </w:p>
    <w:p>
      <w:pPr>
        <w:spacing w:line="360" w:lineRule="auto"/>
        <w:jc w:val="center"/>
        <w:rPr>
          <w:rFonts w:ascii="宋体" w:hAnsi="宋体"/>
          <w:b/>
          <w:color w:val="auto"/>
          <w:sz w:val="28"/>
          <w:szCs w:val="28"/>
          <w:highlight w:val="none"/>
        </w:rPr>
      </w:pPr>
      <w:r>
        <w:rPr>
          <w:rFonts w:hint="eastAsia" w:ascii="宋体" w:hAnsi="宋体"/>
          <w:b/>
          <w:color w:val="auto"/>
          <w:sz w:val="28"/>
          <w:szCs w:val="28"/>
          <w:highlight w:val="none"/>
        </w:rPr>
        <w:t>四、法定代表人资格证明及供应商法定代表人授权书</w:t>
      </w:r>
      <w:bookmarkEnd w:id="287"/>
      <w:bookmarkEnd w:id="288"/>
      <w:bookmarkEnd w:id="289"/>
      <w:bookmarkEnd w:id="290"/>
      <w:bookmarkEnd w:id="291"/>
      <w:bookmarkEnd w:id="292"/>
      <w:bookmarkEnd w:id="293"/>
    </w:p>
    <w:p>
      <w:pPr>
        <w:spacing w:line="360" w:lineRule="auto"/>
        <w:ind w:firstLine="560" w:firstLineChars="200"/>
        <w:jc w:val="center"/>
        <w:rPr>
          <w:rFonts w:ascii="宋体" w:hAnsi="宋体"/>
          <w:color w:val="auto"/>
          <w:sz w:val="28"/>
          <w:szCs w:val="28"/>
          <w:highlight w:val="none"/>
        </w:rPr>
      </w:pPr>
    </w:p>
    <w:p>
      <w:pPr>
        <w:spacing w:line="500" w:lineRule="exact"/>
        <w:ind w:firstLine="482" w:firstLineChars="200"/>
        <w:jc w:val="center"/>
        <w:rPr>
          <w:b/>
          <w:color w:val="auto"/>
          <w:sz w:val="24"/>
          <w:highlight w:val="none"/>
        </w:rPr>
      </w:pPr>
      <w:bookmarkStart w:id="294" w:name="_Toc22444"/>
      <w:bookmarkStart w:id="295" w:name="_Toc23832"/>
      <w:bookmarkStart w:id="296" w:name="_Toc21228"/>
      <w:bookmarkStart w:id="297" w:name="_Toc5408"/>
      <w:bookmarkStart w:id="298" w:name="_Toc26344"/>
      <w:r>
        <w:rPr>
          <w:rFonts w:hint="eastAsia"/>
          <w:b/>
          <w:color w:val="auto"/>
          <w:sz w:val="24"/>
          <w:highlight w:val="none"/>
        </w:rPr>
        <w:t>（一）法定代表人资格证明书</w:t>
      </w:r>
      <w:bookmarkEnd w:id="294"/>
      <w:bookmarkEnd w:id="295"/>
      <w:bookmarkEnd w:id="296"/>
      <w:bookmarkEnd w:id="297"/>
      <w:bookmarkEnd w:id="298"/>
    </w:p>
    <w:p>
      <w:pPr>
        <w:spacing w:line="500" w:lineRule="exact"/>
        <w:rPr>
          <w:color w:val="auto"/>
          <w:sz w:val="24"/>
          <w:highlight w:val="none"/>
        </w:rPr>
      </w:pPr>
    </w:p>
    <w:p>
      <w:pPr>
        <w:spacing w:line="500" w:lineRule="exact"/>
        <w:ind w:firstLine="480" w:firstLineChars="200"/>
        <w:rPr>
          <w:color w:val="auto"/>
          <w:sz w:val="24"/>
          <w:highlight w:val="none"/>
        </w:rPr>
      </w:pPr>
      <w:r>
        <w:rPr>
          <w:rFonts w:hint="eastAsia"/>
          <w:color w:val="auto"/>
          <w:sz w:val="24"/>
          <w:highlight w:val="none"/>
        </w:rPr>
        <w:t>供应商名称：</w:t>
      </w:r>
      <w:r>
        <w:rPr>
          <w:color w:val="auto"/>
          <w:sz w:val="24"/>
          <w:highlight w:val="none"/>
          <w:u w:val="single"/>
        </w:rPr>
        <w:t xml:space="preserve">                                                        </w:t>
      </w:r>
    </w:p>
    <w:p>
      <w:pPr>
        <w:spacing w:line="500" w:lineRule="exact"/>
        <w:ind w:firstLine="480" w:firstLineChars="200"/>
        <w:rPr>
          <w:color w:val="auto"/>
          <w:sz w:val="24"/>
          <w:highlight w:val="none"/>
        </w:rPr>
      </w:pPr>
    </w:p>
    <w:p>
      <w:pPr>
        <w:spacing w:line="500" w:lineRule="exact"/>
        <w:ind w:firstLine="480" w:firstLineChars="200"/>
        <w:rPr>
          <w:color w:val="auto"/>
          <w:sz w:val="24"/>
          <w:highlight w:val="none"/>
        </w:rPr>
      </w:pPr>
      <w:r>
        <w:rPr>
          <w:rFonts w:hint="eastAsia"/>
          <w:color w:val="auto"/>
          <w:sz w:val="24"/>
          <w:highlight w:val="none"/>
        </w:rPr>
        <w:t>地址：</w:t>
      </w:r>
      <w:r>
        <w:rPr>
          <w:color w:val="auto"/>
          <w:sz w:val="24"/>
          <w:highlight w:val="none"/>
          <w:u w:val="single"/>
        </w:rPr>
        <w:t xml:space="preserve">                                                              </w:t>
      </w:r>
    </w:p>
    <w:p>
      <w:pPr>
        <w:spacing w:line="500" w:lineRule="exact"/>
        <w:ind w:firstLine="480" w:firstLineChars="200"/>
        <w:rPr>
          <w:color w:val="auto"/>
          <w:sz w:val="24"/>
          <w:highlight w:val="none"/>
        </w:rPr>
      </w:pPr>
    </w:p>
    <w:p>
      <w:pPr>
        <w:spacing w:line="500" w:lineRule="exact"/>
        <w:ind w:firstLine="480" w:firstLineChars="200"/>
        <w:rPr>
          <w:color w:val="auto"/>
          <w:sz w:val="24"/>
          <w:highlight w:val="none"/>
        </w:rPr>
      </w:pPr>
      <w:r>
        <w:rPr>
          <w:rFonts w:hint="eastAsia"/>
          <w:color w:val="auto"/>
          <w:sz w:val="24"/>
          <w:highlight w:val="none"/>
        </w:rPr>
        <w:t>姓名：</w:t>
      </w:r>
      <w:r>
        <w:rPr>
          <w:color w:val="auto"/>
          <w:sz w:val="24"/>
          <w:highlight w:val="none"/>
          <w:u w:val="single"/>
        </w:rPr>
        <w:t xml:space="preserve">             </w:t>
      </w:r>
      <w:r>
        <w:rPr>
          <w:rFonts w:hint="eastAsia"/>
          <w:color w:val="auto"/>
          <w:sz w:val="24"/>
          <w:highlight w:val="none"/>
        </w:rPr>
        <w:t>性别：</w:t>
      </w:r>
      <w:r>
        <w:rPr>
          <w:color w:val="auto"/>
          <w:sz w:val="24"/>
          <w:highlight w:val="none"/>
          <w:u w:val="single"/>
        </w:rPr>
        <w:t xml:space="preserve">       </w:t>
      </w:r>
      <w:r>
        <w:rPr>
          <w:rFonts w:hint="eastAsia"/>
          <w:color w:val="auto"/>
          <w:sz w:val="24"/>
          <w:highlight w:val="none"/>
        </w:rPr>
        <w:t>年龄：</w:t>
      </w:r>
      <w:r>
        <w:rPr>
          <w:color w:val="auto"/>
          <w:sz w:val="24"/>
          <w:highlight w:val="none"/>
          <w:u w:val="single"/>
        </w:rPr>
        <w:t xml:space="preserve">        </w:t>
      </w:r>
      <w:r>
        <w:rPr>
          <w:rFonts w:hint="eastAsia"/>
          <w:color w:val="auto"/>
          <w:sz w:val="24"/>
          <w:highlight w:val="none"/>
        </w:rPr>
        <w:t>职务：</w:t>
      </w:r>
      <w:r>
        <w:rPr>
          <w:color w:val="auto"/>
          <w:sz w:val="24"/>
          <w:highlight w:val="none"/>
          <w:u w:val="single"/>
        </w:rPr>
        <w:t xml:space="preserve">                </w:t>
      </w:r>
    </w:p>
    <w:p>
      <w:pPr>
        <w:spacing w:line="500" w:lineRule="exact"/>
        <w:ind w:firstLine="480" w:firstLineChars="200"/>
        <w:rPr>
          <w:color w:val="auto"/>
          <w:sz w:val="24"/>
          <w:highlight w:val="none"/>
        </w:rPr>
      </w:pPr>
    </w:p>
    <w:p>
      <w:pPr>
        <w:spacing w:line="500" w:lineRule="exact"/>
        <w:ind w:firstLine="480" w:firstLineChars="200"/>
        <w:rPr>
          <w:color w:val="auto"/>
          <w:sz w:val="24"/>
          <w:highlight w:val="none"/>
        </w:rPr>
      </w:pPr>
      <w:r>
        <w:rPr>
          <w:rFonts w:hint="eastAsia"/>
          <w:color w:val="auto"/>
          <w:sz w:val="24"/>
          <w:highlight w:val="none"/>
        </w:rPr>
        <w:t>系</w:t>
      </w:r>
      <w:r>
        <w:rPr>
          <w:color w:val="auto"/>
          <w:sz w:val="24"/>
          <w:highlight w:val="none"/>
          <w:u w:val="single"/>
        </w:rPr>
        <w:t xml:space="preserve">                              </w:t>
      </w:r>
      <w:r>
        <w:rPr>
          <w:rFonts w:hint="eastAsia"/>
          <w:color w:val="auto"/>
          <w:sz w:val="24"/>
          <w:highlight w:val="none"/>
        </w:rPr>
        <w:t>（供应商）的法定代表人。</w:t>
      </w:r>
    </w:p>
    <w:p>
      <w:pPr>
        <w:spacing w:line="500" w:lineRule="exact"/>
        <w:ind w:firstLine="480" w:firstLineChars="200"/>
        <w:rPr>
          <w:color w:val="auto"/>
          <w:sz w:val="24"/>
          <w:highlight w:val="none"/>
        </w:rPr>
      </w:pPr>
    </w:p>
    <w:p>
      <w:pPr>
        <w:spacing w:line="500" w:lineRule="exact"/>
        <w:ind w:firstLine="480" w:firstLineChars="200"/>
        <w:rPr>
          <w:color w:val="auto"/>
          <w:sz w:val="24"/>
          <w:highlight w:val="none"/>
        </w:rPr>
      </w:pPr>
    </w:p>
    <w:p>
      <w:pPr>
        <w:spacing w:line="500" w:lineRule="exact"/>
        <w:ind w:firstLine="1440" w:firstLineChars="600"/>
        <w:rPr>
          <w:color w:val="auto"/>
          <w:sz w:val="24"/>
          <w:highlight w:val="none"/>
        </w:rPr>
      </w:pPr>
      <w:r>
        <w:rPr>
          <w:rFonts w:hint="eastAsia"/>
          <w:color w:val="auto"/>
          <w:sz w:val="24"/>
          <w:highlight w:val="none"/>
        </w:rPr>
        <w:t>特此证明</w:t>
      </w:r>
    </w:p>
    <w:p>
      <w:pPr>
        <w:spacing w:line="500" w:lineRule="exact"/>
        <w:ind w:firstLine="4680" w:firstLineChars="1950"/>
        <w:rPr>
          <w:color w:val="auto"/>
          <w:sz w:val="24"/>
          <w:highlight w:val="none"/>
        </w:rPr>
      </w:pPr>
    </w:p>
    <w:p>
      <w:pPr>
        <w:spacing w:line="500" w:lineRule="exact"/>
        <w:jc w:val="center"/>
        <w:rPr>
          <w:color w:val="auto"/>
          <w:sz w:val="24"/>
          <w:highlight w:val="none"/>
        </w:rPr>
      </w:pPr>
      <w:r>
        <w:rPr>
          <w:color w:val="auto"/>
          <w:sz w:val="24"/>
          <w:highlight w:val="none"/>
        </w:rPr>
        <w:t xml:space="preserve">                  </w:t>
      </w:r>
      <w:bookmarkStart w:id="299" w:name="_Toc31247"/>
      <w:bookmarkStart w:id="300" w:name="_Toc2538"/>
      <w:bookmarkStart w:id="301" w:name="_Toc7289"/>
      <w:bookmarkStart w:id="302" w:name="_Toc2210"/>
      <w:bookmarkStart w:id="303" w:name="_Toc3491"/>
      <w:r>
        <w:rPr>
          <w:rFonts w:hint="eastAsia" w:ascii="宋体" w:hAnsi="宋体"/>
          <w:color w:val="auto"/>
          <w:sz w:val="24"/>
          <w:highlight w:val="none"/>
        </w:rPr>
        <w:t>供应商全称（加盖单位公章）</w:t>
      </w:r>
      <w:r>
        <w:rPr>
          <w:rFonts w:hint="eastAsia"/>
          <w:color w:val="auto"/>
          <w:sz w:val="24"/>
          <w:highlight w:val="none"/>
        </w:rPr>
        <w:t>：</w:t>
      </w:r>
      <w:bookmarkEnd w:id="299"/>
      <w:bookmarkEnd w:id="300"/>
      <w:bookmarkEnd w:id="301"/>
      <w:bookmarkEnd w:id="302"/>
      <w:bookmarkEnd w:id="303"/>
      <w:r>
        <w:rPr>
          <w:color w:val="auto"/>
          <w:sz w:val="24"/>
          <w:highlight w:val="none"/>
          <w:u w:val="single"/>
        </w:rPr>
        <w:t xml:space="preserve">               </w:t>
      </w:r>
      <w:r>
        <w:rPr>
          <w:color w:val="auto"/>
          <w:sz w:val="24"/>
          <w:highlight w:val="none"/>
        </w:rPr>
        <w:t xml:space="preserve">   </w:t>
      </w:r>
    </w:p>
    <w:p>
      <w:pPr>
        <w:spacing w:line="500" w:lineRule="exact"/>
        <w:jc w:val="left"/>
        <w:rPr>
          <w:rFonts w:ascii="宋体" w:hAnsi="宋体"/>
          <w:b/>
          <w:color w:val="auto"/>
          <w:sz w:val="30"/>
          <w:szCs w:val="30"/>
          <w:highlight w:val="none"/>
        </w:rPr>
      </w:pPr>
      <w:r>
        <w:rPr>
          <w:rFonts w:hint="eastAsia"/>
          <w:color w:val="auto"/>
          <w:sz w:val="24"/>
          <w:highlight w:val="none"/>
        </w:rPr>
        <w:t xml:space="preserve">                                             </w:t>
      </w:r>
      <w:r>
        <w:rPr>
          <w:rFonts w:hint="eastAsia" w:ascii="宋体" w:hAnsi="宋体" w:cs="宋体"/>
          <w:color w:val="auto"/>
          <w:sz w:val="24"/>
          <w:highlight w:val="none"/>
        </w:rPr>
        <w:t>日期：</w:t>
      </w:r>
      <w:r>
        <w:rPr>
          <w:rFonts w:hint="eastAsia" w:ascii="宋体" w:hAnsi="宋体" w:cs="宋体"/>
          <w:color w:val="auto"/>
          <w:sz w:val="24"/>
          <w:highlight w:val="none"/>
          <w:u w:val="single"/>
        </w:rPr>
        <w:t>　　　</w:t>
      </w:r>
      <w:r>
        <w:rPr>
          <w:rFonts w:hint="eastAsia" w:ascii="宋体" w:hAnsi="宋体" w:cs="宋体"/>
          <w:color w:val="auto"/>
          <w:sz w:val="24"/>
          <w:highlight w:val="none"/>
        </w:rPr>
        <w:t>年</w:t>
      </w:r>
      <w:r>
        <w:rPr>
          <w:rFonts w:hint="eastAsia" w:ascii="宋体" w:hAnsi="宋体" w:cs="宋体"/>
          <w:color w:val="auto"/>
          <w:sz w:val="24"/>
          <w:highlight w:val="none"/>
          <w:u w:val="single"/>
        </w:rPr>
        <w:t>　　</w:t>
      </w:r>
      <w:r>
        <w:rPr>
          <w:rFonts w:hint="eastAsia" w:ascii="宋体" w:hAnsi="宋体" w:cs="宋体"/>
          <w:color w:val="auto"/>
          <w:sz w:val="24"/>
          <w:highlight w:val="none"/>
        </w:rPr>
        <w:t>月</w:t>
      </w:r>
      <w:r>
        <w:rPr>
          <w:rFonts w:hint="eastAsia" w:ascii="宋体" w:hAnsi="宋体" w:cs="宋体"/>
          <w:color w:val="auto"/>
          <w:sz w:val="24"/>
          <w:highlight w:val="none"/>
          <w:u w:val="single"/>
        </w:rPr>
        <w:t>　　</w:t>
      </w:r>
      <w:r>
        <w:rPr>
          <w:rFonts w:hint="eastAsia" w:ascii="宋体" w:hAnsi="宋体" w:cs="宋体"/>
          <w:color w:val="auto"/>
          <w:sz w:val="24"/>
          <w:highlight w:val="none"/>
        </w:rPr>
        <w:t>日</w:t>
      </w:r>
    </w:p>
    <w:p>
      <w:pPr>
        <w:spacing w:line="500" w:lineRule="exact"/>
        <w:ind w:firstLine="480" w:firstLineChars="200"/>
        <w:jc w:val="center"/>
        <w:rPr>
          <w:color w:val="auto"/>
          <w:sz w:val="24"/>
          <w:highlight w:val="none"/>
        </w:rPr>
      </w:pPr>
    </w:p>
    <w:p>
      <w:pPr>
        <w:spacing w:line="500" w:lineRule="exact"/>
        <w:ind w:firstLine="480" w:firstLineChars="200"/>
        <w:jc w:val="center"/>
        <w:rPr>
          <w:color w:val="auto"/>
          <w:sz w:val="24"/>
          <w:highlight w:val="none"/>
        </w:rPr>
      </w:pPr>
    </w:p>
    <w:p>
      <w:pPr>
        <w:spacing w:line="500" w:lineRule="exact"/>
        <w:jc w:val="center"/>
        <w:rPr>
          <w:b/>
          <w:color w:val="auto"/>
          <w:sz w:val="24"/>
          <w:highlight w:val="none"/>
        </w:rPr>
      </w:pPr>
      <w:r>
        <w:rPr>
          <w:rFonts w:hint="eastAsia" w:ascii="宋体" w:hAnsi="宋体"/>
          <w:b/>
          <w:color w:val="auto"/>
          <w:sz w:val="24"/>
          <w:highlight w:val="none"/>
        </w:rPr>
        <w:t>注：附法定代表人身份证（正、反面）复印件。</w:t>
      </w:r>
      <w:r>
        <w:rPr>
          <w:b/>
          <w:color w:val="auto"/>
          <w:sz w:val="24"/>
          <w:highlight w:val="none"/>
        </w:rPr>
        <w:br w:type="page"/>
      </w:r>
    </w:p>
    <w:p>
      <w:pPr>
        <w:spacing w:line="500" w:lineRule="exact"/>
        <w:jc w:val="center"/>
        <w:rPr>
          <w:b/>
          <w:bCs/>
          <w:color w:val="auto"/>
          <w:sz w:val="24"/>
          <w:highlight w:val="none"/>
        </w:rPr>
      </w:pPr>
      <w:bookmarkStart w:id="304" w:name="_Toc401"/>
      <w:bookmarkStart w:id="305" w:name="_Toc8227"/>
      <w:bookmarkStart w:id="306" w:name="_Toc17745"/>
      <w:bookmarkStart w:id="307" w:name="_Toc21048"/>
      <w:bookmarkStart w:id="308" w:name="_Toc16191"/>
      <w:r>
        <w:rPr>
          <w:rFonts w:hint="eastAsia"/>
          <w:b/>
          <w:color w:val="auto"/>
          <w:sz w:val="24"/>
          <w:highlight w:val="none"/>
        </w:rPr>
        <w:t>（二）</w:t>
      </w:r>
      <w:r>
        <w:rPr>
          <w:rFonts w:hint="eastAsia" w:cs="宋体"/>
          <w:b/>
          <w:bCs/>
          <w:color w:val="auto"/>
          <w:sz w:val="24"/>
          <w:highlight w:val="none"/>
        </w:rPr>
        <w:t>法定代表人授权委托书</w:t>
      </w:r>
      <w:bookmarkEnd w:id="304"/>
      <w:bookmarkEnd w:id="305"/>
      <w:bookmarkEnd w:id="306"/>
      <w:bookmarkEnd w:id="307"/>
      <w:bookmarkEnd w:id="308"/>
    </w:p>
    <w:p>
      <w:pPr>
        <w:spacing w:line="500" w:lineRule="exact"/>
        <w:ind w:firstLine="720" w:firstLineChars="300"/>
        <w:rPr>
          <w:rFonts w:cs="宋体"/>
          <w:color w:val="auto"/>
          <w:sz w:val="24"/>
          <w:highlight w:val="none"/>
        </w:rPr>
      </w:pPr>
    </w:p>
    <w:p>
      <w:pPr>
        <w:spacing w:line="500" w:lineRule="exact"/>
        <w:ind w:firstLine="480" w:firstLineChars="200"/>
        <w:rPr>
          <w:rFonts w:ascii="宋体" w:hAnsi="宋体" w:cs="宋体"/>
          <w:b/>
          <w:bCs/>
          <w:color w:val="auto"/>
          <w:sz w:val="24"/>
          <w:highlight w:val="none"/>
          <w:u w:val="single"/>
        </w:rPr>
      </w:pPr>
      <w:r>
        <w:rPr>
          <w:rFonts w:hint="eastAsia" w:ascii="宋体" w:hAnsi="宋体" w:cs="宋体"/>
          <w:color w:val="auto"/>
          <w:sz w:val="24"/>
          <w:highlight w:val="none"/>
        </w:rPr>
        <w:t>本授权委托书声明：我</w:t>
      </w:r>
      <w:r>
        <w:rPr>
          <w:rFonts w:hint="eastAsia" w:ascii="宋体" w:hAnsi="宋体" w:cs="宋体"/>
          <w:color w:val="auto"/>
          <w:sz w:val="24"/>
          <w:highlight w:val="none"/>
          <w:u w:val="single"/>
        </w:rPr>
        <w:t xml:space="preserve">      (姓名)</w:t>
      </w:r>
      <w:r>
        <w:rPr>
          <w:rFonts w:hint="eastAsia" w:ascii="宋体" w:hAnsi="宋体" w:cs="宋体"/>
          <w:color w:val="auto"/>
          <w:sz w:val="24"/>
          <w:highlight w:val="none"/>
        </w:rPr>
        <w:t>系</w:t>
      </w:r>
      <w:r>
        <w:rPr>
          <w:rFonts w:hint="eastAsia" w:ascii="宋体" w:hAnsi="宋体" w:cs="宋体"/>
          <w:color w:val="auto"/>
          <w:sz w:val="24"/>
          <w:highlight w:val="none"/>
          <w:u w:val="single"/>
        </w:rPr>
        <w:t xml:space="preserve">            (供应商名称)</w:t>
      </w:r>
      <w:r>
        <w:rPr>
          <w:rFonts w:hint="eastAsia" w:ascii="宋体" w:hAnsi="宋体" w:cs="宋体"/>
          <w:color w:val="auto"/>
          <w:sz w:val="24"/>
          <w:highlight w:val="none"/>
        </w:rPr>
        <w:t>的法定代表人，现授权委托我单位的</w:t>
      </w:r>
      <w:r>
        <w:rPr>
          <w:rFonts w:hint="eastAsia" w:ascii="宋体" w:hAnsi="宋体" w:cs="宋体"/>
          <w:color w:val="auto"/>
          <w:sz w:val="24"/>
          <w:highlight w:val="none"/>
          <w:u w:val="single"/>
        </w:rPr>
        <w:t xml:space="preserve">        (姓名)</w:t>
      </w:r>
      <w:r>
        <w:rPr>
          <w:rFonts w:hint="eastAsia" w:ascii="宋体" w:hAnsi="宋体" w:cs="宋体"/>
          <w:color w:val="auto"/>
          <w:sz w:val="24"/>
          <w:highlight w:val="none"/>
        </w:rPr>
        <w:t>为我公司代理人，以公司名义参加</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（项目名称）</w:t>
      </w:r>
      <w:r>
        <w:rPr>
          <w:rFonts w:hint="eastAsia" w:ascii="宋体" w:hAnsi="宋体" w:cs="宋体"/>
          <w:color w:val="auto"/>
          <w:sz w:val="24"/>
          <w:highlight w:val="none"/>
          <w:u w:val="single"/>
        </w:rPr>
        <w:t>（项目编号）</w:t>
      </w:r>
      <w:r>
        <w:rPr>
          <w:rFonts w:hint="eastAsia" w:ascii="宋体" w:hAnsi="宋体" w:cs="宋体"/>
          <w:color w:val="auto"/>
          <w:sz w:val="24"/>
          <w:highlight w:val="none"/>
        </w:rPr>
        <w:t>的询价活动。代理人在询价会议过程中所签署的一切文件和处理与之有关的一切事务，我均予以承认。</w:t>
      </w:r>
    </w:p>
    <w:p>
      <w:pPr>
        <w:spacing w:line="500" w:lineRule="exact"/>
        <w:ind w:firstLine="480" w:firstLineChars="200"/>
        <w:rPr>
          <w:color w:val="auto"/>
          <w:sz w:val="24"/>
          <w:highlight w:val="none"/>
          <w:u w:val="single"/>
        </w:rPr>
      </w:pPr>
      <w:r>
        <w:rPr>
          <w:rFonts w:hint="eastAsia" w:ascii="宋体" w:hAnsi="宋体" w:cs="宋体"/>
          <w:color w:val="auto"/>
          <w:sz w:val="24"/>
          <w:highlight w:val="none"/>
        </w:rPr>
        <w:t>代理人（签字）</w:t>
      </w:r>
      <w:r>
        <w:rPr>
          <w:rFonts w:hint="eastAsia" w:ascii="宋体" w:hAnsi="宋体" w:cs="宋体"/>
          <w:color w:val="auto"/>
          <w:kern w:val="0"/>
          <w:sz w:val="24"/>
          <w:highlight w:val="none"/>
          <w:lang w:bidi="ar"/>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      性别：</w:t>
      </w:r>
      <w:r>
        <w:rPr>
          <w:rFonts w:hint="eastAsia" w:ascii="宋体" w:hAnsi="宋体" w:cs="宋体"/>
          <w:color w:val="auto"/>
          <w:sz w:val="24"/>
          <w:highlight w:val="none"/>
          <w:u w:val="single"/>
        </w:rPr>
        <w:t xml:space="preserve">        </w:t>
      </w:r>
      <w:r>
        <w:rPr>
          <w:color w:val="auto"/>
          <w:sz w:val="24"/>
          <w:highlight w:val="none"/>
          <w:u w:val="single"/>
        </w:rPr>
        <w:t xml:space="preserve">   </w:t>
      </w:r>
      <w:r>
        <w:rPr>
          <w:color w:val="auto"/>
          <w:sz w:val="24"/>
          <w:highlight w:val="none"/>
        </w:rPr>
        <w:t xml:space="preserve">    </w:t>
      </w:r>
      <w:r>
        <w:rPr>
          <w:rFonts w:hint="eastAsia"/>
          <w:color w:val="auto"/>
          <w:sz w:val="24"/>
          <w:highlight w:val="none"/>
        </w:rPr>
        <w:t>年龄：</w:t>
      </w:r>
      <w:r>
        <w:rPr>
          <w:color w:val="auto"/>
          <w:sz w:val="24"/>
          <w:highlight w:val="none"/>
          <w:u w:val="single"/>
        </w:rPr>
        <w:t xml:space="preserve">          </w:t>
      </w:r>
    </w:p>
    <w:p>
      <w:pPr>
        <w:spacing w:line="500" w:lineRule="exact"/>
        <w:ind w:firstLine="480" w:firstLineChars="200"/>
        <w:rPr>
          <w:color w:val="auto"/>
          <w:sz w:val="24"/>
          <w:highlight w:val="none"/>
          <w:u w:val="single"/>
        </w:rPr>
      </w:pPr>
      <w:r>
        <w:rPr>
          <w:rFonts w:hint="eastAsia"/>
          <w:color w:val="auto"/>
          <w:sz w:val="24"/>
          <w:highlight w:val="none"/>
        </w:rPr>
        <w:t>部</w:t>
      </w:r>
      <w:r>
        <w:rPr>
          <w:color w:val="auto"/>
          <w:sz w:val="24"/>
          <w:highlight w:val="none"/>
        </w:rPr>
        <w:t xml:space="preserve">  </w:t>
      </w:r>
      <w:r>
        <w:rPr>
          <w:rFonts w:hint="eastAsia"/>
          <w:color w:val="auto"/>
          <w:sz w:val="24"/>
          <w:highlight w:val="none"/>
        </w:rPr>
        <w:t>门：</w:t>
      </w:r>
      <w:r>
        <w:rPr>
          <w:color w:val="auto"/>
          <w:sz w:val="24"/>
          <w:highlight w:val="none"/>
          <w:u w:val="single"/>
        </w:rPr>
        <w:t xml:space="preserve">                  </w:t>
      </w:r>
      <w:r>
        <w:rPr>
          <w:color w:val="auto"/>
          <w:sz w:val="24"/>
          <w:highlight w:val="none"/>
        </w:rPr>
        <w:t xml:space="preserve">      </w:t>
      </w:r>
      <w:r>
        <w:rPr>
          <w:rFonts w:hint="eastAsia"/>
          <w:color w:val="auto"/>
          <w:sz w:val="24"/>
          <w:highlight w:val="none"/>
        </w:rPr>
        <w:t>职务：</w:t>
      </w:r>
      <w:r>
        <w:rPr>
          <w:color w:val="auto"/>
          <w:sz w:val="24"/>
          <w:highlight w:val="none"/>
          <w:u w:val="single"/>
        </w:rPr>
        <w:t xml:space="preserve">           </w:t>
      </w:r>
    </w:p>
    <w:p>
      <w:pPr>
        <w:spacing w:line="500" w:lineRule="exact"/>
        <w:ind w:firstLine="480" w:firstLineChars="200"/>
        <w:rPr>
          <w:color w:val="auto"/>
          <w:sz w:val="24"/>
          <w:highlight w:val="none"/>
        </w:rPr>
      </w:pPr>
      <w:r>
        <w:rPr>
          <w:rFonts w:hint="eastAsia" w:ascii="宋体" w:hAnsi="宋体" w:cs="宋体"/>
          <w:color w:val="auto"/>
          <w:sz w:val="24"/>
          <w:highlight w:val="none"/>
        </w:rPr>
        <w:t>授权有效期：</w:t>
      </w:r>
      <w:r>
        <w:rPr>
          <w:rFonts w:hint="eastAsia" w:ascii="宋体" w:hAnsi="宋体" w:cs="宋体"/>
          <w:color w:val="auto"/>
          <w:sz w:val="24"/>
          <w:highlight w:val="none"/>
          <w:u w:val="single"/>
        </w:rPr>
        <w:t xml:space="preserve">    自授权之日起至询价有效期结束    </w:t>
      </w:r>
    </w:p>
    <w:p>
      <w:pPr>
        <w:spacing w:line="500" w:lineRule="exact"/>
        <w:ind w:firstLine="480" w:firstLineChars="200"/>
        <w:rPr>
          <w:color w:val="auto"/>
          <w:sz w:val="24"/>
          <w:highlight w:val="none"/>
        </w:rPr>
      </w:pPr>
      <w:r>
        <w:rPr>
          <w:color w:val="auto"/>
          <w:sz w:val="24"/>
          <w:highlight w:val="none"/>
        </w:rPr>
        <w:t>代理人无转委权。特此委托。</w:t>
      </w:r>
    </w:p>
    <w:p>
      <w:pPr>
        <w:spacing w:line="500" w:lineRule="exact"/>
        <w:ind w:firstLine="480" w:firstLineChars="200"/>
        <w:rPr>
          <w:color w:val="auto"/>
          <w:sz w:val="24"/>
          <w:highlight w:val="none"/>
        </w:rPr>
      </w:pPr>
    </w:p>
    <w:p>
      <w:pPr>
        <w:spacing w:line="500" w:lineRule="exact"/>
        <w:ind w:firstLine="480" w:firstLineChars="200"/>
        <w:rPr>
          <w:color w:val="auto"/>
          <w:sz w:val="24"/>
          <w:highlight w:val="none"/>
        </w:rPr>
      </w:pPr>
    </w:p>
    <w:p>
      <w:pPr>
        <w:spacing w:line="460" w:lineRule="exact"/>
        <w:ind w:firstLine="480" w:firstLineChars="200"/>
        <w:rPr>
          <w:rFonts w:ascii="宋体" w:hAnsi="宋体" w:cs="宋体"/>
          <w:color w:val="auto"/>
          <w:sz w:val="24"/>
          <w:highlight w:val="none"/>
          <w:lang w:val="zh-CN"/>
        </w:rPr>
      </w:pPr>
      <w:r>
        <w:rPr>
          <w:rFonts w:hint="eastAsia" w:ascii="宋体" w:hAnsi="宋体"/>
          <w:color w:val="auto"/>
          <w:sz w:val="24"/>
          <w:highlight w:val="none"/>
        </w:rPr>
        <w:t>供应商全称（加盖单位公章）：</w:t>
      </w:r>
      <w:r>
        <w:rPr>
          <w:rFonts w:hint="eastAsia" w:ascii="宋体" w:hAnsi="宋体" w:cs="宋体"/>
          <w:color w:val="auto"/>
          <w:sz w:val="24"/>
          <w:highlight w:val="none"/>
          <w:u w:val="single"/>
        </w:rPr>
        <w:t>　　　　　　　　　　　　</w:t>
      </w:r>
    </w:p>
    <w:p>
      <w:pPr>
        <w:spacing w:line="50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lang w:val="zh-CN"/>
        </w:rPr>
        <w:t>法定代表人（签字或盖章）：</w:t>
      </w:r>
      <w:r>
        <w:rPr>
          <w:rFonts w:hint="eastAsia" w:ascii="宋体" w:hAnsi="宋体" w:cs="宋体"/>
          <w:color w:val="auto"/>
          <w:sz w:val="24"/>
          <w:highlight w:val="none"/>
          <w:u w:val="single"/>
        </w:rPr>
        <w:t>　　　　　     　  　　　　</w:t>
      </w:r>
    </w:p>
    <w:p>
      <w:pPr>
        <w:spacing w:line="500" w:lineRule="exact"/>
        <w:ind w:firstLine="480" w:firstLineChars="200"/>
        <w:rPr>
          <w:color w:val="auto"/>
          <w:sz w:val="24"/>
          <w:highlight w:val="none"/>
        </w:rPr>
      </w:pPr>
      <w:r>
        <w:rPr>
          <w:rFonts w:hint="eastAsia"/>
          <w:color w:val="auto"/>
          <w:sz w:val="24"/>
          <w:highlight w:val="none"/>
        </w:rPr>
        <w:t>日期：</w:t>
      </w: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rPr>
        <w:t>日</w:t>
      </w:r>
    </w:p>
    <w:p>
      <w:pPr>
        <w:spacing w:line="500" w:lineRule="exact"/>
        <w:ind w:firstLine="3840" w:firstLineChars="1600"/>
        <w:rPr>
          <w:color w:val="auto"/>
          <w:sz w:val="24"/>
          <w:highlight w:val="none"/>
        </w:rPr>
      </w:pPr>
    </w:p>
    <w:p>
      <w:pPr>
        <w:spacing w:line="360" w:lineRule="auto"/>
        <w:ind w:firstLine="482" w:firstLineChars="200"/>
        <w:rPr>
          <w:rFonts w:ascii="宋体" w:hAnsi="宋体"/>
          <w:b/>
          <w:color w:val="auto"/>
          <w:sz w:val="28"/>
          <w:szCs w:val="28"/>
          <w:highlight w:val="none"/>
        </w:rPr>
      </w:pPr>
      <w:r>
        <w:rPr>
          <w:rFonts w:hint="eastAsia" w:ascii="宋体" w:hAnsi="宋体"/>
          <w:b/>
          <w:color w:val="auto"/>
          <w:sz w:val="24"/>
          <w:highlight w:val="none"/>
        </w:rPr>
        <w:t>注：附代理人身份证（正、反面）复印件，如申请人由法定代表人亲自签署响应文件并参与相关活动，则不需要办理授权。如由被授权的代理人签署上述文件，则必须按本格式规定填报并提交授权书，否则被授权的代理人将不被认可。</w:t>
      </w:r>
      <w:bookmarkStart w:id="309" w:name="_Toc1851"/>
      <w:r>
        <w:rPr>
          <w:rFonts w:hint="eastAsia" w:ascii="宋体" w:hAnsi="宋体"/>
          <w:b/>
          <w:color w:val="auto"/>
          <w:sz w:val="28"/>
          <w:szCs w:val="28"/>
          <w:highlight w:val="none"/>
        </w:rPr>
        <w:br w:type="page"/>
      </w:r>
    </w:p>
    <w:bookmarkEnd w:id="309"/>
    <w:p>
      <w:pPr>
        <w:widowControl/>
        <w:adjustRightInd w:val="0"/>
        <w:snapToGrid w:val="0"/>
        <w:spacing w:after="156" w:afterLines="50" w:line="360" w:lineRule="auto"/>
        <w:jc w:val="center"/>
        <w:rPr>
          <w:rFonts w:ascii="宋体" w:hAnsi="宋体"/>
          <w:b/>
          <w:color w:val="auto"/>
          <w:sz w:val="28"/>
          <w:szCs w:val="28"/>
          <w:highlight w:val="none"/>
        </w:rPr>
      </w:pPr>
      <w:bookmarkStart w:id="310" w:name="_Toc14800"/>
      <w:bookmarkStart w:id="311" w:name="_Toc20463_WPSOffice_Level1"/>
      <w:bookmarkStart w:id="312" w:name="_Toc15256"/>
      <w:bookmarkStart w:id="313" w:name="_Toc27938"/>
      <w:bookmarkStart w:id="314" w:name="_Toc29815"/>
      <w:bookmarkStart w:id="315" w:name="_Toc21879"/>
      <w:bookmarkStart w:id="316" w:name="_Toc25637"/>
      <w:r>
        <w:rPr>
          <w:rFonts w:hint="eastAsia" w:ascii="宋体" w:hAnsi="宋体"/>
          <w:b/>
          <w:color w:val="auto"/>
          <w:sz w:val="28"/>
          <w:szCs w:val="28"/>
          <w:highlight w:val="none"/>
        </w:rPr>
        <w:t>五、资格证明文件</w:t>
      </w:r>
      <w:bookmarkEnd w:id="310"/>
      <w:bookmarkEnd w:id="311"/>
      <w:bookmarkEnd w:id="312"/>
      <w:bookmarkEnd w:id="313"/>
      <w:bookmarkEnd w:id="314"/>
      <w:bookmarkEnd w:id="315"/>
      <w:bookmarkEnd w:id="316"/>
    </w:p>
    <w:bookmarkEnd w:id="234"/>
    <w:tbl>
      <w:tblPr>
        <w:tblStyle w:val="25"/>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76"/>
        <w:gridCol w:w="6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8" w:type="dxa"/>
            <w:vAlign w:val="center"/>
          </w:tcPr>
          <w:p>
            <w:pPr>
              <w:widowControl/>
              <w:spacing w:line="400" w:lineRule="exact"/>
              <w:jc w:val="center"/>
              <w:rPr>
                <w:rFonts w:ascii="宋体" w:hAnsi="宋体" w:cs="宋体"/>
                <w:b/>
                <w:bCs/>
                <w:color w:val="auto"/>
                <w:spacing w:val="-4"/>
                <w:kern w:val="0"/>
                <w:sz w:val="24"/>
                <w:highlight w:val="none"/>
              </w:rPr>
            </w:pPr>
            <w:bookmarkStart w:id="317" w:name="_Toc3703"/>
            <w:bookmarkStart w:id="318" w:name="_Toc18677"/>
            <w:bookmarkStart w:id="319" w:name="_Toc6040"/>
            <w:r>
              <w:rPr>
                <w:rFonts w:hint="eastAsia" w:ascii="宋体" w:hAnsi="宋体" w:cs="宋体"/>
                <w:b/>
                <w:bCs/>
                <w:color w:val="auto"/>
                <w:spacing w:val="-4"/>
                <w:kern w:val="0"/>
                <w:sz w:val="24"/>
                <w:highlight w:val="none"/>
              </w:rPr>
              <w:t>序号</w:t>
            </w:r>
          </w:p>
        </w:tc>
        <w:tc>
          <w:tcPr>
            <w:tcW w:w="1876" w:type="dxa"/>
            <w:vAlign w:val="center"/>
          </w:tcPr>
          <w:p>
            <w:pPr>
              <w:widowControl/>
              <w:spacing w:line="400" w:lineRule="exact"/>
              <w:jc w:val="center"/>
              <w:rPr>
                <w:rFonts w:ascii="宋体" w:hAnsi="宋体" w:cs="宋体"/>
                <w:b/>
                <w:bCs/>
                <w:color w:val="auto"/>
                <w:spacing w:val="-4"/>
                <w:kern w:val="0"/>
                <w:sz w:val="24"/>
                <w:highlight w:val="none"/>
              </w:rPr>
            </w:pPr>
            <w:r>
              <w:rPr>
                <w:rFonts w:hint="eastAsia" w:ascii="宋体" w:hAnsi="宋体" w:cs="宋体"/>
                <w:b/>
                <w:bCs/>
                <w:color w:val="auto"/>
                <w:spacing w:val="-4"/>
                <w:kern w:val="0"/>
                <w:sz w:val="24"/>
                <w:highlight w:val="none"/>
              </w:rPr>
              <w:t>审查内容</w:t>
            </w:r>
          </w:p>
        </w:tc>
        <w:tc>
          <w:tcPr>
            <w:tcW w:w="6949" w:type="dxa"/>
            <w:vAlign w:val="center"/>
          </w:tcPr>
          <w:p>
            <w:pPr>
              <w:widowControl/>
              <w:spacing w:line="400" w:lineRule="exact"/>
              <w:jc w:val="center"/>
              <w:rPr>
                <w:rFonts w:ascii="宋体" w:hAnsi="宋体" w:cs="宋体"/>
                <w:b/>
                <w:bCs/>
                <w:color w:val="auto"/>
                <w:spacing w:val="-4"/>
                <w:kern w:val="0"/>
                <w:sz w:val="24"/>
                <w:highlight w:val="none"/>
              </w:rPr>
            </w:pPr>
            <w:r>
              <w:rPr>
                <w:rFonts w:hint="eastAsia" w:ascii="宋体" w:hAnsi="宋体" w:cs="宋体"/>
                <w:b/>
                <w:bCs/>
                <w:color w:val="auto"/>
                <w:spacing w:val="-4"/>
                <w:kern w:val="0"/>
                <w:sz w:val="24"/>
                <w:highlight w:val="none"/>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38"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1</w:t>
            </w:r>
          </w:p>
        </w:tc>
        <w:tc>
          <w:tcPr>
            <w:tcW w:w="1876"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具有独立承担民事责任的能力</w:t>
            </w:r>
          </w:p>
        </w:tc>
        <w:tc>
          <w:tcPr>
            <w:tcW w:w="6949" w:type="dxa"/>
            <w:vAlign w:val="center"/>
          </w:tcPr>
          <w:p>
            <w:pPr>
              <w:spacing w:line="400" w:lineRule="exact"/>
              <w:rPr>
                <w:rFonts w:ascii="宋体" w:hAnsi="宋体" w:cs="宋体"/>
                <w:color w:val="auto"/>
                <w:spacing w:val="-4"/>
                <w:kern w:val="0"/>
                <w:sz w:val="24"/>
                <w:highlight w:val="none"/>
                <w:lang w:val="zh-CN"/>
              </w:rPr>
            </w:pPr>
            <w:r>
              <w:rPr>
                <w:rFonts w:hint="eastAsia" w:ascii="宋体" w:hAnsi="宋体" w:cs="宋体"/>
                <w:color w:val="auto"/>
                <w:spacing w:val="-4"/>
                <w:kern w:val="0"/>
                <w:sz w:val="24"/>
                <w:highlight w:val="none"/>
              </w:rPr>
              <w:t>提供法人或者其他组织的营业执照等证明文件；</w:t>
            </w:r>
            <w:r>
              <w:rPr>
                <w:rFonts w:hint="eastAsia" w:ascii="宋体" w:hAnsi="宋体" w:cs="宋体"/>
                <w:color w:val="auto"/>
                <w:spacing w:val="-4"/>
                <w:kern w:val="0"/>
                <w:sz w:val="24"/>
                <w:highlight w:val="none"/>
                <w:lang w:val="zh-CN"/>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8"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2</w:t>
            </w:r>
          </w:p>
        </w:tc>
        <w:tc>
          <w:tcPr>
            <w:tcW w:w="1876"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具有良好的商业信誉和健全的财务会计制度</w:t>
            </w:r>
          </w:p>
        </w:tc>
        <w:tc>
          <w:tcPr>
            <w:tcW w:w="6949" w:type="dxa"/>
            <w:vAlign w:val="center"/>
          </w:tcPr>
          <w:p>
            <w:pPr>
              <w:pStyle w:val="15"/>
              <w:spacing w:after="0" w:line="400" w:lineRule="exact"/>
              <w:ind w:left="0" w:leftChars="0" w:firstLine="0" w:firstLineChars="0"/>
              <w:rPr>
                <w:rFonts w:ascii="宋体" w:hAnsi="宋体" w:cs="宋体"/>
                <w:color w:val="auto"/>
                <w:spacing w:val="-4"/>
                <w:kern w:val="0"/>
                <w:sz w:val="24"/>
                <w:highlight w:val="none"/>
                <w:lang w:val="zh-CN"/>
              </w:rPr>
            </w:pPr>
            <w:r>
              <w:rPr>
                <w:rFonts w:hint="eastAsia" w:ascii="宋体" w:hAnsi="宋体" w:cs="宋体"/>
                <w:color w:val="auto"/>
                <w:sz w:val="24"/>
                <w:highlight w:val="none"/>
              </w:rPr>
              <w:t>内容可为以下两者之一：①提供2021年至今任意一年经审计的财务状况报告（至少包含审计报告、资产负债表、利润表、现金流量表），成立未满1年或成立至今未产生经营活动的供应商提供自成立至今的财务报表或财务情况说明；②提供自响应文件提交截止时间前三个月内基本开户银行出具的资信证明</w:t>
            </w:r>
            <w:r>
              <w:rPr>
                <w:rFonts w:hint="eastAsia" w:ascii="宋体" w:hAnsi="宋体" w:cs="宋体"/>
                <w:color w:val="auto"/>
                <w:spacing w:val="-4"/>
                <w:kern w:val="0"/>
                <w:sz w:val="24"/>
                <w:highlight w:val="none"/>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8"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3</w:t>
            </w:r>
          </w:p>
        </w:tc>
        <w:tc>
          <w:tcPr>
            <w:tcW w:w="1876"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具有履行合同所必需的设备和专业技术能力</w:t>
            </w:r>
          </w:p>
        </w:tc>
        <w:tc>
          <w:tcPr>
            <w:tcW w:w="6949" w:type="dxa"/>
            <w:vAlign w:val="center"/>
          </w:tcPr>
          <w:p>
            <w:pPr>
              <w:pStyle w:val="15"/>
              <w:spacing w:after="0" w:line="400" w:lineRule="exact"/>
              <w:ind w:left="0" w:leftChars="0" w:firstLine="0" w:firstLineChars="0"/>
              <w:rPr>
                <w:rFonts w:ascii="宋体" w:hAnsi="宋体" w:cs="宋体"/>
                <w:color w:val="auto"/>
                <w:spacing w:val="-4"/>
                <w:kern w:val="0"/>
                <w:sz w:val="24"/>
                <w:highlight w:val="none"/>
                <w:lang w:val="zh-CN"/>
              </w:rPr>
            </w:pPr>
            <w:r>
              <w:rPr>
                <w:rFonts w:hint="eastAsia" w:ascii="宋体" w:hAnsi="宋体" w:cs="宋体"/>
                <w:color w:val="auto"/>
                <w:sz w:val="24"/>
                <w:highlight w:val="none"/>
                <w:lang w:bidi="ar"/>
              </w:rPr>
              <w:t>提供具备履行合同所必需的设备和专业技术能力的证明材料或承诺书</w:t>
            </w:r>
            <w:r>
              <w:rPr>
                <w:rFonts w:hint="eastAsia" w:ascii="宋体" w:hAnsi="宋体" w:cs="宋体"/>
                <w:color w:val="auto"/>
                <w:spacing w:val="-4"/>
                <w:kern w:val="0"/>
                <w:sz w:val="24"/>
                <w:highlight w:val="none"/>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738"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4</w:t>
            </w:r>
          </w:p>
        </w:tc>
        <w:tc>
          <w:tcPr>
            <w:tcW w:w="1876"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有依法缴纳税收和社会保障资金的良好记录</w:t>
            </w:r>
          </w:p>
        </w:tc>
        <w:tc>
          <w:tcPr>
            <w:tcW w:w="6949" w:type="dxa"/>
            <w:vAlign w:val="center"/>
          </w:tcPr>
          <w:p>
            <w:pPr>
              <w:pStyle w:val="15"/>
              <w:spacing w:after="0" w:line="400" w:lineRule="exact"/>
              <w:ind w:left="0" w:leftChars="0" w:firstLine="0" w:firstLineChars="0"/>
              <w:rPr>
                <w:rFonts w:ascii="宋体" w:hAnsi="宋体" w:cs="宋体"/>
                <w:color w:val="auto"/>
                <w:spacing w:val="-4"/>
                <w:kern w:val="0"/>
                <w:sz w:val="24"/>
                <w:highlight w:val="none"/>
                <w:lang w:val="zh-CN"/>
              </w:rPr>
            </w:pPr>
            <w:r>
              <w:rPr>
                <w:rFonts w:ascii="宋体" w:hAnsi="宋体" w:cs="宋体"/>
                <w:color w:val="auto"/>
                <w:sz w:val="24"/>
                <w:highlight w:val="none"/>
                <w:lang w:bidi="ar"/>
              </w:rPr>
              <w:t>①</w:t>
            </w:r>
            <w:r>
              <w:rPr>
                <w:rFonts w:hint="eastAsia" w:ascii="宋体" w:hAnsi="宋体" w:cs="宋体"/>
                <w:color w:val="auto"/>
                <w:sz w:val="24"/>
                <w:highlight w:val="none"/>
              </w:rPr>
              <w:t>提供2022年1月至今任意1个月缴纳税收的证明材料，依法免税的，应提供依法免税的相关证明文件，成立未满1个月</w:t>
            </w:r>
            <w:r>
              <w:rPr>
                <w:rFonts w:hint="eastAsia" w:cs="宋体"/>
                <w:color w:val="auto"/>
                <w:sz w:val="24"/>
                <w:highlight w:val="none"/>
              </w:rPr>
              <w:t>或</w:t>
            </w:r>
            <w:r>
              <w:rPr>
                <w:rFonts w:hint="eastAsia" w:ascii="宋体" w:hAnsi="宋体" w:cs="宋体"/>
                <w:color w:val="auto"/>
                <w:sz w:val="24"/>
                <w:highlight w:val="none"/>
              </w:rPr>
              <w:t>成立至今</w:t>
            </w:r>
            <w:r>
              <w:rPr>
                <w:rFonts w:hint="eastAsia" w:cs="宋体"/>
                <w:color w:val="auto"/>
                <w:sz w:val="24"/>
                <w:highlight w:val="none"/>
              </w:rPr>
              <w:t>未产生经营活动的</w:t>
            </w:r>
            <w:r>
              <w:rPr>
                <w:rFonts w:hint="eastAsia" w:ascii="宋体" w:hAnsi="宋体" w:cs="宋体"/>
                <w:color w:val="auto"/>
                <w:sz w:val="24"/>
                <w:highlight w:val="none"/>
              </w:rPr>
              <w:t>供应商</w:t>
            </w:r>
            <w:r>
              <w:rPr>
                <w:rFonts w:hint="eastAsia" w:cs="宋体"/>
                <w:color w:val="auto"/>
                <w:sz w:val="24"/>
                <w:highlight w:val="none"/>
              </w:rPr>
              <w:t>自行提供情况说明；</w:t>
            </w:r>
            <w:r>
              <w:rPr>
                <w:rFonts w:ascii="宋体" w:hAnsi="宋体" w:cs="宋体"/>
                <w:color w:val="auto"/>
                <w:sz w:val="24"/>
                <w:highlight w:val="none"/>
                <w:lang w:bidi="ar"/>
              </w:rPr>
              <w:t>②</w:t>
            </w:r>
            <w:r>
              <w:rPr>
                <w:rFonts w:hint="eastAsia" w:ascii="宋体" w:hAnsi="宋体" w:cs="宋体"/>
                <w:color w:val="auto"/>
                <w:sz w:val="24"/>
                <w:highlight w:val="none"/>
              </w:rPr>
              <w:t>提供2022年1月至今任意1个月缴纳社会保障资金的证明材料，依法免缴的，应提供依法免缴的相关证明文件，成立未满1个月的无需提供</w:t>
            </w:r>
            <w:r>
              <w:rPr>
                <w:rFonts w:hint="eastAsia" w:ascii="宋体" w:hAnsi="宋体" w:cs="宋体"/>
                <w:color w:val="auto"/>
                <w:spacing w:val="-4"/>
                <w:kern w:val="0"/>
                <w:sz w:val="24"/>
                <w:highlight w:val="none"/>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38"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5</w:t>
            </w:r>
          </w:p>
        </w:tc>
        <w:tc>
          <w:tcPr>
            <w:tcW w:w="1876"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参加政府采购活动前三年内，在经营活动中没有重大违法记录</w:t>
            </w:r>
          </w:p>
        </w:tc>
        <w:tc>
          <w:tcPr>
            <w:tcW w:w="6949" w:type="dxa"/>
            <w:vAlign w:val="center"/>
          </w:tcPr>
          <w:p>
            <w:pPr>
              <w:spacing w:line="400" w:lineRule="exact"/>
              <w:rPr>
                <w:rFonts w:ascii="宋体" w:hAnsi="宋体" w:cs="宋体"/>
                <w:color w:val="auto"/>
                <w:spacing w:val="-4"/>
                <w:kern w:val="0"/>
                <w:sz w:val="24"/>
                <w:highlight w:val="none"/>
                <w:lang w:val="zh-CN"/>
              </w:rPr>
            </w:pPr>
            <w:r>
              <w:rPr>
                <w:rFonts w:hint="eastAsia" w:ascii="宋体" w:hAnsi="宋体" w:cs="宋体"/>
                <w:color w:val="auto"/>
                <w:sz w:val="24"/>
                <w:highlight w:val="none"/>
              </w:rPr>
              <w:t>提供参加政府采购活动前三年内在经营活动中没有重大违法记录的书面声明</w:t>
            </w:r>
            <w:r>
              <w:rPr>
                <w:rFonts w:hint="eastAsia" w:ascii="宋体" w:hAnsi="宋体" w:cs="宋体"/>
                <w:color w:val="auto"/>
                <w:spacing w:val="-4"/>
                <w:kern w:val="0"/>
                <w:sz w:val="24"/>
                <w:highlight w:val="none"/>
              </w:rPr>
              <w:t>；</w:t>
            </w:r>
            <w:r>
              <w:rPr>
                <w:rFonts w:hint="eastAsia" w:ascii="宋体" w:hAnsi="宋体" w:cs="宋体"/>
                <w:b/>
                <w:bCs/>
                <w:color w:val="auto"/>
                <w:spacing w:val="-4"/>
                <w:kern w:val="0"/>
                <w:sz w:val="24"/>
                <w:highlight w:val="none"/>
                <w:lang w:val="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8"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6</w:t>
            </w:r>
          </w:p>
        </w:tc>
        <w:tc>
          <w:tcPr>
            <w:tcW w:w="1876"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法律、行政法规规定的其他条件</w:t>
            </w:r>
          </w:p>
        </w:tc>
        <w:tc>
          <w:tcPr>
            <w:tcW w:w="6949" w:type="dxa"/>
            <w:vAlign w:val="center"/>
          </w:tcPr>
          <w:p>
            <w:pPr>
              <w:widowControl/>
              <w:spacing w:line="400" w:lineRule="exact"/>
              <w:jc w:val="left"/>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自行提供说明并</w:t>
            </w:r>
            <w:r>
              <w:rPr>
                <w:rFonts w:hint="eastAsia" w:ascii="宋体" w:hAnsi="宋体" w:cs="宋体"/>
                <w:b/>
                <w:bCs/>
                <w:color w:val="auto"/>
                <w:spacing w:val="-4"/>
                <w:kern w:val="0"/>
                <w:sz w:val="24"/>
                <w:highlight w:val="none"/>
                <w:lang w:val="zh-CN"/>
              </w:rPr>
              <w:t>加盖公章</w:t>
            </w:r>
            <w:r>
              <w:rPr>
                <w:rFonts w:hint="eastAsia" w:ascii="宋体" w:hAnsi="宋体" w:cs="宋体"/>
                <w:color w:val="auto"/>
                <w:spacing w:val="-4"/>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38"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pacing w:val="-4"/>
                <w:kern w:val="0"/>
                <w:sz w:val="24"/>
                <w:highlight w:val="none"/>
              </w:rPr>
              <w:t>7</w:t>
            </w:r>
          </w:p>
        </w:tc>
        <w:tc>
          <w:tcPr>
            <w:tcW w:w="1876" w:type="dxa"/>
            <w:vAlign w:val="center"/>
          </w:tcPr>
          <w:p>
            <w:pPr>
              <w:widowControl/>
              <w:spacing w:line="400" w:lineRule="exact"/>
              <w:jc w:val="center"/>
              <w:rPr>
                <w:rFonts w:ascii="宋体" w:hAnsi="宋体" w:cs="宋体"/>
                <w:color w:val="auto"/>
                <w:spacing w:val="-4"/>
                <w:kern w:val="0"/>
                <w:sz w:val="24"/>
                <w:highlight w:val="none"/>
              </w:rPr>
            </w:pPr>
            <w:r>
              <w:rPr>
                <w:rFonts w:hint="eastAsia" w:ascii="宋体" w:hAnsi="宋体" w:cs="宋体"/>
                <w:color w:val="auto"/>
                <w:sz w:val="24"/>
                <w:highlight w:val="none"/>
              </w:rPr>
              <w:t>本项目的特定资格要求</w:t>
            </w:r>
          </w:p>
        </w:tc>
        <w:tc>
          <w:tcPr>
            <w:tcW w:w="6949" w:type="dxa"/>
            <w:vAlign w:val="center"/>
          </w:tcPr>
          <w:p>
            <w:pPr>
              <w:spacing w:line="400" w:lineRule="exact"/>
              <w:rPr>
                <w:rFonts w:ascii="宋体" w:hAnsi="宋体" w:cs="宋体"/>
                <w:color w:val="auto"/>
                <w:spacing w:val="-4"/>
                <w:kern w:val="0"/>
                <w:sz w:val="24"/>
                <w:highlight w:val="none"/>
              </w:rPr>
            </w:pPr>
            <w:r>
              <w:rPr>
                <w:rFonts w:hint="eastAsia" w:ascii="宋体" w:hAnsi="宋体" w:cs="宋体"/>
                <w:color w:val="auto"/>
                <w:sz w:val="24"/>
                <w:highlight w:val="none"/>
              </w:rPr>
              <w:t>提供有效的《中华人民共和国医疗器械经营许可证》或《医疗器械经营备案凭证》</w:t>
            </w:r>
          </w:p>
        </w:tc>
      </w:tr>
    </w:tbl>
    <w:p>
      <w:pPr>
        <w:spacing w:line="500" w:lineRule="exact"/>
        <w:ind w:firstLine="482" w:firstLineChars="200"/>
        <w:jc w:val="left"/>
        <w:rPr>
          <w:b/>
          <w:color w:val="auto"/>
          <w:sz w:val="24"/>
          <w:highlight w:val="none"/>
        </w:rPr>
      </w:pPr>
      <w:r>
        <w:rPr>
          <w:rFonts w:hAnsi="宋体"/>
          <w:b/>
          <w:color w:val="auto"/>
          <w:sz w:val="24"/>
          <w:highlight w:val="none"/>
        </w:rPr>
        <w:t>注：供应商应确保上述证明文件的真实性、有效性及合法性，否则，由此引起的任何责任都由供应商自行承担。以上证明材料必须提供完整。</w:t>
      </w:r>
    </w:p>
    <w:bookmarkEnd w:id="317"/>
    <w:bookmarkEnd w:id="318"/>
    <w:bookmarkEnd w:id="319"/>
    <w:p>
      <w:pPr>
        <w:rPr>
          <w:rFonts w:ascii="宋体" w:hAnsi="宋体" w:cs="宋体"/>
          <w:b/>
          <w:color w:val="auto"/>
          <w:sz w:val="28"/>
          <w:szCs w:val="28"/>
          <w:highlight w:val="none"/>
        </w:rPr>
      </w:pPr>
      <w:bookmarkStart w:id="320" w:name="_Toc3652"/>
      <w:bookmarkStart w:id="321" w:name="_Toc26556"/>
      <w:bookmarkStart w:id="322" w:name="_Toc12237"/>
      <w:bookmarkStart w:id="323" w:name="_Toc32111"/>
      <w:bookmarkStart w:id="324" w:name="_Toc6951"/>
      <w:bookmarkStart w:id="325" w:name="_Toc5154"/>
      <w:r>
        <w:rPr>
          <w:rFonts w:hint="eastAsia" w:ascii="宋体" w:hAnsi="宋体" w:cs="宋体"/>
          <w:b/>
          <w:color w:val="auto"/>
          <w:sz w:val="28"/>
          <w:szCs w:val="28"/>
          <w:highlight w:val="none"/>
        </w:rPr>
        <w:br w:type="page"/>
      </w:r>
    </w:p>
    <w:p>
      <w:pPr>
        <w:spacing w:line="360" w:lineRule="auto"/>
        <w:jc w:val="center"/>
        <w:rPr>
          <w:b/>
          <w:color w:val="auto"/>
          <w:highlight w:val="none"/>
        </w:rPr>
      </w:pPr>
      <w:r>
        <w:rPr>
          <w:rFonts w:hint="eastAsia" w:ascii="宋体" w:hAnsi="宋体" w:cs="宋体"/>
          <w:b/>
          <w:color w:val="auto"/>
          <w:sz w:val="28"/>
          <w:szCs w:val="28"/>
          <w:highlight w:val="none"/>
        </w:rPr>
        <w:t>六、价格评审优惠政策证明材料</w:t>
      </w:r>
      <w:bookmarkEnd w:id="320"/>
      <w:bookmarkEnd w:id="321"/>
      <w:bookmarkEnd w:id="322"/>
      <w:bookmarkEnd w:id="323"/>
      <w:bookmarkEnd w:id="324"/>
    </w:p>
    <w:p>
      <w:pPr>
        <w:spacing w:before="162"/>
        <w:jc w:val="center"/>
        <w:rPr>
          <w:rFonts w:ascii="宋体"/>
          <w:b/>
          <w:bCs/>
          <w:color w:val="auto"/>
          <w:sz w:val="28"/>
          <w:szCs w:val="28"/>
          <w:highlight w:val="none"/>
        </w:rPr>
      </w:pPr>
      <w:r>
        <w:rPr>
          <w:b/>
          <w:bCs/>
          <w:color w:val="auto"/>
          <w:sz w:val="28"/>
          <w:szCs w:val="28"/>
          <w:highlight w:val="none"/>
        </w:rPr>
        <w:t>中小企业声明函</w:t>
      </w:r>
    </w:p>
    <w:p>
      <w:pPr>
        <w:pStyle w:val="10"/>
        <w:spacing w:line="460" w:lineRule="exact"/>
        <w:ind w:firstLine="472" w:firstLineChars="200"/>
        <w:rPr>
          <w:rFonts w:ascii="宋体" w:hAnsi="宋体" w:cs="宋体"/>
          <w:color w:val="auto"/>
          <w:sz w:val="24"/>
          <w:highlight w:val="none"/>
        </w:rPr>
      </w:pPr>
      <w:r>
        <w:rPr>
          <w:rFonts w:hint="eastAsia" w:ascii="宋体" w:hAnsi="宋体" w:cs="宋体"/>
          <w:color w:val="auto"/>
          <w:spacing w:val="-2"/>
          <w:sz w:val="24"/>
          <w:highlight w:val="none"/>
        </w:rPr>
        <w:t>本公司郑重声明，根据《政府采购促进中小</w:t>
      </w:r>
      <w:r>
        <w:rPr>
          <w:rFonts w:hint="eastAsia" w:ascii="宋体" w:hAnsi="宋体" w:cs="宋体"/>
          <w:color w:val="auto"/>
          <w:spacing w:val="-18"/>
          <w:sz w:val="24"/>
          <w:highlight w:val="none"/>
        </w:rPr>
        <w:t>企业发展管理办法》</w:t>
      </w:r>
      <w:r>
        <w:rPr>
          <w:rFonts w:hint="eastAsia" w:ascii="宋体" w:hAnsi="宋体" w:cs="宋体"/>
          <w:color w:val="auto"/>
          <w:sz w:val="24"/>
          <w:highlight w:val="none"/>
        </w:rPr>
        <w:t>（</w:t>
      </w:r>
      <w:r>
        <w:rPr>
          <w:rFonts w:hint="eastAsia" w:ascii="宋体" w:hAnsi="宋体" w:cs="宋体"/>
          <w:color w:val="auto"/>
          <w:spacing w:val="5"/>
          <w:sz w:val="24"/>
          <w:highlight w:val="none"/>
        </w:rPr>
        <w:t>财库</w:t>
      </w:r>
      <w:r>
        <w:rPr>
          <w:rFonts w:hint="eastAsia" w:ascii="宋体" w:hAnsi="宋体" w:cs="宋体"/>
          <w:color w:val="auto"/>
          <w:sz w:val="24"/>
          <w:highlight w:val="none"/>
        </w:rPr>
        <w:t>﹝2020﹞46</w:t>
      </w:r>
      <w:r>
        <w:rPr>
          <w:rFonts w:hint="eastAsia" w:ascii="宋体" w:hAnsi="宋体" w:cs="宋体"/>
          <w:color w:val="auto"/>
          <w:spacing w:val="-38"/>
          <w:sz w:val="24"/>
          <w:highlight w:val="none"/>
        </w:rPr>
        <w:t xml:space="preserve"> 号</w:t>
      </w:r>
      <w:r>
        <w:rPr>
          <w:rFonts w:hint="eastAsia" w:ascii="宋体" w:hAnsi="宋体" w:cs="宋体"/>
          <w:color w:val="auto"/>
          <w:spacing w:val="5"/>
          <w:sz w:val="24"/>
          <w:highlight w:val="none"/>
        </w:rPr>
        <w:t>）</w:t>
      </w:r>
      <w:r>
        <w:rPr>
          <w:rFonts w:hint="eastAsia" w:ascii="宋体" w:hAnsi="宋体" w:cs="宋体"/>
          <w:color w:val="auto"/>
          <w:sz w:val="24"/>
          <w:highlight w:val="none"/>
        </w:rPr>
        <w:t>的规定，本公司</w:t>
      </w:r>
      <w:r>
        <w:rPr>
          <w:rFonts w:hint="eastAsia" w:ascii="宋体" w:hAnsi="宋体" w:cs="宋体"/>
          <w:color w:val="auto"/>
          <w:spacing w:val="-2"/>
          <w:sz w:val="24"/>
          <w:highlight w:val="none"/>
        </w:rPr>
        <w:t>参加</w:t>
      </w:r>
      <w:r>
        <w:rPr>
          <w:rFonts w:hint="eastAsia" w:ascii="宋体" w:hAnsi="宋体" w:cs="宋体"/>
          <w:color w:val="auto"/>
          <w:spacing w:val="-2"/>
          <w:sz w:val="24"/>
          <w:highlight w:val="none"/>
          <w:u w:val="single"/>
        </w:rPr>
        <w:t>（单位名称）</w:t>
      </w:r>
      <w:r>
        <w:rPr>
          <w:rFonts w:hint="eastAsia" w:ascii="宋体" w:hAnsi="宋体" w:cs="宋体"/>
          <w:color w:val="auto"/>
          <w:spacing w:val="-2"/>
          <w:sz w:val="24"/>
          <w:highlight w:val="none"/>
        </w:rPr>
        <w:t>的</w:t>
      </w:r>
      <w:r>
        <w:rPr>
          <w:rFonts w:hint="eastAsia" w:ascii="宋体" w:hAnsi="宋体" w:cs="宋体"/>
          <w:color w:val="auto"/>
          <w:spacing w:val="-2"/>
          <w:sz w:val="24"/>
          <w:highlight w:val="none"/>
          <w:u w:val="single"/>
        </w:rPr>
        <w:t>（项目名称）</w:t>
      </w:r>
      <w:r>
        <w:rPr>
          <w:rFonts w:hint="eastAsia" w:ascii="宋体" w:hAnsi="宋体" w:cs="宋体"/>
          <w:color w:val="auto"/>
          <w:spacing w:val="-2"/>
          <w:sz w:val="24"/>
          <w:highlight w:val="none"/>
        </w:rPr>
        <w:t>采购活动，提供的货物全部由符合政策要求的中小企业制造。相关企业</w:t>
      </w:r>
      <w:r>
        <w:rPr>
          <w:rFonts w:hint="eastAsia" w:ascii="宋体" w:hAnsi="宋体" w:cs="宋体"/>
          <w:color w:val="auto"/>
          <w:sz w:val="24"/>
          <w:highlight w:val="none"/>
        </w:rPr>
        <w:t>（含联合体中的中小企业、签订分包意向协议的中小企业） 的具体情况如下：</w:t>
      </w:r>
    </w:p>
    <w:p>
      <w:pPr>
        <w:pStyle w:val="77"/>
        <w:widowControl w:val="0"/>
        <w:tabs>
          <w:tab w:val="left" w:pos="1183"/>
          <w:tab w:val="left" w:pos="1484"/>
          <w:tab w:val="left" w:pos="4662"/>
          <w:tab w:val="left" w:pos="6903"/>
        </w:tabs>
        <w:spacing w:line="460" w:lineRule="exact"/>
        <w:ind w:firstLine="472"/>
        <w:rPr>
          <w:rFonts w:ascii="宋体" w:hAnsi="宋体" w:cs="宋体"/>
          <w:color w:val="auto"/>
          <w:spacing w:val="-2"/>
          <w:kern w:val="2"/>
          <w:sz w:val="24"/>
          <w:highlight w:val="none"/>
          <w:lang w:val="zh-CN" w:bidi="zh-CN"/>
        </w:rPr>
      </w:pPr>
      <w:r>
        <w:rPr>
          <w:rFonts w:hint="eastAsia" w:ascii="宋体" w:hAnsi="宋体" w:cs="宋体"/>
          <w:color w:val="auto"/>
          <w:spacing w:val="-2"/>
          <w:kern w:val="2"/>
          <w:sz w:val="24"/>
          <w:highlight w:val="none"/>
          <w:lang w:bidi="zh-CN"/>
        </w:rPr>
        <w:t>1.</w:t>
      </w:r>
      <w:r>
        <w:rPr>
          <w:rFonts w:hint="eastAsia" w:ascii="宋体" w:hAnsi="宋体" w:cs="宋体"/>
          <w:color w:val="auto"/>
          <w:spacing w:val="-2"/>
          <w:kern w:val="2"/>
          <w:sz w:val="24"/>
          <w:highlight w:val="none"/>
          <w:u w:val="single"/>
          <w:lang w:val="zh-CN" w:bidi="zh-CN"/>
        </w:rPr>
        <w:t>（标的名称）</w:t>
      </w:r>
      <w:r>
        <w:rPr>
          <w:rFonts w:hint="eastAsia" w:ascii="宋体" w:hAnsi="宋体" w:cs="宋体"/>
          <w:color w:val="auto"/>
          <w:spacing w:val="-2"/>
          <w:kern w:val="2"/>
          <w:sz w:val="24"/>
          <w:highlight w:val="none"/>
          <w:lang w:val="zh-CN" w:bidi="zh-CN"/>
        </w:rPr>
        <w:t>，属于</w:t>
      </w:r>
      <w:r>
        <w:rPr>
          <w:rFonts w:hint="eastAsia" w:ascii="宋体" w:hAnsi="宋体" w:cs="宋体"/>
          <w:color w:val="auto"/>
          <w:spacing w:val="-2"/>
          <w:kern w:val="2"/>
          <w:sz w:val="24"/>
          <w:highlight w:val="none"/>
          <w:u w:val="single"/>
          <w:lang w:val="zh-CN" w:bidi="zh-CN"/>
        </w:rPr>
        <w:t>（采购文件中明确的所属行业）行业</w:t>
      </w:r>
      <w:r>
        <w:rPr>
          <w:rFonts w:hint="eastAsia" w:ascii="宋体" w:hAnsi="宋体" w:cs="宋体"/>
          <w:color w:val="auto"/>
          <w:spacing w:val="-2"/>
          <w:kern w:val="2"/>
          <w:sz w:val="24"/>
          <w:highlight w:val="none"/>
          <w:lang w:val="zh-CN" w:bidi="zh-CN"/>
        </w:rPr>
        <w:t>；制造商为</w:t>
      </w:r>
      <w:r>
        <w:rPr>
          <w:rFonts w:hint="eastAsia" w:ascii="宋体" w:hAnsi="宋体" w:cs="宋体"/>
          <w:color w:val="auto"/>
          <w:spacing w:val="-2"/>
          <w:kern w:val="2"/>
          <w:sz w:val="24"/>
          <w:highlight w:val="none"/>
          <w:u w:val="single"/>
          <w:lang w:val="zh-CN" w:bidi="zh-CN"/>
        </w:rPr>
        <w:t>（企业名称）</w:t>
      </w:r>
      <w:r>
        <w:rPr>
          <w:rFonts w:hint="eastAsia" w:ascii="宋体" w:hAnsi="宋体" w:cs="宋体"/>
          <w:color w:val="auto"/>
          <w:spacing w:val="-2"/>
          <w:kern w:val="2"/>
          <w:sz w:val="24"/>
          <w:highlight w:val="none"/>
          <w:lang w:val="zh-CN" w:bidi="zh-CN"/>
        </w:rPr>
        <w:t>，从业人员</w:t>
      </w:r>
      <w:r>
        <w:rPr>
          <w:rFonts w:hint="eastAsia" w:ascii="宋体" w:hAnsi="宋体" w:cs="宋体"/>
          <w:color w:val="auto"/>
          <w:spacing w:val="-2"/>
          <w:kern w:val="2"/>
          <w:sz w:val="24"/>
          <w:highlight w:val="none"/>
          <w:u w:val="single"/>
          <w:lang w:bidi="zh-CN"/>
        </w:rPr>
        <w:t xml:space="preserve">       </w:t>
      </w:r>
      <w:r>
        <w:rPr>
          <w:rFonts w:hint="eastAsia" w:ascii="宋体" w:hAnsi="宋体" w:cs="宋体"/>
          <w:color w:val="auto"/>
          <w:spacing w:val="-2"/>
          <w:kern w:val="2"/>
          <w:sz w:val="24"/>
          <w:highlight w:val="none"/>
          <w:lang w:val="zh-CN" w:bidi="zh-CN"/>
        </w:rPr>
        <w:t>人，营业收入为</w:t>
      </w:r>
      <w:r>
        <w:rPr>
          <w:rFonts w:hint="eastAsia" w:ascii="宋体" w:hAnsi="宋体" w:cs="宋体"/>
          <w:color w:val="auto"/>
          <w:spacing w:val="-2"/>
          <w:kern w:val="2"/>
          <w:sz w:val="24"/>
          <w:highlight w:val="none"/>
          <w:u w:val="single"/>
          <w:lang w:val="zh-CN" w:bidi="zh-CN"/>
        </w:rPr>
        <w:t xml:space="preserve"> </w:t>
      </w:r>
      <w:r>
        <w:rPr>
          <w:rFonts w:hint="eastAsia" w:ascii="宋体" w:hAnsi="宋体" w:cs="宋体"/>
          <w:color w:val="auto"/>
          <w:spacing w:val="-2"/>
          <w:kern w:val="2"/>
          <w:sz w:val="24"/>
          <w:highlight w:val="none"/>
          <w:u w:val="single"/>
          <w:lang w:bidi="zh-CN"/>
        </w:rPr>
        <w:t xml:space="preserve">     </w:t>
      </w:r>
      <w:r>
        <w:rPr>
          <w:rFonts w:hint="eastAsia" w:ascii="宋体" w:hAnsi="宋体" w:cs="宋体"/>
          <w:color w:val="auto"/>
          <w:spacing w:val="-2"/>
          <w:kern w:val="2"/>
          <w:sz w:val="24"/>
          <w:highlight w:val="none"/>
          <w:lang w:val="zh-CN" w:bidi="zh-CN"/>
        </w:rPr>
        <w:t>万元，资产总额为</w:t>
      </w:r>
      <w:r>
        <w:rPr>
          <w:rFonts w:hint="eastAsia" w:ascii="宋体" w:hAnsi="宋体" w:cs="宋体"/>
          <w:color w:val="auto"/>
          <w:spacing w:val="-2"/>
          <w:kern w:val="2"/>
          <w:sz w:val="24"/>
          <w:highlight w:val="none"/>
          <w:u w:val="single"/>
          <w:lang w:val="zh-CN" w:bidi="zh-CN"/>
        </w:rPr>
        <w:t xml:space="preserve"> </w:t>
      </w:r>
      <w:r>
        <w:rPr>
          <w:rFonts w:hint="eastAsia" w:ascii="宋体" w:hAnsi="宋体" w:cs="宋体"/>
          <w:color w:val="auto"/>
          <w:spacing w:val="-2"/>
          <w:kern w:val="2"/>
          <w:sz w:val="24"/>
          <w:highlight w:val="none"/>
          <w:u w:val="single"/>
          <w:lang w:bidi="zh-CN"/>
        </w:rPr>
        <w:t xml:space="preserve">     </w:t>
      </w:r>
      <w:r>
        <w:rPr>
          <w:rFonts w:hint="eastAsia" w:ascii="宋体" w:hAnsi="宋体" w:cs="宋体"/>
          <w:color w:val="auto"/>
          <w:spacing w:val="-2"/>
          <w:kern w:val="2"/>
          <w:sz w:val="24"/>
          <w:highlight w:val="none"/>
          <w:lang w:val="zh-CN" w:bidi="zh-CN"/>
        </w:rPr>
        <w:t>万元，属于（中型企业、小型企业、微型企业）；</w:t>
      </w:r>
    </w:p>
    <w:p>
      <w:pPr>
        <w:pStyle w:val="77"/>
        <w:widowControl w:val="0"/>
        <w:tabs>
          <w:tab w:val="left" w:pos="1183"/>
          <w:tab w:val="left" w:pos="1484"/>
          <w:tab w:val="left" w:pos="4662"/>
          <w:tab w:val="left" w:pos="6903"/>
        </w:tabs>
        <w:spacing w:line="460" w:lineRule="exact"/>
        <w:ind w:firstLine="472"/>
        <w:rPr>
          <w:rFonts w:ascii="宋体" w:hAnsi="宋体" w:cs="宋体"/>
          <w:color w:val="auto"/>
          <w:spacing w:val="-2"/>
          <w:kern w:val="2"/>
          <w:sz w:val="24"/>
          <w:highlight w:val="none"/>
          <w:lang w:val="zh-CN" w:bidi="zh-CN"/>
        </w:rPr>
      </w:pPr>
      <w:r>
        <w:rPr>
          <w:rFonts w:hint="eastAsia" w:ascii="宋体" w:hAnsi="宋体" w:cs="宋体"/>
          <w:color w:val="auto"/>
          <w:spacing w:val="-2"/>
          <w:kern w:val="2"/>
          <w:sz w:val="24"/>
          <w:highlight w:val="none"/>
          <w:lang w:bidi="zh-CN"/>
        </w:rPr>
        <w:t>2.</w:t>
      </w:r>
      <w:r>
        <w:rPr>
          <w:rFonts w:hint="eastAsia" w:ascii="宋体" w:hAnsi="宋体" w:cs="宋体"/>
          <w:color w:val="auto"/>
          <w:spacing w:val="-2"/>
          <w:kern w:val="2"/>
          <w:sz w:val="24"/>
          <w:highlight w:val="none"/>
          <w:u w:val="single"/>
          <w:lang w:val="zh-CN" w:bidi="zh-CN"/>
        </w:rPr>
        <w:t>（标的名称）</w:t>
      </w:r>
      <w:r>
        <w:rPr>
          <w:rFonts w:hint="eastAsia" w:ascii="宋体" w:hAnsi="宋体" w:cs="宋体"/>
          <w:color w:val="auto"/>
          <w:spacing w:val="-2"/>
          <w:kern w:val="2"/>
          <w:sz w:val="24"/>
          <w:highlight w:val="none"/>
          <w:lang w:val="zh-CN" w:bidi="zh-CN"/>
        </w:rPr>
        <w:t>，属于</w:t>
      </w:r>
      <w:r>
        <w:rPr>
          <w:rFonts w:hint="eastAsia" w:ascii="宋体" w:hAnsi="宋体" w:cs="宋体"/>
          <w:color w:val="auto"/>
          <w:spacing w:val="-2"/>
          <w:kern w:val="2"/>
          <w:sz w:val="24"/>
          <w:highlight w:val="none"/>
          <w:u w:val="single"/>
          <w:lang w:val="zh-CN" w:bidi="zh-CN"/>
        </w:rPr>
        <w:t>（采购文件中明确的所属行业）行业</w:t>
      </w:r>
      <w:r>
        <w:rPr>
          <w:rFonts w:hint="eastAsia" w:ascii="宋体" w:hAnsi="宋体" w:cs="宋体"/>
          <w:color w:val="auto"/>
          <w:spacing w:val="-2"/>
          <w:kern w:val="2"/>
          <w:sz w:val="24"/>
          <w:highlight w:val="none"/>
          <w:lang w:val="zh-CN" w:bidi="zh-CN"/>
        </w:rPr>
        <w:t>；制造商为</w:t>
      </w:r>
      <w:r>
        <w:rPr>
          <w:rFonts w:hint="eastAsia" w:ascii="宋体" w:hAnsi="宋体" w:cs="宋体"/>
          <w:color w:val="auto"/>
          <w:spacing w:val="-2"/>
          <w:kern w:val="2"/>
          <w:sz w:val="24"/>
          <w:highlight w:val="none"/>
          <w:u w:val="single"/>
          <w:lang w:val="zh-CN" w:bidi="zh-CN"/>
        </w:rPr>
        <w:t>（企业名称）</w:t>
      </w:r>
      <w:r>
        <w:rPr>
          <w:rFonts w:hint="eastAsia" w:ascii="宋体" w:hAnsi="宋体" w:cs="宋体"/>
          <w:color w:val="auto"/>
          <w:spacing w:val="-2"/>
          <w:kern w:val="2"/>
          <w:sz w:val="24"/>
          <w:highlight w:val="none"/>
          <w:lang w:val="zh-CN" w:bidi="zh-CN"/>
        </w:rPr>
        <w:t>，从业人员</w:t>
      </w:r>
      <w:r>
        <w:rPr>
          <w:rFonts w:hint="eastAsia" w:ascii="宋体" w:hAnsi="宋体" w:cs="宋体"/>
          <w:color w:val="auto"/>
          <w:spacing w:val="-2"/>
          <w:kern w:val="2"/>
          <w:sz w:val="24"/>
          <w:highlight w:val="none"/>
          <w:u w:val="single"/>
          <w:lang w:bidi="zh-CN"/>
        </w:rPr>
        <w:t xml:space="preserve">       </w:t>
      </w:r>
      <w:r>
        <w:rPr>
          <w:rFonts w:hint="eastAsia" w:ascii="宋体" w:hAnsi="宋体" w:cs="宋体"/>
          <w:color w:val="auto"/>
          <w:spacing w:val="-2"/>
          <w:kern w:val="2"/>
          <w:sz w:val="24"/>
          <w:highlight w:val="none"/>
          <w:lang w:val="zh-CN" w:bidi="zh-CN"/>
        </w:rPr>
        <w:t>人，营业收入为</w:t>
      </w:r>
      <w:r>
        <w:rPr>
          <w:rFonts w:hint="eastAsia" w:ascii="宋体" w:hAnsi="宋体" w:cs="宋体"/>
          <w:color w:val="auto"/>
          <w:spacing w:val="-2"/>
          <w:kern w:val="2"/>
          <w:sz w:val="24"/>
          <w:highlight w:val="none"/>
          <w:u w:val="single"/>
          <w:lang w:val="zh-CN" w:bidi="zh-CN"/>
        </w:rPr>
        <w:t xml:space="preserve"> </w:t>
      </w:r>
      <w:r>
        <w:rPr>
          <w:rFonts w:hint="eastAsia" w:ascii="宋体" w:hAnsi="宋体" w:cs="宋体"/>
          <w:color w:val="auto"/>
          <w:spacing w:val="-2"/>
          <w:kern w:val="2"/>
          <w:sz w:val="24"/>
          <w:highlight w:val="none"/>
          <w:u w:val="single"/>
          <w:lang w:bidi="zh-CN"/>
        </w:rPr>
        <w:t xml:space="preserve">     </w:t>
      </w:r>
      <w:r>
        <w:rPr>
          <w:rFonts w:hint="eastAsia" w:ascii="宋体" w:hAnsi="宋体" w:cs="宋体"/>
          <w:color w:val="auto"/>
          <w:spacing w:val="-2"/>
          <w:kern w:val="2"/>
          <w:sz w:val="24"/>
          <w:highlight w:val="none"/>
          <w:lang w:val="zh-CN" w:bidi="zh-CN"/>
        </w:rPr>
        <w:t>万元，资产总额为</w:t>
      </w:r>
      <w:r>
        <w:rPr>
          <w:rFonts w:hint="eastAsia" w:ascii="宋体" w:hAnsi="宋体" w:cs="宋体"/>
          <w:color w:val="auto"/>
          <w:spacing w:val="-2"/>
          <w:kern w:val="2"/>
          <w:sz w:val="24"/>
          <w:highlight w:val="none"/>
          <w:u w:val="single"/>
          <w:lang w:val="zh-CN" w:bidi="zh-CN"/>
        </w:rPr>
        <w:t xml:space="preserve"> </w:t>
      </w:r>
      <w:r>
        <w:rPr>
          <w:rFonts w:hint="eastAsia" w:ascii="宋体" w:hAnsi="宋体" w:cs="宋体"/>
          <w:color w:val="auto"/>
          <w:spacing w:val="-2"/>
          <w:kern w:val="2"/>
          <w:sz w:val="24"/>
          <w:highlight w:val="none"/>
          <w:u w:val="single"/>
          <w:lang w:bidi="zh-CN"/>
        </w:rPr>
        <w:t xml:space="preserve">     </w:t>
      </w:r>
      <w:r>
        <w:rPr>
          <w:rFonts w:hint="eastAsia" w:ascii="宋体" w:hAnsi="宋体" w:cs="宋体"/>
          <w:color w:val="auto"/>
          <w:spacing w:val="-2"/>
          <w:kern w:val="2"/>
          <w:sz w:val="24"/>
          <w:highlight w:val="none"/>
          <w:lang w:val="zh-CN" w:bidi="zh-CN"/>
        </w:rPr>
        <w:t>万元，属于（中型企业、小型企业、微型企业）；</w:t>
      </w:r>
    </w:p>
    <w:p>
      <w:pPr>
        <w:pStyle w:val="1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w:t>
      </w:r>
    </w:p>
    <w:p>
      <w:pPr>
        <w:pStyle w:val="10"/>
        <w:spacing w:line="460" w:lineRule="exact"/>
        <w:ind w:firstLine="468" w:firstLineChars="200"/>
        <w:rPr>
          <w:rFonts w:ascii="宋体" w:hAnsi="宋体" w:cs="宋体"/>
          <w:color w:val="auto"/>
          <w:sz w:val="24"/>
          <w:highlight w:val="none"/>
        </w:rPr>
      </w:pPr>
      <w:r>
        <w:rPr>
          <w:rFonts w:hint="eastAsia" w:ascii="宋体" w:hAnsi="宋体" w:cs="宋体"/>
          <w:color w:val="auto"/>
          <w:spacing w:val="-3"/>
          <w:sz w:val="24"/>
          <w:highlight w:val="none"/>
        </w:rPr>
        <w:t>以上企业，不属于大企业的分支机构，不存在控股股东</w:t>
      </w:r>
      <w:r>
        <w:rPr>
          <w:rFonts w:hint="eastAsia" w:ascii="宋体" w:hAnsi="宋体" w:cs="宋体"/>
          <w:color w:val="auto"/>
          <w:spacing w:val="-5"/>
          <w:sz w:val="24"/>
          <w:highlight w:val="none"/>
        </w:rPr>
        <w:t>为大企业的情形，也不存在与大企业的负责人为同一人的情形。</w:t>
      </w:r>
    </w:p>
    <w:p>
      <w:pPr>
        <w:pStyle w:val="1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pStyle w:val="10"/>
        <w:spacing w:line="302" w:lineRule="auto"/>
        <w:ind w:right="372" w:firstLine="645"/>
        <w:rPr>
          <w:color w:val="auto"/>
          <w:sz w:val="28"/>
          <w:szCs w:val="28"/>
          <w:highlight w:val="none"/>
        </w:rPr>
      </w:pPr>
    </w:p>
    <w:p>
      <w:pPr>
        <w:pStyle w:val="10"/>
        <w:spacing w:before="35" w:line="316" w:lineRule="auto"/>
        <w:ind w:left="4060" w:right="2166"/>
        <w:rPr>
          <w:rFonts w:eastAsia="仿宋"/>
          <w:color w:val="auto"/>
          <w:spacing w:val="-167"/>
          <w:w w:val="99"/>
          <w:sz w:val="24"/>
          <w:highlight w:val="none"/>
        </w:rPr>
      </w:pPr>
      <w:r>
        <w:rPr>
          <w:color w:val="auto"/>
          <w:w w:val="99"/>
          <w:sz w:val="24"/>
          <w:highlight w:val="none"/>
        </w:rPr>
        <w:t>企业名称</w:t>
      </w:r>
      <w:r>
        <w:rPr>
          <w:rFonts w:hint="eastAsia"/>
          <w:color w:val="auto"/>
          <w:spacing w:val="2"/>
          <w:w w:val="99"/>
          <w:sz w:val="24"/>
          <w:highlight w:val="none"/>
        </w:rPr>
        <w:t>（盖章）：</w:t>
      </w:r>
    </w:p>
    <w:p>
      <w:pPr>
        <w:pStyle w:val="10"/>
        <w:spacing w:before="35" w:line="316" w:lineRule="auto"/>
        <w:ind w:left="4060" w:right="2166"/>
        <w:rPr>
          <w:color w:val="auto"/>
          <w:sz w:val="24"/>
          <w:highlight w:val="none"/>
        </w:rPr>
      </w:pPr>
      <w:r>
        <w:rPr>
          <w:color w:val="auto"/>
          <w:spacing w:val="24"/>
          <w:sz w:val="24"/>
          <w:highlight w:val="none"/>
        </w:rPr>
        <w:t>日期：</w:t>
      </w:r>
    </w:p>
    <w:p>
      <w:pPr>
        <w:spacing w:line="460" w:lineRule="exact"/>
        <w:rPr>
          <w:rFonts w:ascii="宋体" w:hAnsi="宋体" w:cs="宋体"/>
          <w:b/>
          <w:bCs/>
          <w:color w:val="auto"/>
          <w:sz w:val="24"/>
          <w:highlight w:val="none"/>
        </w:rPr>
      </w:pPr>
      <w:r>
        <w:rPr>
          <w:rFonts w:hint="eastAsia" w:ascii="宋体" w:hAnsi="宋体" w:cs="宋体"/>
          <w:b/>
          <w:bCs/>
          <w:color w:val="auto"/>
          <w:sz w:val="24"/>
          <w:highlight w:val="none"/>
        </w:rPr>
        <w:t>说明：</w:t>
      </w:r>
    </w:p>
    <w:p>
      <w:pPr>
        <w:spacing w:line="460" w:lineRule="exact"/>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1.从业人员、营业收入、资产总额填报上一年度数据，无上一年度数据的新成立企业可不填报。</w:t>
      </w:r>
    </w:p>
    <w:p>
      <w:pPr>
        <w:spacing w:line="460" w:lineRule="exact"/>
        <w:ind w:firstLine="482" w:firstLineChars="200"/>
        <w:rPr>
          <w:rFonts w:ascii="宋体" w:hAnsi="宋体" w:cs="宋体"/>
          <w:b/>
          <w:color w:val="auto"/>
          <w:sz w:val="24"/>
          <w:highlight w:val="none"/>
        </w:rPr>
      </w:pPr>
      <w:r>
        <w:rPr>
          <w:rFonts w:hint="eastAsia" w:ascii="宋体" w:hAnsi="宋体" w:cs="宋体"/>
          <w:b/>
          <w:bCs/>
          <w:color w:val="auto"/>
          <w:sz w:val="24"/>
          <w:highlight w:val="none"/>
        </w:rPr>
        <w:t>2.</w:t>
      </w:r>
      <w:r>
        <w:rPr>
          <w:rFonts w:hint="eastAsia" w:ascii="宋体" w:hAnsi="宋体" w:cs="宋体"/>
          <w:b/>
          <w:color w:val="auto"/>
          <w:sz w:val="24"/>
          <w:highlight w:val="none"/>
        </w:rPr>
        <w:t>由供应商根据自身实际情况填报，也可以不填报。不填报的不得享受价格扣除；</w:t>
      </w:r>
    </w:p>
    <w:p>
      <w:pPr>
        <w:spacing w:line="460" w:lineRule="exact"/>
        <w:ind w:firstLine="482" w:firstLineChars="200"/>
        <w:rPr>
          <w:color w:val="auto"/>
          <w:sz w:val="28"/>
          <w:szCs w:val="28"/>
          <w:highlight w:val="none"/>
        </w:rPr>
      </w:pPr>
      <w:r>
        <w:rPr>
          <w:rFonts w:hint="eastAsia" w:ascii="宋体" w:hAnsi="宋体" w:cs="宋体"/>
          <w:b/>
          <w:color w:val="auto"/>
          <w:sz w:val="24"/>
          <w:highlight w:val="none"/>
        </w:rPr>
        <w:t>3.供应商提供声明函内容不实的，属于提供虚假材料谋取成交，依照《中华人民共和国政府采购法》等国家有关规定追究相应责任。</w:t>
      </w:r>
    </w:p>
    <w:p>
      <w:pPr>
        <w:pStyle w:val="36"/>
        <w:spacing w:line="460" w:lineRule="exact"/>
        <w:ind w:firstLine="482" w:firstLineChars="200"/>
        <w:rPr>
          <w:rFonts w:ascii="宋体" w:hAnsi="宋体" w:eastAsia="宋体" w:cs="宋体"/>
          <w:b/>
          <w:color w:val="auto"/>
          <w:highlight w:val="none"/>
        </w:rPr>
      </w:pPr>
      <w:r>
        <w:rPr>
          <w:rFonts w:hint="eastAsia" w:ascii="宋体" w:hAnsi="宋体" w:cs="宋体"/>
          <w:b/>
          <w:color w:val="auto"/>
          <w:highlight w:val="none"/>
        </w:rPr>
        <w:t>4</w:t>
      </w:r>
      <w:r>
        <w:rPr>
          <w:rFonts w:hint="eastAsia" w:ascii="宋体" w:hAnsi="宋体" w:eastAsia="宋体" w:cs="宋体"/>
          <w:b/>
          <w:color w:val="auto"/>
          <w:highlight w:val="none"/>
        </w:rPr>
        <w:t>.本项目对符合《政府采购促进中小企业发展管理办法》（财库﹝2020﹞46 号）规定的小微企业报价给予价格扣除。</w:t>
      </w:r>
      <w:bookmarkStart w:id="326" w:name="_Toc3707"/>
      <w:bookmarkStart w:id="327" w:name="_Toc1368"/>
      <w:bookmarkStart w:id="328" w:name="_Toc3759"/>
      <w:bookmarkStart w:id="329" w:name="_Toc29441"/>
      <w:bookmarkStart w:id="330" w:name="_Toc2679"/>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pStyle w:val="36"/>
        <w:spacing w:line="460" w:lineRule="exact"/>
        <w:jc w:val="center"/>
        <w:rPr>
          <w:rFonts w:ascii="宋体" w:hAnsi="宋体" w:eastAsia="宋体" w:cs="宋体"/>
          <w:b/>
          <w:color w:val="auto"/>
          <w:highlight w:val="none"/>
        </w:rPr>
      </w:pPr>
      <w:r>
        <w:rPr>
          <w:rFonts w:hint="eastAsia" w:ascii="宋体" w:hAnsi="宋体" w:eastAsia="宋体" w:cs="宋体"/>
          <w:b/>
          <w:color w:val="auto"/>
          <w:highlight w:val="none"/>
        </w:rPr>
        <w:t>监狱企业声明函</w:t>
      </w:r>
      <w:bookmarkEnd w:id="326"/>
      <w:bookmarkEnd w:id="327"/>
      <w:bookmarkEnd w:id="328"/>
      <w:bookmarkEnd w:id="329"/>
      <w:bookmarkEnd w:id="330"/>
    </w:p>
    <w:p>
      <w:pPr>
        <w:pStyle w:val="10"/>
        <w:spacing w:line="360" w:lineRule="auto"/>
        <w:ind w:firstLine="2642"/>
        <w:jc w:val="left"/>
        <w:rPr>
          <w:rFonts w:ascii="宋体" w:hAnsi="宋体" w:cs="宋体"/>
          <w:color w:val="auto"/>
          <w:spacing w:val="-4"/>
          <w:sz w:val="24"/>
          <w:highlight w:val="none"/>
        </w:rPr>
      </w:pPr>
      <w:r>
        <w:rPr>
          <w:rFonts w:hint="eastAsia" w:ascii="宋体" w:hAnsi="宋体" w:cs="宋体"/>
          <w:color w:val="auto"/>
          <w:spacing w:val="-4"/>
          <w:sz w:val="24"/>
          <w:highlight w:val="none"/>
        </w:rPr>
        <w:t>（</w:t>
      </w:r>
      <w:r>
        <w:rPr>
          <w:rFonts w:hint="eastAsia" w:ascii="宋体" w:hAnsi="宋体" w:cs="宋体"/>
          <w:color w:val="auto"/>
          <w:sz w:val="24"/>
          <w:highlight w:val="none"/>
        </w:rPr>
        <w:t>不属于监狱企业的无需填写</w:t>
      </w:r>
      <w:r>
        <w:rPr>
          <w:rFonts w:hint="eastAsia" w:ascii="宋体" w:hAnsi="宋体" w:cs="宋体"/>
          <w:color w:val="auto"/>
          <w:spacing w:val="-4"/>
          <w:sz w:val="24"/>
          <w:highlight w:val="none"/>
        </w:rPr>
        <w:t>）</w:t>
      </w:r>
    </w:p>
    <w:p>
      <w:pPr>
        <w:pStyle w:val="10"/>
        <w:spacing w:line="360" w:lineRule="auto"/>
        <w:ind w:firstLine="464" w:firstLineChars="200"/>
        <w:jc w:val="left"/>
        <w:rPr>
          <w:rFonts w:ascii="宋体" w:hAnsi="宋体" w:cs="宋体"/>
          <w:color w:val="auto"/>
          <w:spacing w:val="-4"/>
          <w:sz w:val="24"/>
          <w:highlight w:val="none"/>
        </w:rPr>
      </w:pPr>
    </w:p>
    <w:p>
      <w:pPr>
        <w:pStyle w:val="10"/>
        <w:spacing w:line="360" w:lineRule="auto"/>
        <w:ind w:firstLine="464" w:firstLineChars="200"/>
        <w:jc w:val="left"/>
        <w:rPr>
          <w:rFonts w:ascii="宋体" w:hAnsi="宋体" w:cs="宋体"/>
          <w:color w:val="auto"/>
          <w:sz w:val="24"/>
          <w:highlight w:val="none"/>
        </w:rPr>
      </w:pPr>
      <w:r>
        <w:rPr>
          <w:rFonts w:hint="eastAsia" w:ascii="宋体" w:hAnsi="宋体" w:cs="宋体"/>
          <w:color w:val="auto"/>
          <w:spacing w:val="-4"/>
          <w:sz w:val="24"/>
          <w:highlight w:val="none"/>
        </w:rPr>
        <w:t xml:space="preserve">公司郑重声明，根据《关于政府采购支持监狱企业发展有关问题的通知》 </w:t>
      </w:r>
      <w:r>
        <w:rPr>
          <w:rFonts w:hint="eastAsia" w:ascii="宋体" w:hAnsi="宋体" w:cs="宋体"/>
          <w:color w:val="auto"/>
          <w:sz w:val="24"/>
          <w:highlight w:val="none"/>
        </w:rPr>
        <w:t>（财库[2014]68</w:t>
      </w:r>
      <w:r>
        <w:rPr>
          <w:rFonts w:hint="eastAsia" w:ascii="宋体" w:hAnsi="宋体" w:cs="宋体"/>
          <w:color w:val="auto"/>
          <w:spacing w:val="-47"/>
          <w:sz w:val="24"/>
          <w:highlight w:val="none"/>
        </w:rPr>
        <w:t xml:space="preserve"> </w:t>
      </w:r>
      <w:r>
        <w:rPr>
          <w:rFonts w:hint="eastAsia" w:ascii="宋体" w:hAnsi="宋体" w:cs="宋体"/>
          <w:color w:val="auto"/>
          <w:sz w:val="24"/>
          <w:highlight w:val="none"/>
        </w:rPr>
        <w:t xml:space="preserve">号）的规定，本公司为监狱企业。 </w:t>
      </w:r>
    </w:p>
    <w:p>
      <w:pPr>
        <w:pStyle w:val="10"/>
        <w:spacing w:line="360" w:lineRule="auto"/>
        <w:ind w:firstLine="452" w:firstLineChars="200"/>
        <w:jc w:val="left"/>
        <w:rPr>
          <w:rFonts w:ascii="宋体" w:hAnsi="宋体" w:cs="宋体"/>
          <w:color w:val="auto"/>
          <w:sz w:val="24"/>
          <w:highlight w:val="none"/>
        </w:rPr>
      </w:pPr>
      <w:r>
        <w:rPr>
          <w:rFonts w:hint="eastAsia" w:ascii="宋体" w:hAnsi="宋体" w:cs="宋体"/>
          <w:color w:val="auto"/>
          <w:spacing w:val="-7"/>
          <w:sz w:val="24"/>
          <w:highlight w:val="none"/>
        </w:rPr>
        <w:t>根据上述标准，我公司属于监狱企业的理由为：</w:t>
      </w:r>
      <w:r>
        <w:rPr>
          <w:rFonts w:hint="eastAsia" w:ascii="宋体" w:hAnsi="宋体" w:cs="宋体"/>
          <w:color w:val="auto"/>
          <w:spacing w:val="-7"/>
          <w:sz w:val="24"/>
          <w:highlight w:val="none"/>
          <w:u w:val="single"/>
        </w:rPr>
        <w:t xml:space="preserve">                    </w:t>
      </w:r>
      <w:r>
        <w:rPr>
          <w:rFonts w:hint="eastAsia" w:ascii="宋体" w:hAnsi="宋体" w:cs="宋体"/>
          <w:color w:val="auto"/>
          <w:spacing w:val="-7"/>
          <w:sz w:val="24"/>
          <w:highlight w:val="none"/>
        </w:rPr>
        <w:t>。</w:t>
      </w:r>
    </w:p>
    <w:p>
      <w:pPr>
        <w:pStyle w:val="10"/>
        <w:tabs>
          <w:tab w:val="left" w:pos="3120"/>
        </w:tabs>
        <w:spacing w:line="360" w:lineRule="auto"/>
        <w:ind w:firstLine="476" w:firstLineChars="200"/>
        <w:jc w:val="left"/>
        <w:rPr>
          <w:rFonts w:ascii="宋体" w:hAnsi="宋体" w:cs="宋体"/>
          <w:color w:val="auto"/>
          <w:sz w:val="24"/>
          <w:highlight w:val="none"/>
        </w:rPr>
      </w:pPr>
      <w:r>
        <w:rPr>
          <w:rFonts w:hint="eastAsia" w:ascii="宋体" w:hAnsi="宋体" w:cs="宋体"/>
          <w:color w:val="auto"/>
          <w:spacing w:val="-1"/>
          <w:sz w:val="24"/>
          <w:highlight w:val="none"/>
        </w:rPr>
        <w:t>本公司为参加</w:t>
      </w:r>
      <w:r>
        <w:rPr>
          <w:rFonts w:hint="eastAsia" w:ascii="宋体" w:hAnsi="宋体" w:cs="宋体"/>
          <w:color w:val="auto"/>
          <w:spacing w:val="-1"/>
          <w:sz w:val="24"/>
          <w:highlight w:val="none"/>
          <w:u w:val="single" w:color="000000"/>
        </w:rPr>
        <w:tab/>
      </w:r>
      <w:r>
        <w:rPr>
          <w:rFonts w:hint="eastAsia" w:ascii="宋体" w:hAnsi="宋体" w:cs="宋体"/>
          <w:color w:val="auto"/>
          <w:spacing w:val="-1"/>
          <w:sz w:val="24"/>
          <w:highlight w:val="none"/>
          <w:u w:val="single" w:color="000000"/>
        </w:rPr>
        <w:t>（项目名称）</w:t>
      </w:r>
      <w:r>
        <w:rPr>
          <w:rFonts w:hint="eastAsia" w:ascii="宋体" w:hAnsi="宋体" w:cs="宋体"/>
          <w:color w:val="auto"/>
          <w:spacing w:val="34"/>
          <w:sz w:val="24"/>
          <w:highlight w:val="none"/>
          <w:u w:val="single" w:color="000000"/>
        </w:rPr>
        <w:t xml:space="preserve"> </w:t>
      </w:r>
      <w:r>
        <w:rPr>
          <w:rFonts w:hint="eastAsia" w:ascii="宋体" w:hAnsi="宋体" w:cs="宋体"/>
          <w:color w:val="auto"/>
          <w:spacing w:val="-6"/>
          <w:sz w:val="24"/>
          <w:highlight w:val="none"/>
        </w:rPr>
        <w:t xml:space="preserve">（项目编号： </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rPr>
        <w:t>）采购活动提供本企业</w:t>
      </w:r>
      <w:r>
        <w:rPr>
          <w:rFonts w:hint="eastAsia" w:ascii="宋体" w:hAnsi="宋体" w:cs="宋体"/>
          <w:color w:val="auto"/>
          <w:spacing w:val="-6"/>
          <w:sz w:val="24"/>
          <w:highlight w:val="none"/>
          <w:u w:val="single"/>
        </w:rPr>
        <w:t xml:space="preserve">     </w:t>
      </w:r>
      <w:r>
        <w:rPr>
          <w:rFonts w:hint="eastAsia" w:ascii="宋体" w:hAnsi="宋体" w:cs="宋体"/>
          <w:color w:val="auto"/>
          <w:spacing w:val="-6"/>
          <w:sz w:val="24"/>
          <w:highlight w:val="none"/>
          <w:u w:val="single" w:color="000000"/>
        </w:rPr>
        <w:t>（填写制造的货</w:t>
      </w:r>
      <w:r>
        <w:rPr>
          <w:rFonts w:hint="eastAsia" w:ascii="宋体" w:hAnsi="宋体" w:cs="宋体"/>
          <w:color w:val="auto"/>
          <w:spacing w:val="-8"/>
          <w:sz w:val="24"/>
          <w:highlight w:val="none"/>
          <w:u w:val="single" w:color="000000"/>
        </w:rPr>
        <w:t>物，由本企业承担工程、提供服务）</w:t>
      </w:r>
      <w:r>
        <w:rPr>
          <w:rFonts w:hint="eastAsia" w:ascii="宋体" w:hAnsi="宋体" w:cs="宋体"/>
          <w:color w:val="auto"/>
          <w:spacing w:val="-8"/>
          <w:sz w:val="24"/>
          <w:highlight w:val="none"/>
        </w:rPr>
        <w:t>。</w:t>
      </w:r>
    </w:p>
    <w:p>
      <w:pPr>
        <w:spacing w:line="360" w:lineRule="auto"/>
        <w:rPr>
          <w:rFonts w:ascii="宋体" w:hAnsi="宋体" w:cs="宋体"/>
          <w:color w:val="auto"/>
          <w:sz w:val="24"/>
          <w:highlight w:val="none"/>
        </w:rPr>
      </w:pPr>
    </w:p>
    <w:p>
      <w:pPr>
        <w:pStyle w:val="1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本条所称货物不包括使用大型企业注册商标的货物和服务。 </w:t>
      </w:r>
    </w:p>
    <w:p>
      <w:pPr>
        <w:pStyle w:val="10"/>
        <w:spacing w:line="360" w:lineRule="auto"/>
        <w:ind w:firstLine="472" w:firstLineChars="200"/>
        <w:jc w:val="left"/>
        <w:rPr>
          <w:rFonts w:ascii="宋体" w:hAnsi="宋体" w:cs="宋体"/>
          <w:color w:val="auto"/>
          <w:sz w:val="24"/>
          <w:highlight w:val="none"/>
        </w:rPr>
      </w:pPr>
      <w:r>
        <w:rPr>
          <w:rFonts w:hint="eastAsia" w:ascii="宋体" w:hAnsi="宋体" w:cs="宋体"/>
          <w:color w:val="auto"/>
          <w:spacing w:val="-2"/>
          <w:sz w:val="24"/>
          <w:highlight w:val="none"/>
        </w:rPr>
        <w:t>本公司对上述声明的真实性负责。如有虚假，将依法承担相应责任</w:t>
      </w:r>
      <w:r>
        <w:rPr>
          <w:rFonts w:hint="eastAsia" w:cs="宋体"/>
          <w:color w:val="auto"/>
          <w:spacing w:val="-2"/>
          <w:sz w:val="24"/>
          <w:highlight w:val="none"/>
        </w:rPr>
        <w:t>。</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spacing w:line="460" w:lineRule="exact"/>
        <w:ind w:firstLine="480" w:firstLineChars="200"/>
        <w:rPr>
          <w:rFonts w:ascii="宋体" w:hAnsi="宋体" w:cs="宋体"/>
          <w:color w:val="auto"/>
          <w:sz w:val="24"/>
          <w:highlight w:val="none"/>
          <w:lang w:val="zh-CN"/>
        </w:rPr>
      </w:pPr>
      <w:r>
        <w:rPr>
          <w:rFonts w:hint="eastAsia" w:ascii="宋体" w:hAnsi="宋体"/>
          <w:color w:val="auto"/>
          <w:sz w:val="24"/>
          <w:highlight w:val="none"/>
        </w:rPr>
        <w:t>供应商全称（加盖单位公章）：</w:t>
      </w:r>
      <w:r>
        <w:rPr>
          <w:rFonts w:hint="eastAsia" w:ascii="宋体" w:hAnsi="宋体" w:cs="宋体"/>
          <w:color w:val="auto"/>
          <w:sz w:val="24"/>
          <w:highlight w:val="none"/>
          <w:u w:val="single"/>
        </w:rPr>
        <w:t>　　　　　　　　　　　　</w:t>
      </w:r>
    </w:p>
    <w:p>
      <w:pPr>
        <w:spacing w:line="500" w:lineRule="exact"/>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lang w:val="zh-CN"/>
        </w:rPr>
        <w:t>法定代表人或其委托代理人（签字或盖章）：</w:t>
      </w:r>
      <w:r>
        <w:rPr>
          <w:rFonts w:hint="eastAsia" w:ascii="宋体" w:hAnsi="宋体" w:cs="宋体"/>
          <w:color w:val="auto"/>
          <w:sz w:val="24"/>
          <w:highlight w:val="none"/>
          <w:u w:val="single"/>
        </w:rPr>
        <w:t>　　　　　　  　　　　</w:t>
      </w:r>
    </w:p>
    <w:p>
      <w:pPr>
        <w:spacing w:line="500" w:lineRule="exact"/>
        <w:ind w:firstLine="480" w:firstLineChars="200"/>
        <w:jc w:val="left"/>
        <w:rPr>
          <w:rFonts w:ascii="宋体" w:hAnsi="宋体"/>
          <w:b/>
          <w:color w:val="auto"/>
          <w:sz w:val="30"/>
          <w:szCs w:val="30"/>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w:t>
      </w:r>
      <w:r>
        <w:rPr>
          <w:rFonts w:hint="eastAsia" w:ascii="宋体" w:hAnsi="宋体" w:cs="宋体"/>
          <w:color w:val="auto"/>
          <w:sz w:val="24"/>
          <w:highlight w:val="none"/>
        </w:rPr>
        <w:t>年</w:t>
      </w:r>
      <w:r>
        <w:rPr>
          <w:rFonts w:hint="eastAsia" w:ascii="宋体" w:hAnsi="宋体" w:cs="宋体"/>
          <w:color w:val="auto"/>
          <w:sz w:val="24"/>
          <w:highlight w:val="none"/>
          <w:u w:val="single"/>
        </w:rPr>
        <w:t>　　</w:t>
      </w:r>
      <w:r>
        <w:rPr>
          <w:rFonts w:hint="eastAsia" w:ascii="宋体" w:hAnsi="宋体" w:cs="宋体"/>
          <w:color w:val="auto"/>
          <w:sz w:val="24"/>
          <w:highlight w:val="none"/>
        </w:rPr>
        <w:t>月</w:t>
      </w:r>
      <w:r>
        <w:rPr>
          <w:rFonts w:hint="eastAsia" w:ascii="宋体" w:hAnsi="宋体" w:cs="宋体"/>
          <w:color w:val="auto"/>
          <w:sz w:val="24"/>
          <w:highlight w:val="none"/>
          <w:u w:val="single"/>
        </w:rPr>
        <w:t>　　</w:t>
      </w:r>
      <w:r>
        <w:rPr>
          <w:rFonts w:hint="eastAsia" w:ascii="宋体" w:hAnsi="宋体" w:cs="宋体"/>
          <w:color w:val="auto"/>
          <w:sz w:val="24"/>
          <w:highlight w:val="none"/>
        </w:rPr>
        <w:t>日</w:t>
      </w:r>
    </w:p>
    <w:p>
      <w:pPr>
        <w:spacing w:line="360" w:lineRule="auto"/>
        <w:rPr>
          <w:rFonts w:ascii="宋体" w:hAnsi="宋体" w:cs="宋体"/>
          <w:color w:val="auto"/>
          <w:sz w:val="24"/>
          <w:highlight w:val="none"/>
        </w:rPr>
      </w:pPr>
    </w:p>
    <w:p>
      <w:pPr>
        <w:spacing w:line="360" w:lineRule="auto"/>
        <w:rPr>
          <w:rFonts w:ascii="宋体" w:hAnsi="宋体" w:cs="宋体"/>
          <w:color w:val="auto"/>
          <w:sz w:val="24"/>
          <w:highlight w:val="none"/>
        </w:rPr>
      </w:pPr>
    </w:p>
    <w:p>
      <w:pPr>
        <w:pStyle w:val="10"/>
        <w:spacing w:line="360" w:lineRule="auto"/>
        <w:ind w:firstLine="478" w:firstLineChars="200"/>
        <w:jc w:val="left"/>
        <w:rPr>
          <w:rFonts w:ascii="宋体" w:hAnsi="宋体" w:cs="宋体"/>
          <w:b/>
          <w:bCs/>
          <w:color w:val="auto"/>
          <w:spacing w:val="-1"/>
          <w:sz w:val="24"/>
          <w:highlight w:val="none"/>
        </w:rPr>
      </w:pPr>
      <w:r>
        <w:rPr>
          <w:rFonts w:hint="eastAsia" w:ascii="宋体" w:hAnsi="宋体" w:cs="宋体"/>
          <w:b/>
          <w:bCs/>
          <w:color w:val="auto"/>
          <w:spacing w:val="-1"/>
          <w:sz w:val="24"/>
          <w:highlight w:val="none"/>
        </w:rPr>
        <w:t>注：若产品出自符合国家规定的监狱企业，则该产品制造企业必须出具上述声明函，且供应商必须提供由省级以上监狱管理局、戒毒管理局（含新疆生产建设兵团）出具的属于监狱企业的证明文件，否则在评审时将不考虑对该监狱企业的相关优惠。监狱企业视同小型、微型企业，享受评审中价格扣除等政府采购促进中小企业发展的政府采购政策。</w:t>
      </w:r>
    </w:p>
    <w:p>
      <w:pPr>
        <w:pStyle w:val="10"/>
        <w:spacing w:line="360" w:lineRule="auto"/>
        <w:jc w:val="center"/>
        <w:rPr>
          <w:rFonts w:ascii="宋体" w:hAnsi="宋体" w:cs="宋体"/>
          <w:b/>
          <w:color w:val="auto"/>
          <w:kern w:val="0"/>
          <w:sz w:val="24"/>
          <w:highlight w:val="none"/>
        </w:rPr>
      </w:pPr>
      <w:r>
        <w:rPr>
          <w:rFonts w:hint="eastAsia" w:ascii="宋体" w:hAnsi="宋体" w:cs="宋体"/>
          <w:b/>
          <w:bCs/>
          <w:color w:val="auto"/>
          <w:spacing w:val="-1"/>
          <w:sz w:val="24"/>
          <w:highlight w:val="none"/>
        </w:rPr>
        <w:br w:type="page"/>
      </w:r>
      <w:bookmarkStart w:id="331" w:name="_Toc30800"/>
      <w:bookmarkStart w:id="332" w:name="_Toc4266"/>
      <w:bookmarkStart w:id="333" w:name="_Toc14423"/>
      <w:bookmarkStart w:id="334" w:name="_Toc12734"/>
      <w:bookmarkStart w:id="335" w:name="_Toc11701"/>
      <w:r>
        <w:rPr>
          <w:rFonts w:hint="eastAsia" w:ascii="宋体" w:hAnsi="宋体" w:cs="宋体"/>
          <w:b/>
          <w:color w:val="auto"/>
          <w:kern w:val="0"/>
          <w:sz w:val="24"/>
          <w:highlight w:val="none"/>
        </w:rPr>
        <w:t>残疾人福利性单位声明函</w:t>
      </w:r>
      <w:bookmarkEnd w:id="331"/>
      <w:bookmarkEnd w:id="332"/>
      <w:bookmarkEnd w:id="333"/>
      <w:bookmarkEnd w:id="334"/>
      <w:bookmarkEnd w:id="335"/>
    </w:p>
    <w:p>
      <w:pPr>
        <w:pStyle w:val="10"/>
        <w:spacing w:line="360" w:lineRule="auto"/>
        <w:ind w:firstLine="420"/>
        <w:jc w:val="center"/>
        <w:rPr>
          <w:rFonts w:ascii="宋体" w:hAnsi="宋体" w:cs="宋体"/>
          <w:color w:val="auto"/>
          <w:sz w:val="24"/>
          <w:highlight w:val="none"/>
        </w:rPr>
      </w:pPr>
      <w:bookmarkStart w:id="336" w:name="_Toc2692"/>
      <w:bookmarkStart w:id="337" w:name="_Toc22532"/>
      <w:bookmarkStart w:id="338" w:name="_Toc32658"/>
      <w:bookmarkStart w:id="339" w:name="_Toc32663"/>
      <w:bookmarkStart w:id="340" w:name="_Toc11539"/>
      <w:r>
        <w:rPr>
          <w:rFonts w:hint="eastAsia" w:ascii="宋体" w:hAnsi="宋体" w:cs="宋体"/>
          <w:color w:val="auto"/>
          <w:sz w:val="24"/>
          <w:highlight w:val="none"/>
        </w:rPr>
        <w:t>（不属于残疾人福利性单位的无需填写）</w:t>
      </w:r>
      <w:bookmarkEnd w:id="336"/>
      <w:bookmarkEnd w:id="337"/>
      <w:bookmarkEnd w:id="338"/>
      <w:bookmarkEnd w:id="339"/>
      <w:bookmarkEnd w:id="340"/>
    </w:p>
    <w:p>
      <w:pPr>
        <w:pStyle w:val="10"/>
        <w:spacing w:line="360" w:lineRule="auto"/>
        <w:ind w:firstLine="420"/>
        <w:jc w:val="left"/>
        <w:rPr>
          <w:rFonts w:ascii="宋体" w:hAnsi="宋体" w:cs="宋体"/>
          <w:color w:val="auto"/>
          <w:sz w:val="24"/>
          <w:highlight w:val="none"/>
        </w:rPr>
      </w:pPr>
    </w:p>
    <w:p>
      <w:pPr>
        <w:pStyle w:val="1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w:t>
      </w:r>
      <w:r>
        <w:rPr>
          <w:rFonts w:hint="eastAsia" w:ascii="宋体" w:hAnsi="宋体" w:cs="宋体"/>
          <w:color w:val="auto"/>
          <w:spacing w:val="-10"/>
          <w:sz w:val="24"/>
          <w:highlight w:val="none"/>
        </w:rPr>
        <w:t xml:space="preserve">的通知》（财库〔2017〕  </w:t>
      </w:r>
      <w:r>
        <w:rPr>
          <w:rFonts w:hint="eastAsia" w:ascii="宋体" w:hAnsi="宋体" w:cs="宋体"/>
          <w:color w:val="auto"/>
          <w:sz w:val="24"/>
          <w:highlight w:val="none"/>
        </w:rPr>
        <w:t>141</w:t>
      </w:r>
      <w:r>
        <w:rPr>
          <w:rFonts w:hint="eastAsia" w:ascii="宋体" w:hAnsi="宋体" w:cs="宋体"/>
          <w:color w:val="auto"/>
          <w:spacing w:val="-32"/>
          <w:sz w:val="24"/>
          <w:highlight w:val="none"/>
        </w:rPr>
        <w:t xml:space="preserve"> </w:t>
      </w:r>
      <w:r>
        <w:rPr>
          <w:rFonts w:hint="eastAsia" w:ascii="宋体" w:hAnsi="宋体" w:cs="宋体"/>
          <w:color w:val="auto"/>
          <w:sz w:val="24"/>
          <w:highlight w:val="none"/>
        </w:rPr>
        <w:t>号）的规定，本单位为符合条件的残疾人福利性单位，且本单位参加</w:t>
      </w:r>
      <w:r>
        <w:rPr>
          <w:rFonts w:hint="eastAsia" w:ascii="宋体" w:hAnsi="宋体" w:cs="宋体"/>
          <w:color w:val="auto"/>
          <w:sz w:val="24"/>
          <w:highlight w:val="none"/>
          <w:u w:val="single" w:color="000000"/>
        </w:rPr>
        <w:t xml:space="preserve"> </w:t>
      </w:r>
      <w:r>
        <w:rPr>
          <w:rFonts w:hint="eastAsia" w:ascii="宋体" w:hAnsi="宋体" w:cs="宋体"/>
          <w:color w:val="auto"/>
          <w:sz w:val="24"/>
          <w:highlight w:val="none"/>
          <w:u w:val="single" w:color="000000"/>
        </w:rPr>
        <w:tab/>
      </w:r>
      <w:r>
        <w:rPr>
          <w:rFonts w:hint="eastAsia" w:ascii="宋体" w:hAnsi="宋体" w:cs="宋体"/>
          <w:color w:val="auto"/>
          <w:sz w:val="24"/>
          <w:highlight w:val="none"/>
          <w:u w:val="single" w:color="000000"/>
        </w:rPr>
        <w:t xml:space="preserve">         </w:t>
      </w:r>
      <w:r>
        <w:rPr>
          <w:rFonts w:hint="eastAsia" w:ascii="宋体" w:hAnsi="宋体" w:cs="宋体"/>
          <w:color w:val="auto"/>
          <w:spacing w:val="-1"/>
          <w:sz w:val="24"/>
          <w:highlight w:val="none"/>
        </w:rPr>
        <w:t>单位的</w:t>
      </w:r>
      <w:r>
        <w:rPr>
          <w:rFonts w:hint="eastAsia" w:ascii="宋体" w:hAnsi="宋体" w:cs="宋体"/>
          <w:color w:val="auto"/>
          <w:spacing w:val="-1"/>
          <w:sz w:val="24"/>
          <w:highlight w:val="none"/>
          <w:u w:val="single" w:color="000000"/>
        </w:rPr>
        <w:tab/>
      </w:r>
      <w:r>
        <w:rPr>
          <w:rFonts w:hint="eastAsia" w:ascii="宋体" w:hAnsi="宋体" w:cs="宋体"/>
          <w:color w:val="auto"/>
          <w:spacing w:val="-1"/>
          <w:sz w:val="24"/>
          <w:highlight w:val="none"/>
          <w:u w:val="single" w:color="000000"/>
        </w:rPr>
        <w:t xml:space="preserve">              </w:t>
      </w:r>
      <w:r>
        <w:rPr>
          <w:rFonts w:hint="eastAsia" w:ascii="宋体" w:hAnsi="宋体" w:cs="宋体"/>
          <w:color w:val="auto"/>
          <w:spacing w:val="-4"/>
          <w:sz w:val="24"/>
          <w:highlight w:val="none"/>
        </w:rPr>
        <w:t>项目采购活动提供本单位制造的货物（由本单位承担工程/提供服务），或者提供其他残疾人福利性单位制造的货物（不包括使用非残疾人福利性单位注册商标的货物）。</w:t>
      </w:r>
    </w:p>
    <w:p>
      <w:pPr>
        <w:pStyle w:val="10"/>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460" w:lineRule="exact"/>
        <w:rPr>
          <w:rFonts w:ascii="宋体" w:hAnsi="宋体" w:cs="宋体"/>
          <w:color w:val="auto"/>
          <w:sz w:val="24"/>
          <w:highlight w:val="none"/>
        </w:rPr>
      </w:pPr>
    </w:p>
    <w:p>
      <w:pPr>
        <w:pStyle w:val="10"/>
        <w:spacing w:line="460" w:lineRule="exact"/>
        <w:ind w:firstLine="420"/>
        <w:jc w:val="left"/>
        <w:rPr>
          <w:rFonts w:ascii="宋体" w:hAnsi="宋体" w:cs="宋体"/>
          <w:color w:val="auto"/>
          <w:spacing w:val="-4"/>
          <w:sz w:val="24"/>
          <w:highlight w:val="none"/>
        </w:rPr>
      </w:pPr>
      <w:r>
        <w:rPr>
          <w:rFonts w:hint="eastAsia" w:ascii="宋体" w:hAnsi="宋体" w:cs="宋体"/>
          <w:color w:val="auto"/>
          <w:spacing w:val="-4"/>
          <w:sz w:val="24"/>
          <w:highlight w:val="none"/>
        </w:rPr>
        <w:t>注： 单独列出所供残疾人福利性单位制造的货物产品单价和总价。</w:t>
      </w:r>
    </w:p>
    <w:p>
      <w:pPr>
        <w:pStyle w:val="10"/>
        <w:spacing w:line="460" w:lineRule="exact"/>
        <w:jc w:val="left"/>
        <w:rPr>
          <w:rFonts w:ascii="宋体" w:hAnsi="宋体" w:cs="宋体"/>
          <w:color w:val="auto"/>
          <w:sz w:val="24"/>
          <w:highlight w:val="none"/>
        </w:rPr>
      </w:pPr>
      <w:r>
        <w:rPr>
          <w:rFonts w:hint="eastAsia" w:ascii="宋体" w:hAnsi="宋体" w:cs="宋体"/>
          <w:color w:val="auto"/>
          <w:spacing w:val="-5"/>
          <w:sz w:val="24"/>
          <w:highlight w:val="none"/>
        </w:rPr>
        <w:t>（若响应文件中无上述材料，则在评审时不考虑对该</w:t>
      </w:r>
      <w:r>
        <w:rPr>
          <w:rFonts w:hint="eastAsia" w:ascii="宋体" w:hAnsi="宋体" w:cs="宋体"/>
          <w:color w:val="auto"/>
          <w:spacing w:val="-4"/>
          <w:sz w:val="24"/>
          <w:highlight w:val="none"/>
        </w:rPr>
        <w:t>残疾人福利性单位</w:t>
      </w:r>
      <w:r>
        <w:rPr>
          <w:rFonts w:hint="eastAsia" w:ascii="宋体" w:hAnsi="宋体" w:cs="宋体"/>
          <w:color w:val="auto"/>
          <w:spacing w:val="-5"/>
          <w:sz w:val="24"/>
          <w:highlight w:val="none"/>
        </w:rPr>
        <w:t>的相关优惠。）</w:t>
      </w:r>
    </w:p>
    <w:p>
      <w:pPr>
        <w:spacing w:line="460" w:lineRule="exact"/>
        <w:rPr>
          <w:rFonts w:ascii="宋体" w:hAnsi="宋体" w:cs="宋体"/>
          <w:color w:val="auto"/>
          <w:sz w:val="24"/>
          <w:highlight w:val="none"/>
        </w:rPr>
      </w:pPr>
    </w:p>
    <w:p>
      <w:pPr>
        <w:pStyle w:val="2"/>
        <w:rPr>
          <w:color w:val="auto"/>
          <w:highlight w:val="none"/>
        </w:rPr>
      </w:pPr>
    </w:p>
    <w:p>
      <w:pPr>
        <w:spacing w:line="460" w:lineRule="exact"/>
        <w:ind w:firstLine="480" w:firstLineChars="200"/>
        <w:rPr>
          <w:rFonts w:ascii="宋体" w:hAnsi="宋体" w:cs="宋体"/>
          <w:color w:val="auto"/>
          <w:sz w:val="24"/>
          <w:highlight w:val="none"/>
          <w:lang w:val="zh-CN"/>
        </w:rPr>
      </w:pPr>
      <w:r>
        <w:rPr>
          <w:rFonts w:hint="eastAsia" w:ascii="宋体" w:hAnsi="宋体"/>
          <w:color w:val="auto"/>
          <w:sz w:val="24"/>
          <w:highlight w:val="none"/>
        </w:rPr>
        <w:t>供应商全称（加盖单位公章）：</w:t>
      </w:r>
      <w:r>
        <w:rPr>
          <w:rFonts w:hint="eastAsia" w:ascii="宋体" w:hAnsi="宋体" w:cs="宋体"/>
          <w:color w:val="auto"/>
          <w:sz w:val="24"/>
          <w:highlight w:val="none"/>
          <w:u w:val="single"/>
        </w:rPr>
        <w:t>　　　　　　　　　　　　</w:t>
      </w:r>
    </w:p>
    <w:p>
      <w:pPr>
        <w:spacing w:line="500" w:lineRule="exact"/>
        <w:ind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lang w:val="zh-CN"/>
        </w:rPr>
        <w:t>法定代表人或其委托代理人（签字或盖章）：</w:t>
      </w:r>
      <w:r>
        <w:rPr>
          <w:rFonts w:hint="eastAsia" w:ascii="宋体" w:hAnsi="宋体" w:cs="宋体"/>
          <w:color w:val="auto"/>
          <w:sz w:val="24"/>
          <w:highlight w:val="none"/>
          <w:u w:val="single"/>
        </w:rPr>
        <w:t>　　　　　　  　　　　</w:t>
      </w:r>
    </w:p>
    <w:p>
      <w:pPr>
        <w:spacing w:line="500" w:lineRule="exact"/>
        <w:ind w:firstLine="480" w:firstLineChars="200"/>
        <w:jc w:val="left"/>
        <w:rPr>
          <w:rFonts w:ascii="宋体" w:hAnsi="宋体"/>
          <w:b/>
          <w:color w:val="auto"/>
          <w:sz w:val="30"/>
          <w:szCs w:val="30"/>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w:t>
      </w:r>
      <w:r>
        <w:rPr>
          <w:rFonts w:hint="eastAsia" w:ascii="宋体" w:hAnsi="宋体" w:cs="宋体"/>
          <w:color w:val="auto"/>
          <w:sz w:val="24"/>
          <w:highlight w:val="none"/>
        </w:rPr>
        <w:t>年</w:t>
      </w:r>
      <w:r>
        <w:rPr>
          <w:rFonts w:hint="eastAsia" w:ascii="宋体" w:hAnsi="宋体" w:cs="宋体"/>
          <w:color w:val="auto"/>
          <w:sz w:val="24"/>
          <w:highlight w:val="none"/>
          <w:u w:val="single"/>
        </w:rPr>
        <w:t>　　</w:t>
      </w:r>
      <w:r>
        <w:rPr>
          <w:rFonts w:hint="eastAsia" w:ascii="宋体" w:hAnsi="宋体" w:cs="宋体"/>
          <w:color w:val="auto"/>
          <w:sz w:val="24"/>
          <w:highlight w:val="none"/>
        </w:rPr>
        <w:t>月</w:t>
      </w:r>
      <w:r>
        <w:rPr>
          <w:rFonts w:hint="eastAsia" w:ascii="宋体" w:hAnsi="宋体" w:cs="宋体"/>
          <w:color w:val="auto"/>
          <w:sz w:val="24"/>
          <w:highlight w:val="none"/>
          <w:u w:val="single"/>
        </w:rPr>
        <w:t>　　</w:t>
      </w:r>
      <w:r>
        <w:rPr>
          <w:rFonts w:hint="eastAsia" w:ascii="宋体" w:hAnsi="宋体" w:cs="宋体"/>
          <w:color w:val="auto"/>
          <w:sz w:val="24"/>
          <w:highlight w:val="none"/>
        </w:rPr>
        <w:t>日</w:t>
      </w:r>
    </w:p>
    <w:p>
      <w:pPr>
        <w:spacing w:line="360" w:lineRule="auto"/>
        <w:ind w:firstLine="480" w:firstLineChars="200"/>
        <w:jc w:val="left"/>
        <w:rPr>
          <w:rFonts w:ascii="宋体" w:hAnsi="宋体" w:cs="宋体"/>
          <w:color w:val="auto"/>
          <w:sz w:val="24"/>
          <w:highlight w:val="none"/>
        </w:rPr>
      </w:pPr>
    </w:p>
    <w:p>
      <w:pPr>
        <w:pStyle w:val="10"/>
        <w:spacing w:line="460" w:lineRule="exact"/>
        <w:ind w:hanging="27"/>
        <w:jc w:val="left"/>
        <w:rPr>
          <w:rFonts w:ascii="宋体" w:hAnsi="宋体" w:cs="宋体"/>
          <w:color w:val="auto"/>
          <w:sz w:val="24"/>
          <w:highlight w:val="none"/>
        </w:rPr>
      </w:pPr>
    </w:p>
    <w:p>
      <w:pPr>
        <w:spacing w:line="460" w:lineRule="exact"/>
        <w:rPr>
          <w:rFonts w:ascii="宋体" w:hAnsi="宋体" w:cs="宋体"/>
          <w:color w:val="auto"/>
          <w:sz w:val="24"/>
          <w:highlight w:val="none"/>
        </w:rPr>
      </w:pPr>
    </w:p>
    <w:p>
      <w:pPr>
        <w:pStyle w:val="15"/>
        <w:spacing w:after="0" w:line="460" w:lineRule="exact"/>
        <w:ind w:left="0" w:leftChars="0" w:firstLine="478"/>
        <w:rPr>
          <w:color w:val="auto"/>
          <w:highlight w:val="none"/>
        </w:rPr>
      </w:pPr>
      <w:r>
        <w:rPr>
          <w:rFonts w:hint="eastAsia" w:ascii="宋体" w:hAnsi="宋体" w:cs="宋体"/>
          <w:b/>
          <w:bCs/>
          <w:color w:val="auto"/>
          <w:spacing w:val="-1"/>
          <w:sz w:val="24"/>
          <w:highlight w:val="none"/>
        </w:rPr>
        <w:t>注：符合条件的残疾人福利性单位在参加政府采购活动时，应当提供本通知规定的《残疾人福利性单位声明函》，并对声明的真实性负责。采购代理机构在随成交结果同时公告其《残疾人福利性单位声明函》，接受社会监督。供应商提供的《残疾人福利性单位声明函》与事实不符的，依照《政府采购法》第七十七条第一款的规定追究法律责任。</w:t>
      </w:r>
    </w:p>
    <w:bookmarkEnd w:id="325"/>
    <w:p>
      <w:pPr>
        <w:rPr>
          <w:b/>
          <w:bCs/>
          <w:color w:val="auto"/>
          <w:sz w:val="28"/>
          <w:szCs w:val="28"/>
          <w:highlight w:val="none"/>
        </w:rPr>
      </w:pPr>
      <w:bookmarkStart w:id="341" w:name="_Toc20437"/>
      <w:bookmarkStart w:id="342" w:name="_Toc5784"/>
      <w:bookmarkStart w:id="343" w:name="_Toc7415"/>
      <w:bookmarkStart w:id="344" w:name="_Toc13290"/>
      <w:bookmarkStart w:id="345" w:name="_Toc9393"/>
      <w:bookmarkStart w:id="346" w:name="_Toc17206"/>
      <w:bookmarkStart w:id="347" w:name="_Toc28923"/>
      <w:bookmarkStart w:id="348" w:name="_Toc29718"/>
      <w:bookmarkStart w:id="349" w:name="_Toc18930"/>
      <w:bookmarkStart w:id="350" w:name="_Toc3214"/>
      <w:bookmarkStart w:id="351" w:name="_Toc31778"/>
      <w:r>
        <w:rPr>
          <w:rFonts w:hint="eastAsia"/>
          <w:b/>
          <w:bCs/>
          <w:color w:val="auto"/>
          <w:sz w:val="28"/>
          <w:szCs w:val="28"/>
          <w:highlight w:val="none"/>
        </w:rPr>
        <w:br w:type="page"/>
      </w:r>
    </w:p>
    <w:p>
      <w:pPr>
        <w:spacing w:line="360" w:lineRule="auto"/>
        <w:jc w:val="center"/>
        <w:rPr>
          <w:color w:val="auto"/>
          <w:highlight w:val="none"/>
        </w:rPr>
      </w:pPr>
      <w:r>
        <w:rPr>
          <w:rFonts w:hint="eastAsia"/>
          <w:b/>
          <w:bCs/>
          <w:color w:val="auto"/>
          <w:sz w:val="28"/>
          <w:szCs w:val="28"/>
          <w:highlight w:val="none"/>
        </w:rPr>
        <w:t>七、</w:t>
      </w:r>
      <w:r>
        <w:rPr>
          <w:b/>
          <w:bCs/>
          <w:color w:val="auto"/>
          <w:sz w:val="28"/>
          <w:szCs w:val="28"/>
          <w:highlight w:val="none"/>
        </w:rPr>
        <w:t>技术</w:t>
      </w:r>
      <w:r>
        <w:rPr>
          <w:rFonts w:hint="eastAsia"/>
          <w:b/>
          <w:bCs/>
          <w:color w:val="auto"/>
          <w:sz w:val="28"/>
          <w:szCs w:val="28"/>
          <w:highlight w:val="none"/>
        </w:rPr>
        <w:t>需求</w:t>
      </w:r>
      <w:r>
        <w:rPr>
          <w:b/>
          <w:bCs/>
          <w:color w:val="auto"/>
          <w:sz w:val="28"/>
          <w:szCs w:val="28"/>
          <w:highlight w:val="none"/>
        </w:rPr>
        <w:t>偏离表</w:t>
      </w:r>
      <w:bookmarkEnd w:id="341"/>
      <w:bookmarkEnd w:id="342"/>
      <w:bookmarkEnd w:id="343"/>
    </w:p>
    <w:tbl>
      <w:tblPr>
        <w:tblStyle w:val="25"/>
        <w:tblW w:w="9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564"/>
        <w:gridCol w:w="2941"/>
        <w:gridCol w:w="280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698" w:type="dxa"/>
            <w:vAlign w:val="center"/>
          </w:tcPr>
          <w:p>
            <w:pPr>
              <w:autoSpaceDE w:val="0"/>
              <w:autoSpaceDN w:val="0"/>
              <w:spacing w:line="500" w:lineRule="exact"/>
              <w:jc w:val="center"/>
              <w:rPr>
                <w:color w:val="auto"/>
                <w:sz w:val="24"/>
                <w:highlight w:val="none"/>
              </w:rPr>
            </w:pPr>
            <w:r>
              <w:rPr>
                <w:color w:val="auto"/>
                <w:sz w:val="24"/>
                <w:highlight w:val="none"/>
              </w:rPr>
              <w:t>序号</w:t>
            </w:r>
          </w:p>
        </w:tc>
        <w:tc>
          <w:tcPr>
            <w:tcW w:w="1564" w:type="dxa"/>
            <w:vAlign w:val="center"/>
          </w:tcPr>
          <w:p>
            <w:pPr>
              <w:autoSpaceDE w:val="0"/>
              <w:autoSpaceDN w:val="0"/>
              <w:spacing w:line="500" w:lineRule="exact"/>
              <w:jc w:val="center"/>
              <w:rPr>
                <w:color w:val="auto"/>
                <w:sz w:val="24"/>
                <w:highlight w:val="none"/>
              </w:rPr>
            </w:pPr>
            <w:r>
              <w:rPr>
                <w:rFonts w:hint="eastAsia"/>
                <w:color w:val="auto"/>
                <w:sz w:val="24"/>
                <w:highlight w:val="none"/>
              </w:rPr>
              <w:t>产品</w:t>
            </w:r>
            <w:r>
              <w:rPr>
                <w:color w:val="auto"/>
                <w:sz w:val="24"/>
                <w:highlight w:val="none"/>
              </w:rPr>
              <w:t>名称</w:t>
            </w:r>
          </w:p>
        </w:tc>
        <w:tc>
          <w:tcPr>
            <w:tcW w:w="2941" w:type="dxa"/>
            <w:vAlign w:val="center"/>
          </w:tcPr>
          <w:p>
            <w:pPr>
              <w:autoSpaceDE w:val="0"/>
              <w:autoSpaceDN w:val="0"/>
              <w:spacing w:line="400" w:lineRule="exact"/>
              <w:jc w:val="center"/>
              <w:rPr>
                <w:color w:val="auto"/>
                <w:sz w:val="24"/>
                <w:highlight w:val="none"/>
              </w:rPr>
            </w:pPr>
            <w:r>
              <w:rPr>
                <w:rFonts w:hint="eastAsia"/>
                <w:color w:val="auto"/>
                <w:sz w:val="24"/>
                <w:highlight w:val="none"/>
              </w:rPr>
              <w:t>询价文件要求的</w:t>
            </w:r>
            <w:r>
              <w:rPr>
                <w:color w:val="auto"/>
                <w:sz w:val="24"/>
                <w:highlight w:val="none"/>
              </w:rPr>
              <w:t>技术</w:t>
            </w:r>
            <w:r>
              <w:rPr>
                <w:rFonts w:hint="eastAsia"/>
                <w:color w:val="auto"/>
                <w:sz w:val="24"/>
                <w:highlight w:val="none"/>
              </w:rPr>
              <w:t>需求</w:t>
            </w:r>
          </w:p>
        </w:tc>
        <w:tc>
          <w:tcPr>
            <w:tcW w:w="2805" w:type="dxa"/>
            <w:vAlign w:val="center"/>
          </w:tcPr>
          <w:p>
            <w:pPr>
              <w:autoSpaceDE w:val="0"/>
              <w:autoSpaceDN w:val="0"/>
              <w:spacing w:line="500" w:lineRule="exact"/>
              <w:jc w:val="center"/>
              <w:rPr>
                <w:color w:val="auto"/>
                <w:sz w:val="24"/>
                <w:highlight w:val="none"/>
              </w:rPr>
            </w:pPr>
            <w:r>
              <w:rPr>
                <w:rFonts w:hint="eastAsia"/>
                <w:color w:val="auto"/>
                <w:sz w:val="24"/>
                <w:highlight w:val="none"/>
              </w:rPr>
              <w:t>响应</w:t>
            </w:r>
            <w:r>
              <w:rPr>
                <w:color w:val="auto"/>
                <w:sz w:val="24"/>
                <w:highlight w:val="none"/>
              </w:rPr>
              <w:t>文件技术参数</w:t>
            </w:r>
          </w:p>
        </w:tc>
        <w:tc>
          <w:tcPr>
            <w:tcW w:w="1186" w:type="dxa"/>
            <w:vAlign w:val="center"/>
          </w:tcPr>
          <w:p>
            <w:pPr>
              <w:autoSpaceDE w:val="0"/>
              <w:autoSpaceDN w:val="0"/>
              <w:spacing w:line="500" w:lineRule="exact"/>
              <w:jc w:val="center"/>
              <w:rPr>
                <w:color w:val="auto"/>
                <w:sz w:val="24"/>
                <w:highlight w:val="none"/>
              </w:rPr>
            </w:pPr>
            <w:r>
              <w:rPr>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98" w:type="dxa"/>
          </w:tcPr>
          <w:p>
            <w:pPr>
              <w:autoSpaceDE w:val="0"/>
              <w:autoSpaceDN w:val="0"/>
              <w:spacing w:line="500" w:lineRule="exact"/>
              <w:rPr>
                <w:b/>
                <w:color w:val="auto"/>
                <w:sz w:val="24"/>
                <w:highlight w:val="none"/>
              </w:rPr>
            </w:pPr>
          </w:p>
        </w:tc>
        <w:tc>
          <w:tcPr>
            <w:tcW w:w="1564" w:type="dxa"/>
          </w:tcPr>
          <w:p>
            <w:pPr>
              <w:autoSpaceDE w:val="0"/>
              <w:autoSpaceDN w:val="0"/>
              <w:spacing w:line="500" w:lineRule="exact"/>
              <w:rPr>
                <w:b/>
                <w:color w:val="auto"/>
                <w:sz w:val="24"/>
                <w:highlight w:val="none"/>
              </w:rPr>
            </w:pPr>
          </w:p>
        </w:tc>
        <w:tc>
          <w:tcPr>
            <w:tcW w:w="2941" w:type="dxa"/>
          </w:tcPr>
          <w:p>
            <w:pPr>
              <w:autoSpaceDE w:val="0"/>
              <w:autoSpaceDN w:val="0"/>
              <w:spacing w:line="500" w:lineRule="exact"/>
              <w:rPr>
                <w:b/>
                <w:color w:val="auto"/>
                <w:sz w:val="24"/>
                <w:highlight w:val="none"/>
              </w:rPr>
            </w:pPr>
          </w:p>
        </w:tc>
        <w:tc>
          <w:tcPr>
            <w:tcW w:w="2805" w:type="dxa"/>
          </w:tcPr>
          <w:p>
            <w:pPr>
              <w:autoSpaceDE w:val="0"/>
              <w:autoSpaceDN w:val="0"/>
              <w:spacing w:line="500" w:lineRule="exact"/>
              <w:rPr>
                <w:b/>
                <w:color w:val="auto"/>
                <w:sz w:val="24"/>
                <w:highlight w:val="none"/>
              </w:rPr>
            </w:pPr>
          </w:p>
        </w:tc>
        <w:tc>
          <w:tcPr>
            <w:tcW w:w="1186" w:type="dxa"/>
          </w:tcPr>
          <w:p>
            <w:pPr>
              <w:autoSpaceDE w:val="0"/>
              <w:autoSpaceDN w:val="0"/>
              <w:spacing w:line="500" w:lineRule="exact"/>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98" w:type="dxa"/>
          </w:tcPr>
          <w:p>
            <w:pPr>
              <w:autoSpaceDE w:val="0"/>
              <w:autoSpaceDN w:val="0"/>
              <w:spacing w:line="500" w:lineRule="exact"/>
              <w:rPr>
                <w:b/>
                <w:color w:val="auto"/>
                <w:sz w:val="24"/>
                <w:highlight w:val="none"/>
              </w:rPr>
            </w:pPr>
          </w:p>
        </w:tc>
        <w:tc>
          <w:tcPr>
            <w:tcW w:w="1564" w:type="dxa"/>
          </w:tcPr>
          <w:p>
            <w:pPr>
              <w:autoSpaceDE w:val="0"/>
              <w:autoSpaceDN w:val="0"/>
              <w:spacing w:line="500" w:lineRule="exact"/>
              <w:rPr>
                <w:b/>
                <w:color w:val="auto"/>
                <w:sz w:val="24"/>
                <w:highlight w:val="none"/>
              </w:rPr>
            </w:pPr>
          </w:p>
        </w:tc>
        <w:tc>
          <w:tcPr>
            <w:tcW w:w="2941" w:type="dxa"/>
          </w:tcPr>
          <w:p>
            <w:pPr>
              <w:autoSpaceDE w:val="0"/>
              <w:autoSpaceDN w:val="0"/>
              <w:spacing w:line="500" w:lineRule="exact"/>
              <w:rPr>
                <w:b/>
                <w:color w:val="auto"/>
                <w:sz w:val="24"/>
                <w:highlight w:val="none"/>
              </w:rPr>
            </w:pPr>
          </w:p>
        </w:tc>
        <w:tc>
          <w:tcPr>
            <w:tcW w:w="2805" w:type="dxa"/>
          </w:tcPr>
          <w:p>
            <w:pPr>
              <w:autoSpaceDE w:val="0"/>
              <w:autoSpaceDN w:val="0"/>
              <w:spacing w:line="500" w:lineRule="exact"/>
              <w:rPr>
                <w:b/>
                <w:color w:val="auto"/>
                <w:sz w:val="24"/>
                <w:highlight w:val="none"/>
              </w:rPr>
            </w:pPr>
          </w:p>
        </w:tc>
        <w:tc>
          <w:tcPr>
            <w:tcW w:w="1186" w:type="dxa"/>
          </w:tcPr>
          <w:p>
            <w:pPr>
              <w:autoSpaceDE w:val="0"/>
              <w:autoSpaceDN w:val="0"/>
              <w:spacing w:line="500" w:lineRule="exact"/>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98" w:type="dxa"/>
          </w:tcPr>
          <w:p>
            <w:pPr>
              <w:autoSpaceDE w:val="0"/>
              <w:autoSpaceDN w:val="0"/>
              <w:spacing w:line="500" w:lineRule="exact"/>
              <w:rPr>
                <w:b/>
                <w:color w:val="auto"/>
                <w:sz w:val="24"/>
                <w:highlight w:val="none"/>
              </w:rPr>
            </w:pPr>
          </w:p>
        </w:tc>
        <w:tc>
          <w:tcPr>
            <w:tcW w:w="1564" w:type="dxa"/>
          </w:tcPr>
          <w:p>
            <w:pPr>
              <w:autoSpaceDE w:val="0"/>
              <w:autoSpaceDN w:val="0"/>
              <w:spacing w:line="500" w:lineRule="exact"/>
              <w:rPr>
                <w:b/>
                <w:color w:val="auto"/>
                <w:sz w:val="24"/>
                <w:highlight w:val="none"/>
              </w:rPr>
            </w:pPr>
          </w:p>
        </w:tc>
        <w:tc>
          <w:tcPr>
            <w:tcW w:w="2941" w:type="dxa"/>
          </w:tcPr>
          <w:p>
            <w:pPr>
              <w:autoSpaceDE w:val="0"/>
              <w:autoSpaceDN w:val="0"/>
              <w:spacing w:line="500" w:lineRule="exact"/>
              <w:rPr>
                <w:b/>
                <w:color w:val="auto"/>
                <w:sz w:val="24"/>
                <w:highlight w:val="none"/>
              </w:rPr>
            </w:pPr>
          </w:p>
        </w:tc>
        <w:tc>
          <w:tcPr>
            <w:tcW w:w="2805" w:type="dxa"/>
          </w:tcPr>
          <w:p>
            <w:pPr>
              <w:autoSpaceDE w:val="0"/>
              <w:autoSpaceDN w:val="0"/>
              <w:spacing w:line="500" w:lineRule="exact"/>
              <w:rPr>
                <w:b/>
                <w:color w:val="auto"/>
                <w:sz w:val="24"/>
                <w:highlight w:val="none"/>
              </w:rPr>
            </w:pPr>
          </w:p>
        </w:tc>
        <w:tc>
          <w:tcPr>
            <w:tcW w:w="1186" w:type="dxa"/>
          </w:tcPr>
          <w:p>
            <w:pPr>
              <w:autoSpaceDE w:val="0"/>
              <w:autoSpaceDN w:val="0"/>
              <w:spacing w:line="500" w:lineRule="exact"/>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98" w:type="dxa"/>
          </w:tcPr>
          <w:p>
            <w:pPr>
              <w:autoSpaceDE w:val="0"/>
              <w:autoSpaceDN w:val="0"/>
              <w:spacing w:line="500" w:lineRule="exact"/>
              <w:rPr>
                <w:b/>
                <w:color w:val="auto"/>
                <w:sz w:val="24"/>
                <w:highlight w:val="none"/>
              </w:rPr>
            </w:pPr>
          </w:p>
        </w:tc>
        <w:tc>
          <w:tcPr>
            <w:tcW w:w="1564" w:type="dxa"/>
          </w:tcPr>
          <w:p>
            <w:pPr>
              <w:autoSpaceDE w:val="0"/>
              <w:autoSpaceDN w:val="0"/>
              <w:spacing w:line="500" w:lineRule="exact"/>
              <w:rPr>
                <w:b/>
                <w:color w:val="auto"/>
                <w:sz w:val="24"/>
                <w:highlight w:val="none"/>
              </w:rPr>
            </w:pPr>
          </w:p>
        </w:tc>
        <w:tc>
          <w:tcPr>
            <w:tcW w:w="2941" w:type="dxa"/>
          </w:tcPr>
          <w:p>
            <w:pPr>
              <w:autoSpaceDE w:val="0"/>
              <w:autoSpaceDN w:val="0"/>
              <w:spacing w:line="500" w:lineRule="exact"/>
              <w:rPr>
                <w:b/>
                <w:color w:val="auto"/>
                <w:sz w:val="24"/>
                <w:highlight w:val="none"/>
              </w:rPr>
            </w:pPr>
          </w:p>
        </w:tc>
        <w:tc>
          <w:tcPr>
            <w:tcW w:w="2805" w:type="dxa"/>
          </w:tcPr>
          <w:p>
            <w:pPr>
              <w:autoSpaceDE w:val="0"/>
              <w:autoSpaceDN w:val="0"/>
              <w:spacing w:line="500" w:lineRule="exact"/>
              <w:rPr>
                <w:b/>
                <w:color w:val="auto"/>
                <w:sz w:val="24"/>
                <w:highlight w:val="none"/>
              </w:rPr>
            </w:pPr>
          </w:p>
        </w:tc>
        <w:tc>
          <w:tcPr>
            <w:tcW w:w="1186" w:type="dxa"/>
          </w:tcPr>
          <w:p>
            <w:pPr>
              <w:autoSpaceDE w:val="0"/>
              <w:autoSpaceDN w:val="0"/>
              <w:spacing w:line="500" w:lineRule="exact"/>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698" w:type="dxa"/>
          </w:tcPr>
          <w:p>
            <w:pPr>
              <w:autoSpaceDE w:val="0"/>
              <w:autoSpaceDN w:val="0"/>
              <w:spacing w:line="500" w:lineRule="exact"/>
              <w:rPr>
                <w:b/>
                <w:color w:val="auto"/>
                <w:sz w:val="24"/>
                <w:highlight w:val="none"/>
              </w:rPr>
            </w:pPr>
          </w:p>
        </w:tc>
        <w:tc>
          <w:tcPr>
            <w:tcW w:w="1564" w:type="dxa"/>
          </w:tcPr>
          <w:p>
            <w:pPr>
              <w:autoSpaceDE w:val="0"/>
              <w:autoSpaceDN w:val="0"/>
              <w:spacing w:line="500" w:lineRule="exact"/>
              <w:rPr>
                <w:b/>
                <w:color w:val="auto"/>
                <w:sz w:val="24"/>
                <w:highlight w:val="none"/>
              </w:rPr>
            </w:pPr>
          </w:p>
        </w:tc>
        <w:tc>
          <w:tcPr>
            <w:tcW w:w="2941" w:type="dxa"/>
          </w:tcPr>
          <w:p>
            <w:pPr>
              <w:autoSpaceDE w:val="0"/>
              <w:autoSpaceDN w:val="0"/>
              <w:spacing w:line="500" w:lineRule="exact"/>
              <w:rPr>
                <w:b/>
                <w:color w:val="auto"/>
                <w:sz w:val="24"/>
                <w:highlight w:val="none"/>
              </w:rPr>
            </w:pPr>
          </w:p>
        </w:tc>
        <w:tc>
          <w:tcPr>
            <w:tcW w:w="2805" w:type="dxa"/>
          </w:tcPr>
          <w:p>
            <w:pPr>
              <w:autoSpaceDE w:val="0"/>
              <w:autoSpaceDN w:val="0"/>
              <w:spacing w:line="500" w:lineRule="exact"/>
              <w:rPr>
                <w:b/>
                <w:color w:val="auto"/>
                <w:sz w:val="24"/>
                <w:highlight w:val="none"/>
              </w:rPr>
            </w:pPr>
          </w:p>
        </w:tc>
        <w:tc>
          <w:tcPr>
            <w:tcW w:w="1186" w:type="dxa"/>
          </w:tcPr>
          <w:p>
            <w:pPr>
              <w:autoSpaceDE w:val="0"/>
              <w:autoSpaceDN w:val="0"/>
              <w:spacing w:line="500" w:lineRule="exact"/>
              <w:rPr>
                <w:b/>
                <w:color w:val="auto"/>
                <w:sz w:val="24"/>
                <w:highlight w:val="none"/>
              </w:rPr>
            </w:pPr>
          </w:p>
        </w:tc>
      </w:tr>
    </w:tbl>
    <w:p>
      <w:pPr>
        <w:autoSpaceDE w:val="0"/>
        <w:autoSpaceDN w:val="0"/>
        <w:spacing w:line="500" w:lineRule="exact"/>
        <w:rPr>
          <w:color w:val="auto"/>
          <w:sz w:val="24"/>
          <w:highlight w:val="none"/>
        </w:rPr>
      </w:pPr>
      <w:r>
        <w:rPr>
          <w:color w:val="auto"/>
          <w:sz w:val="24"/>
          <w:highlight w:val="none"/>
        </w:rPr>
        <w:t>注：</w:t>
      </w:r>
    </w:p>
    <w:p>
      <w:pPr>
        <w:autoSpaceDE w:val="0"/>
        <w:autoSpaceDN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1.供应商需响应询价文件的技术需求。</w:t>
      </w:r>
    </w:p>
    <w:p>
      <w:pPr>
        <w:autoSpaceDE w:val="0"/>
        <w:autoSpaceDN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2.供应商应按提供货物实际数据填写实际参数，并在偏离说明处填写：正/负/无偏离。</w:t>
      </w:r>
    </w:p>
    <w:p>
      <w:pPr>
        <w:autoSpaceDE w:val="0"/>
        <w:autoSpaceDN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3.供应商响应采购需求应具体、明确；含糊不清、不确切的，按照不完全响应或者完全不响应处理。</w:t>
      </w:r>
    </w:p>
    <w:p>
      <w:pPr>
        <w:autoSpaceDE w:val="0"/>
        <w:autoSpaceDN w:val="0"/>
        <w:spacing w:line="4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4.本表可根据实际需求自行增减行数，但内容不得擅自修改。</w:t>
      </w:r>
    </w:p>
    <w:p>
      <w:pPr>
        <w:spacing w:line="460" w:lineRule="exact"/>
        <w:jc w:val="left"/>
        <w:rPr>
          <w:rFonts w:ascii="宋体" w:hAnsi="宋体"/>
          <w:b/>
          <w:color w:val="auto"/>
          <w:sz w:val="28"/>
          <w:szCs w:val="28"/>
          <w:highlight w:val="none"/>
        </w:rPr>
      </w:pPr>
      <w:r>
        <w:rPr>
          <w:rFonts w:hint="eastAsia" w:ascii="宋体" w:hAnsi="宋体" w:cs="宋体"/>
          <w:color w:val="auto"/>
          <w:sz w:val="24"/>
          <w:highlight w:val="none"/>
        </w:rPr>
        <w:t xml:space="preserve">    5.</w:t>
      </w:r>
      <w:r>
        <w:rPr>
          <w:rFonts w:hint="eastAsia" w:ascii="宋体" w:hAnsi="宋体" w:cs="宋体"/>
          <w:b/>
          <w:bCs/>
          <w:color w:val="auto"/>
          <w:sz w:val="24"/>
          <w:highlight w:val="none"/>
        </w:rPr>
        <w:t>后附产品证明材料。</w:t>
      </w:r>
    </w:p>
    <w:p>
      <w:pPr>
        <w:spacing w:line="360" w:lineRule="auto"/>
        <w:rPr>
          <w:rFonts w:ascii="宋体" w:hAnsi="宋体"/>
          <w:b/>
          <w:color w:val="auto"/>
          <w:sz w:val="24"/>
          <w:highlight w:val="none"/>
        </w:rPr>
      </w:pPr>
    </w:p>
    <w:p>
      <w:pPr>
        <w:pStyle w:val="2"/>
        <w:rPr>
          <w:color w:val="auto"/>
          <w:highlight w:val="none"/>
        </w:rPr>
      </w:pPr>
    </w:p>
    <w:p>
      <w:pPr>
        <w:spacing w:line="360" w:lineRule="auto"/>
        <w:rPr>
          <w:rFonts w:ascii="宋体"/>
          <w:color w:val="auto"/>
          <w:sz w:val="24"/>
          <w:highlight w:val="none"/>
        </w:rPr>
      </w:pPr>
      <w:r>
        <w:rPr>
          <w:rFonts w:hint="eastAsia" w:ascii="宋体" w:hAnsi="宋体" w:cs="宋体"/>
          <w:color w:val="auto"/>
          <w:sz w:val="24"/>
          <w:highlight w:val="none"/>
        </w:rPr>
        <w:t>供应商全称（加盖单位公章）：</w:t>
      </w:r>
      <w:r>
        <w:rPr>
          <w:rFonts w:hint="eastAsia" w:ascii="宋体" w:hAnsi="宋体" w:cs="宋体"/>
          <w:color w:val="auto"/>
          <w:sz w:val="24"/>
          <w:highlight w:val="none"/>
          <w:u w:val="single"/>
        </w:rPr>
        <w:t>　　　　　　　　　　　　</w:t>
      </w:r>
    </w:p>
    <w:p>
      <w:pPr>
        <w:spacing w:line="360" w:lineRule="auto"/>
        <w:rPr>
          <w:rFonts w:ascii="宋体"/>
          <w:color w:val="auto"/>
          <w:sz w:val="24"/>
          <w:highlight w:val="none"/>
        </w:rPr>
      </w:pPr>
      <w:r>
        <w:rPr>
          <w:rFonts w:hint="eastAsia" w:ascii="宋体" w:hAnsi="宋体" w:cs="宋体"/>
          <w:color w:val="auto"/>
          <w:sz w:val="24"/>
          <w:highlight w:val="none"/>
        </w:rPr>
        <w:t>法定代表人或其委托代理人（签字或盖章）：</w:t>
      </w:r>
      <w:r>
        <w:rPr>
          <w:rFonts w:hint="eastAsia" w:ascii="宋体" w:hAnsi="宋体" w:cs="宋体"/>
          <w:color w:val="auto"/>
          <w:sz w:val="24"/>
          <w:highlight w:val="none"/>
          <w:u w:val="single"/>
        </w:rPr>
        <w:t>　　　　　　　　　　</w:t>
      </w:r>
    </w:p>
    <w:p>
      <w:pPr>
        <w:spacing w:line="360" w:lineRule="auto"/>
        <w:jc w:val="left"/>
        <w:rPr>
          <w:rFonts w:ascii="宋体" w:hAnsi="宋体"/>
          <w:b/>
          <w:color w:val="auto"/>
          <w:sz w:val="24"/>
          <w:highlight w:val="none"/>
        </w:rPr>
      </w:pPr>
      <w:r>
        <w:rPr>
          <w:rFonts w:hint="eastAsia" w:ascii="宋体" w:hAnsi="宋体" w:cs="宋体"/>
          <w:color w:val="auto"/>
          <w:sz w:val="24"/>
          <w:highlight w:val="none"/>
        </w:rPr>
        <w:t>日期：</w:t>
      </w:r>
      <w:r>
        <w:rPr>
          <w:rFonts w:hint="eastAsia" w:ascii="宋体" w:hAnsi="宋体" w:cs="宋体"/>
          <w:color w:val="auto"/>
          <w:sz w:val="24"/>
          <w:highlight w:val="none"/>
          <w:u w:val="single"/>
        </w:rPr>
        <w:t>　　　</w:t>
      </w:r>
      <w:r>
        <w:rPr>
          <w:rFonts w:hint="eastAsia" w:ascii="宋体" w:hAnsi="宋体" w:cs="宋体"/>
          <w:color w:val="auto"/>
          <w:sz w:val="24"/>
          <w:highlight w:val="none"/>
        </w:rPr>
        <w:t>年</w:t>
      </w:r>
      <w:r>
        <w:rPr>
          <w:rFonts w:hint="eastAsia" w:ascii="宋体" w:hAnsi="宋体" w:cs="宋体"/>
          <w:color w:val="auto"/>
          <w:sz w:val="24"/>
          <w:highlight w:val="none"/>
          <w:u w:val="single"/>
        </w:rPr>
        <w:t>　　</w:t>
      </w:r>
      <w:r>
        <w:rPr>
          <w:rFonts w:hint="eastAsia" w:ascii="宋体" w:hAnsi="宋体" w:cs="宋体"/>
          <w:color w:val="auto"/>
          <w:sz w:val="24"/>
          <w:highlight w:val="none"/>
        </w:rPr>
        <w:t>月</w:t>
      </w:r>
      <w:r>
        <w:rPr>
          <w:rFonts w:hint="eastAsia" w:ascii="宋体" w:hAnsi="宋体" w:cs="宋体"/>
          <w:color w:val="auto"/>
          <w:sz w:val="24"/>
          <w:highlight w:val="none"/>
          <w:u w:val="single"/>
        </w:rPr>
        <w:t>　　</w:t>
      </w:r>
      <w:r>
        <w:rPr>
          <w:rFonts w:hint="eastAsia" w:ascii="宋体" w:hAnsi="宋体" w:cs="宋体"/>
          <w:color w:val="auto"/>
          <w:sz w:val="24"/>
          <w:highlight w:val="none"/>
        </w:rPr>
        <w:t>日</w:t>
      </w:r>
    </w:p>
    <w:p>
      <w:pPr>
        <w:rPr>
          <w:b/>
          <w:bCs/>
          <w:color w:val="auto"/>
          <w:sz w:val="28"/>
          <w:szCs w:val="28"/>
          <w:highlight w:val="none"/>
        </w:rPr>
      </w:pPr>
      <w:r>
        <w:rPr>
          <w:rFonts w:hint="eastAsia"/>
          <w:b/>
          <w:bCs/>
          <w:color w:val="auto"/>
          <w:sz w:val="28"/>
          <w:szCs w:val="28"/>
          <w:highlight w:val="none"/>
        </w:rPr>
        <w:br w:type="page"/>
      </w:r>
    </w:p>
    <w:p>
      <w:pPr>
        <w:spacing w:line="360" w:lineRule="auto"/>
        <w:jc w:val="center"/>
        <w:rPr>
          <w:color w:val="auto"/>
          <w:highlight w:val="none"/>
        </w:rPr>
      </w:pPr>
      <w:r>
        <w:rPr>
          <w:rFonts w:hint="eastAsia"/>
          <w:b/>
          <w:bCs/>
          <w:color w:val="auto"/>
          <w:sz w:val="28"/>
          <w:szCs w:val="28"/>
          <w:highlight w:val="none"/>
        </w:rPr>
        <w:t>八、商务需求</w:t>
      </w:r>
      <w:r>
        <w:rPr>
          <w:b/>
          <w:bCs/>
          <w:color w:val="auto"/>
          <w:sz w:val="28"/>
          <w:szCs w:val="28"/>
          <w:highlight w:val="none"/>
        </w:rPr>
        <w:t>偏离表</w:t>
      </w:r>
    </w:p>
    <w:tbl>
      <w:tblPr>
        <w:tblStyle w:val="25"/>
        <w:tblW w:w="872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038"/>
        <w:gridCol w:w="2537"/>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25" w:type="dxa"/>
          </w:tcPr>
          <w:p>
            <w:pPr>
              <w:autoSpaceDE w:val="0"/>
              <w:autoSpaceDN w:val="0"/>
              <w:spacing w:line="500" w:lineRule="exact"/>
              <w:jc w:val="center"/>
              <w:rPr>
                <w:color w:val="auto"/>
                <w:sz w:val="24"/>
                <w:highlight w:val="none"/>
              </w:rPr>
            </w:pPr>
            <w:r>
              <w:rPr>
                <w:color w:val="auto"/>
                <w:sz w:val="24"/>
                <w:highlight w:val="none"/>
              </w:rPr>
              <w:t>序号</w:t>
            </w:r>
          </w:p>
        </w:tc>
        <w:tc>
          <w:tcPr>
            <w:tcW w:w="3038" w:type="dxa"/>
          </w:tcPr>
          <w:p>
            <w:pPr>
              <w:autoSpaceDE w:val="0"/>
              <w:autoSpaceDN w:val="0"/>
              <w:spacing w:line="500" w:lineRule="exact"/>
              <w:jc w:val="center"/>
              <w:rPr>
                <w:color w:val="auto"/>
                <w:sz w:val="24"/>
                <w:highlight w:val="none"/>
              </w:rPr>
            </w:pPr>
            <w:r>
              <w:rPr>
                <w:rFonts w:hint="eastAsia"/>
                <w:color w:val="auto"/>
                <w:sz w:val="24"/>
                <w:highlight w:val="none"/>
              </w:rPr>
              <w:t>询价</w:t>
            </w:r>
            <w:r>
              <w:rPr>
                <w:color w:val="auto"/>
                <w:sz w:val="24"/>
                <w:highlight w:val="none"/>
              </w:rPr>
              <w:t>文件</w:t>
            </w:r>
            <w:r>
              <w:rPr>
                <w:rFonts w:hint="eastAsia"/>
                <w:color w:val="auto"/>
                <w:sz w:val="24"/>
                <w:highlight w:val="none"/>
              </w:rPr>
              <w:t>商务需求</w:t>
            </w:r>
          </w:p>
        </w:tc>
        <w:tc>
          <w:tcPr>
            <w:tcW w:w="2537" w:type="dxa"/>
          </w:tcPr>
          <w:p>
            <w:pPr>
              <w:autoSpaceDE w:val="0"/>
              <w:autoSpaceDN w:val="0"/>
              <w:spacing w:line="500" w:lineRule="exact"/>
              <w:jc w:val="center"/>
              <w:rPr>
                <w:color w:val="auto"/>
                <w:sz w:val="24"/>
                <w:highlight w:val="none"/>
              </w:rPr>
            </w:pPr>
            <w:r>
              <w:rPr>
                <w:rFonts w:hint="eastAsia"/>
                <w:color w:val="auto"/>
                <w:sz w:val="24"/>
                <w:highlight w:val="none"/>
              </w:rPr>
              <w:t>响应</w:t>
            </w:r>
            <w:r>
              <w:rPr>
                <w:color w:val="auto"/>
                <w:sz w:val="24"/>
                <w:highlight w:val="none"/>
              </w:rPr>
              <w:t>文件</w:t>
            </w:r>
            <w:r>
              <w:rPr>
                <w:rFonts w:hint="eastAsia"/>
                <w:color w:val="auto"/>
                <w:sz w:val="24"/>
                <w:highlight w:val="none"/>
              </w:rPr>
              <w:t>承诺</w:t>
            </w:r>
          </w:p>
        </w:tc>
        <w:tc>
          <w:tcPr>
            <w:tcW w:w="2326" w:type="dxa"/>
          </w:tcPr>
          <w:p>
            <w:pPr>
              <w:autoSpaceDE w:val="0"/>
              <w:autoSpaceDN w:val="0"/>
              <w:spacing w:line="500" w:lineRule="exact"/>
              <w:jc w:val="center"/>
              <w:rPr>
                <w:color w:val="auto"/>
                <w:sz w:val="24"/>
                <w:highlight w:val="none"/>
              </w:rPr>
            </w:pPr>
            <w:r>
              <w:rPr>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25" w:type="dxa"/>
          </w:tcPr>
          <w:p>
            <w:pPr>
              <w:autoSpaceDE w:val="0"/>
              <w:autoSpaceDN w:val="0"/>
              <w:spacing w:line="500" w:lineRule="exact"/>
              <w:rPr>
                <w:b/>
                <w:color w:val="auto"/>
                <w:sz w:val="24"/>
                <w:highlight w:val="none"/>
              </w:rPr>
            </w:pPr>
          </w:p>
        </w:tc>
        <w:tc>
          <w:tcPr>
            <w:tcW w:w="3038" w:type="dxa"/>
          </w:tcPr>
          <w:p>
            <w:pPr>
              <w:autoSpaceDE w:val="0"/>
              <w:autoSpaceDN w:val="0"/>
              <w:spacing w:line="500" w:lineRule="exact"/>
              <w:rPr>
                <w:b/>
                <w:color w:val="auto"/>
                <w:sz w:val="24"/>
                <w:highlight w:val="none"/>
              </w:rPr>
            </w:pPr>
          </w:p>
        </w:tc>
        <w:tc>
          <w:tcPr>
            <w:tcW w:w="2537" w:type="dxa"/>
          </w:tcPr>
          <w:p>
            <w:pPr>
              <w:autoSpaceDE w:val="0"/>
              <w:autoSpaceDN w:val="0"/>
              <w:spacing w:line="500" w:lineRule="exact"/>
              <w:rPr>
                <w:b/>
                <w:color w:val="auto"/>
                <w:sz w:val="24"/>
                <w:highlight w:val="none"/>
              </w:rPr>
            </w:pPr>
          </w:p>
        </w:tc>
        <w:tc>
          <w:tcPr>
            <w:tcW w:w="2326" w:type="dxa"/>
          </w:tcPr>
          <w:p>
            <w:pPr>
              <w:autoSpaceDE w:val="0"/>
              <w:autoSpaceDN w:val="0"/>
              <w:spacing w:line="500" w:lineRule="exact"/>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25" w:type="dxa"/>
          </w:tcPr>
          <w:p>
            <w:pPr>
              <w:autoSpaceDE w:val="0"/>
              <w:autoSpaceDN w:val="0"/>
              <w:spacing w:line="500" w:lineRule="exact"/>
              <w:rPr>
                <w:b/>
                <w:color w:val="auto"/>
                <w:sz w:val="24"/>
                <w:highlight w:val="none"/>
              </w:rPr>
            </w:pPr>
          </w:p>
        </w:tc>
        <w:tc>
          <w:tcPr>
            <w:tcW w:w="3038" w:type="dxa"/>
          </w:tcPr>
          <w:p>
            <w:pPr>
              <w:autoSpaceDE w:val="0"/>
              <w:autoSpaceDN w:val="0"/>
              <w:spacing w:line="500" w:lineRule="exact"/>
              <w:rPr>
                <w:b/>
                <w:color w:val="auto"/>
                <w:sz w:val="24"/>
                <w:highlight w:val="none"/>
              </w:rPr>
            </w:pPr>
          </w:p>
        </w:tc>
        <w:tc>
          <w:tcPr>
            <w:tcW w:w="2537" w:type="dxa"/>
          </w:tcPr>
          <w:p>
            <w:pPr>
              <w:autoSpaceDE w:val="0"/>
              <w:autoSpaceDN w:val="0"/>
              <w:spacing w:line="500" w:lineRule="exact"/>
              <w:rPr>
                <w:b/>
                <w:color w:val="auto"/>
                <w:sz w:val="24"/>
                <w:highlight w:val="none"/>
              </w:rPr>
            </w:pPr>
          </w:p>
        </w:tc>
        <w:tc>
          <w:tcPr>
            <w:tcW w:w="2326" w:type="dxa"/>
          </w:tcPr>
          <w:p>
            <w:pPr>
              <w:autoSpaceDE w:val="0"/>
              <w:autoSpaceDN w:val="0"/>
              <w:spacing w:line="500" w:lineRule="exact"/>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25" w:type="dxa"/>
          </w:tcPr>
          <w:p>
            <w:pPr>
              <w:autoSpaceDE w:val="0"/>
              <w:autoSpaceDN w:val="0"/>
              <w:spacing w:line="500" w:lineRule="exact"/>
              <w:rPr>
                <w:b/>
                <w:color w:val="auto"/>
                <w:sz w:val="24"/>
                <w:highlight w:val="none"/>
              </w:rPr>
            </w:pPr>
          </w:p>
        </w:tc>
        <w:tc>
          <w:tcPr>
            <w:tcW w:w="3038" w:type="dxa"/>
          </w:tcPr>
          <w:p>
            <w:pPr>
              <w:autoSpaceDE w:val="0"/>
              <w:autoSpaceDN w:val="0"/>
              <w:spacing w:line="500" w:lineRule="exact"/>
              <w:rPr>
                <w:b/>
                <w:color w:val="auto"/>
                <w:sz w:val="24"/>
                <w:highlight w:val="none"/>
              </w:rPr>
            </w:pPr>
          </w:p>
        </w:tc>
        <w:tc>
          <w:tcPr>
            <w:tcW w:w="2537" w:type="dxa"/>
          </w:tcPr>
          <w:p>
            <w:pPr>
              <w:autoSpaceDE w:val="0"/>
              <w:autoSpaceDN w:val="0"/>
              <w:spacing w:line="500" w:lineRule="exact"/>
              <w:rPr>
                <w:b/>
                <w:color w:val="auto"/>
                <w:sz w:val="24"/>
                <w:highlight w:val="none"/>
              </w:rPr>
            </w:pPr>
          </w:p>
        </w:tc>
        <w:tc>
          <w:tcPr>
            <w:tcW w:w="2326" w:type="dxa"/>
          </w:tcPr>
          <w:p>
            <w:pPr>
              <w:autoSpaceDE w:val="0"/>
              <w:autoSpaceDN w:val="0"/>
              <w:spacing w:line="500" w:lineRule="exact"/>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25" w:type="dxa"/>
          </w:tcPr>
          <w:p>
            <w:pPr>
              <w:autoSpaceDE w:val="0"/>
              <w:autoSpaceDN w:val="0"/>
              <w:spacing w:line="500" w:lineRule="exact"/>
              <w:rPr>
                <w:b/>
                <w:color w:val="auto"/>
                <w:sz w:val="24"/>
                <w:highlight w:val="none"/>
              </w:rPr>
            </w:pPr>
          </w:p>
        </w:tc>
        <w:tc>
          <w:tcPr>
            <w:tcW w:w="3038" w:type="dxa"/>
          </w:tcPr>
          <w:p>
            <w:pPr>
              <w:autoSpaceDE w:val="0"/>
              <w:autoSpaceDN w:val="0"/>
              <w:spacing w:line="500" w:lineRule="exact"/>
              <w:rPr>
                <w:b/>
                <w:color w:val="auto"/>
                <w:sz w:val="24"/>
                <w:highlight w:val="none"/>
              </w:rPr>
            </w:pPr>
          </w:p>
        </w:tc>
        <w:tc>
          <w:tcPr>
            <w:tcW w:w="2537" w:type="dxa"/>
          </w:tcPr>
          <w:p>
            <w:pPr>
              <w:autoSpaceDE w:val="0"/>
              <w:autoSpaceDN w:val="0"/>
              <w:spacing w:line="500" w:lineRule="exact"/>
              <w:rPr>
                <w:b/>
                <w:color w:val="auto"/>
                <w:sz w:val="24"/>
                <w:highlight w:val="none"/>
              </w:rPr>
            </w:pPr>
          </w:p>
        </w:tc>
        <w:tc>
          <w:tcPr>
            <w:tcW w:w="2326" w:type="dxa"/>
          </w:tcPr>
          <w:p>
            <w:pPr>
              <w:autoSpaceDE w:val="0"/>
              <w:autoSpaceDN w:val="0"/>
              <w:spacing w:line="500" w:lineRule="exact"/>
              <w:rPr>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825" w:type="dxa"/>
          </w:tcPr>
          <w:p>
            <w:pPr>
              <w:autoSpaceDE w:val="0"/>
              <w:autoSpaceDN w:val="0"/>
              <w:spacing w:line="500" w:lineRule="exact"/>
              <w:rPr>
                <w:b/>
                <w:color w:val="auto"/>
                <w:sz w:val="24"/>
                <w:highlight w:val="none"/>
              </w:rPr>
            </w:pPr>
          </w:p>
        </w:tc>
        <w:tc>
          <w:tcPr>
            <w:tcW w:w="3038" w:type="dxa"/>
          </w:tcPr>
          <w:p>
            <w:pPr>
              <w:autoSpaceDE w:val="0"/>
              <w:autoSpaceDN w:val="0"/>
              <w:spacing w:line="500" w:lineRule="exact"/>
              <w:rPr>
                <w:b/>
                <w:color w:val="auto"/>
                <w:sz w:val="24"/>
                <w:highlight w:val="none"/>
              </w:rPr>
            </w:pPr>
          </w:p>
        </w:tc>
        <w:tc>
          <w:tcPr>
            <w:tcW w:w="2537" w:type="dxa"/>
          </w:tcPr>
          <w:p>
            <w:pPr>
              <w:autoSpaceDE w:val="0"/>
              <w:autoSpaceDN w:val="0"/>
              <w:spacing w:line="500" w:lineRule="exact"/>
              <w:rPr>
                <w:b/>
                <w:color w:val="auto"/>
                <w:sz w:val="24"/>
                <w:highlight w:val="none"/>
              </w:rPr>
            </w:pPr>
          </w:p>
        </w:tc>
        <w:tc>
          <w:tcPr>
            <w:tcW w:w="2326" w:type="dxa"/>
          </w:tcPr>
          <w:p>
            <w:pPr>
              <w:autoSpaceDE w:val="0"/>
              <w:autoSpaceDN w:val="0"/>
              <w:spacing w:line="500" w:lineRule="exact"/>
              <w:rPr>
                <w:b/>
                <w:color w:val="auto"/>
                <w:sz w:val="24"/>
                <w:highlight w:val="none"/>
              </w:rPr>
            </w:pPr>
          </w:p>
        </w:tc>
      </w:tr>
    </w:tbl>
    <w:p>
      <w:pPr>
        <w:autoSpaceDE w:val="0"/>
        <w:autoSpaceDN w:val="0"/>
        <w:spacing w:line="500" w:lineRule="exact"/>
        <w:rPr>
          <w:color w:val="auto"/>
          <w:sz w:val="24"/>
          <w:highlight w:val="none"/>
        </w:rPr>
      </w:pPr>
    </w:p>
    <w:p>
      <w:pPr>
        <w:autoSpaceDE w:val="0"/>
        <w:autoSpaceDN w:val="0"/>
        <w:spacing w:line="500" w:lineRule="exact"/>
        <w:rPr>
          <w:color w:val="auto"/>
          <w:sz w:val="24"/>
          <w:highlight w:val="none"/>
        </w:rPr>
      </w:pPr>
      <w:r>
        <w:rPr>
          <w:color w:val="auto"/>
          <w:sz w:val="24"/>
          <w:highlight w:val="none"/>
        </w:rPr>
        <w:t>注：</w:t>
      </w:r>
    </w:p>
    <w:p>
      <w:pPr>
        <w:autoSpaceDE w:val="0"/>
        <w:autoSpaceDN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1.供应商需响应询价文件第三章“商务需求”的全部内容，偏离说明处填写：正/无偏离，不可负偏离，供应商可逐项填写此表，也可不填写，不填写视为满足商务需求的全部内容。</w:t>
      </w:r>
    </w:p>
    <w:p>
      <w:pPr>
        <w:autoSpaceDE w:val="0"/>
        <w:autoSpaceDN w:val="0"/>
        <w:spacing w:line="50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2.本表可根据实际需求自行增减行数，但内容不得擅自修改。</w:t>
      </w:r>
    </w:p>
    <w:p>
      <w:pPr>
        <w:pStyle w:val="15"/>
        <w:rPr>
          <w:color w:val="auto"/>
          <w:highlight w:val="none"/>
        </w:rPr>
      </w:pPr>
    </w:p>
    <w:p>
      <w:pPr>
        <w:pStyle w:val="15"/>
        <w:ind w:left="0" w:leftChars="0" w:firstLine="0" w:firstLineChars="0"/>
        <w:rPr>
          <w:color w:val="auto"/>
          <w:highlight w:val="none"/>
        </w:rPr>
      </w:pPr>
    </w:p>
    <w:p>
      <w:pPr>
        <w:spacing w:line="360" w:lineRule="auto"/>
        <w:rPr>
          <w:color w:val="auto"/>
          <w:sz w:val="24"/>
          <w:highlight w:val="none"/>
        </w:rPr>
      </w:pPr>
      <w:r>
        <w:rPr>
          <w:rFonts w:hAnsi="宋体"/>
          <w:color w:val="auto"/>
          <w:sz w:val="24"/>
          <w:highlight w:val="none"/>
        </w:rPr>
        <w:t>供应商全称（加盖单位</w:t>
      </w:r>
      <w:r>
        <w:rPr>
          <w:rFonts w:hint="eastAsia" w:hAnsi="宋体"/>
          <w:color w:val="auto"/>
          <w:sz w:val="24"/>
          <w:highlight w:val="none"/>
        </w:rPr>
        <w:t>公章</w:t>
      </w:r>
      <w:r>
        <w:rPr>
          <w:rFonts w:hAnsi="宋体"/>
          <w:color w:val="auto"/>
          <w:sz w:val="24"/>
          <w:highlight w:val="none"/>
        </w:rPr>
        <w:t>）：</w:t>
      </w:r>
      <w:r>
        <w:rPr>
          <w:rFonts w:hAnsi="宋体"/>
          <w:color w:val="auto"/>
          <w:sz w:val="24"/>
          <w:highlight w:val="none"/>
          <w:u w:val="single"/>
        </w:rPr>
        <w:t>　　　　　　　　　　　　</w:t>
      </w:r>
    </w:p>
    <w:p>
      <w:pPr>
        <w:spacing w:line="360" w:lineRule="auto"/>
        <w:rPr>
          <w:color w:val="auto"/>
          <w:sz w:val="24"/>
          <w:highlight w:val="none"/>
        </w:rPr>
      </w:pPr>
      <w:r>
        <w:rPr>
          <w:rFonts w:hAnsi="宋体"/>
          <w:color w:val="auto"/>
          <w:sz w:val="24"/>
          <w:highlight w:val="none"/>
        </w:rPr>
        <w:t>法定代表人或其委托代理人（签字或盖章）：</w:t>
      </w:r>
      <w:r>
        <w:rPr>
          <w:rFonts w:hAnsi="宋体"/>
          <w:color w:val="auto"/>
          <w:sz w:val="24"/>
          <w:highlight w:val="none"/>
          <w:u w:val="single"/>
        </w:rPr>
        <w:t>　　　　　　　　　　</w:t>
      </w:r>
    </w:p>
    <w:p>
      <w:pPr>
        <w:pStyle w:val="61"/>
        <w:spacing w:before="0" w:after="0" w:line="460" w:lineRule="exact"/>
        <w:ind w:left="0" w:right="23"/>
        <w:jc w:val="both"/>
        <w:rPr>
          <w:rFonts w:ascii="宋体" w:hAnsi="宋体"/>
          <w:color w:val="auto"/>
          <w:szCs w:val="24"/>
          <w:highlight w:val="none"/>
        </w:rPr>
      </w:pPr>
      <w:r>
        <w:rPr>
          <w:rFonts w:hint="eastAsia" w:ascii="宋体" w:hAnsi="宋体" w:cs="宋体"/>
          <w:color w:val="auto"/>
          <w:szCs w:val="24"/>
          <w:highlight w:val="none"/>
        </w:rPr>
        <w:t>日期：</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年</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月</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日</w:t>
      </w:r>
    </w:p>
    <w:bookmarkEnd w:id="344"/>
    <w:bookmarkEnd w:id="345"/>
    <w:bookmarkEnd w:id="346"/>
    <w:bookmarkEnd w:id="347"/>
    <w:bookmarkEnd w:id="348"/>
    <w:bookmarkEnd w:id="349"/>
    <w:bookmarkEnd w:id="350"/>
    <w:bookmarkEnd w:id="351"/>
    <w:p>
      <w:pPr>
        <w:rPr>
          <w:b/>
          <w:color w:val="auto"/>
          <w:sz w:val="28"/>
          <w:szCs w:val="28"/>
          <w:highlight w:val="none"/>
        </w:rPr>
      </w:pPr>
      <w:bookmarkStart w:id="352" w:name="_Toc4029"/>
      <w:bookmarkStart w:id="353" w:name="_Toc21108"/>
      <w:bookmarkStart w:id="354" w:name="_Toc2165"/>
      <w:r>
        <w:rPr>
          <w:rFonts w:hint="eastAsia"/>
          <w:b/>
          <w:color w:val="auto"/>
          <w:sz w:val="28"/>
          <w:szCs w:val="28"/>
          <w:highlight w:val="none"/>
        </w:rPr>
        <w:br w:type="page"/>
      </w:r>
    </w:p>
    <w:p>
      <w:pPr>
        <w:jc w:val="center"/>
        <w:rPr>
          <w:rFonts w:ascii="宋体" w:hAnsi="宋体" w:cs="宋体"/>
          <w:b/>
          <w:color w:val="auto"/>
          <w:sz w:val="28"/>
          <w:szCs w:val="28"/>
          <w:highlight w:val="none"/>
        </w:rPr>
      </w:pPr>
      <w:r>
        <w:rPr>
          <w:rFonts w:hint="eastAsia"/>
          <w:b/>
          <w:color w:val="auto"/>
          <w:sz w:val="28"/>
          <w:szCs w:val="28"/>
          <w:highlight w:val="none"/>
        </w:rPr>
        <w:t>九、产品质量承诺及保证措施</w:t>
      </w:r>
      <w:bookmarkEnd w:id="352"/>
      <w:bookmarkEnd w:id="353"/>
      <w:bookmarkEnd w:id="354"/>
    </w:p>
    <w:p>
      <w:pPr>
        <w:spacing w:line="360" w:lineRule="auto"/>
        <w:jc w:val="center"/>
        <w:rPr>
          <w:rFonts w:ascii="宋体" w:hAnsi="宋体"/>
          <w:b/>
          <w:color w:val="auto"/>
          <w:sz w:val="24"/>
          <w:highlight w:val="none"/>
        </w:rPr>
      </w:pPr>
      <w:bookmarkStart w:id="355" w:name="_Toc17981"/>
      <w:bookmarkStart w:id="356" w:name="_Toc7903"/>
      <w:bookmarkStart w:id="357" w:name="_Toc19669"/>
      <w:r>
        <w:rPr>
          <w:rFonts w:hint="eastAsia" w:ascii="宋体" w:hAnsi="宋体"/>
          <w:b/>
          <w:color w:val="auto"/>
          <w:sz w:val="24"/>
          <w:highlight w:val="none"/>
        </w:rPr>
        <w:t>（供应商自拟格式填写）</w:t>
      </w:r>
      <w:bookmarkEnd w:id="355"/>
      <w:bookmarkEnd w:id="356"/>
      <w:bookmarkEnd w:id="357"/>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color w:val="auto"/>
          <w:sz w:val="24"/>
          <w:highlight w:val="none"/>
        </w:rPr>
      </w:pPr>
      <w:r>
        <w:rPr>
          <w:rFonts w:hAnsi="宋体"/>
          <w:color w:val="auto"/>
          <w:sz w:val="24"/>
          <w:highlight w:val="none"/>
        </w:rPr>
        <w:t>供应商全称（加盖单位</w:t>
      </w:r>
      <w:r>
        <w:rPr>
          <w:rFonts w:hint="eastAsia" w:hAnsi="宋体"/>
          <w:color w:val="auto"/>
          <w:sz w:val="24"/>
          <w:highlight w:val="none"/>
        </w:rPr>
        <w:t>公章</w:t>
      </w:r>
      <w:r>
        <w:rPr>
          <w:rFonts w:hAnsi="宋体"/>
          <w:color w:val="auto"/>
          <w:sz w:val="24"/>
          <w:highlight w:val="none"/>
        </w:rPr>
        <w:t>）：</w:t>
      </w:r>
      <w:r>
        <w:rPr>
          <w:rFonts w:hAnsi="宋体"/>
          <w:color w:val="auto"/>
          <w:sz w:val="24"/>
          <w:highlight w:val="none"/>
          <w:u w:val="single"/>
        </w:rPr>
        <w:t>　　　　　　　　　　　　</w:t>
      </w:r>
    </w:p>
    <w:p>
      <w:pPr>
        <w:spacing w:line="360" w:lineRule="auto"/>
        <w:rPr>
          <w:color w:val="auto"/>
          <w:sz w:val="24"/>
          <w:highlight w:val="none"/>
        </w:rPr>
      </w:pPr>
      <w:r>
        <w:rPr>
          <w:rFonts w:hAnsi="宋体"/>
          <w:color w:val="auto"/>
          <w:sz w:val="24"/>
          <w:highlight w:val="none"/>
        </w:rPr>
        <w:t>法定代表人或其委托代理人（签字或盖章）：</w:t>
      </w:r>
      <w:r>
        <w:rPr>
          <w:rFonts w:hAnsi="宋体"/>
          <w:color w:val="auto"/>
          <w:sz w:val="24"/>
          <w:highlight w:val="none"/>
          <w:u w:val="single"/>
        </w:rPr>
        <w:t>　　　　　　　　　　</w:t>
      </w:r>
    </w:p>
    <w:p>
      <w:pPr>
        <w:pStyle w:val="61"/>
        <w:spacing w:before="0" w:after="0" w:line="460" w:lineRule="exact"/>
        <w:ind w:left="0" w:right="23"/>
        <w:jc w:val="both"/>
        <w:rPr>
          <w:rFonts w:ascii="宋体" w:hAnsi="宋体"/>
          <w:color w:val="auto"/>
          <w:szCs w:val="24"/>
          <w:highlight w:val="none"/>
        </w:rPr>
      </w:pPr>
      <w:r>
        <w:rPr>
          <w:rFonts w:hint="eastAsia" w:ascii="宋体" w:hAnsi="宋体" w:cs="宋体"/>
          <w:color w:val="auto"/>
          <w:szCs w:val="24"/>
          <w:highlight w:val="none"/>
        </w:rPr>
        <w:t>日期：</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年</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月</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日</w:t>
      </w:r>
    </w:p>
    <w:p>
      <w:pPr>
        <w:spacing w:line="500" w:lineRule="exact"/>
        <w:ind w:firstLine="964" w:firstLineChars="400"/>
        <w:rPr>
          <w:rFonts w:ascii="宋体" w:hAnsi="宋体" w:cs="宋体"/>
          <w:b/>
          <w:color w:val="auto"/>
          <w:sz w:val="24"/>
          <w:highlight w:val="none"/>
        </w:rPr>
      </w:pPr>
    </w:p>
    <w:p>
      <w:pPr>
        <w:pStyle w:val="2"/>
        <w:rPr>
          <w:rFonts w:ascii="宋体" w:hAnsi="宋体" w:cs="宋体"/>
          <w:b/>
          <w:color w:val="auto"/>
          <w:sz w:val="24"/>
          <w:highlight w:val="none"/>
        </w:rPr>
      </w:pPr>
    </w:p>
    <w:p>
      <w:pPr>
        <w:rPr>
          <w:rFonts w:ascii="宋体" w:hAnsi="宋体" w:cs="宋体"/>
          <w:b/>
          <w:color w:val="auto"/>
          <w:sz w:val="24"/>
          <w:highlight w:val="none"/>
        </w:rPr>
      </w:pPr>
    </w:p>
    <w:p>
      <w:pPr>
        <w:pStyle w:val="2"/>
        <w:rPr>
          <w:rFonts w:ascii="宋体" w:hAnsi="宋体" w:cs="宋体"/>
          <w:b/>
          <w:color w:val="auto"/>
          <w:sz w:val="24"/>
          <w:highlight w:val="none"/>
        </w:rPr>
      </w:pPr>
    </w:p>
    <w:p>
      <w:pPr>
        <w:rPr>
          <w:color w:val="auto"/>
          <w:highlight w:val="none"/>
        </w:rPr>
      </w:pPr>
    </w:p>
    <w:p>
      <w:pPr>
        <w:pStyle w:val="15"/>
        <w:rPr>
          <w:color w:val="auto"/>
          <w:highlight w:val="none"/>
        </w:rPr>
      </w:pPr>
    </w:p>
    <w:p>
      <w:pPr>
        <w:pStyle w:val="15"/>
        <w:ind w:left="0" w:leftChars="0" w:firstLine="0" w:firstLineChars="0"/>
        <w:rPr>
          <w:rFonts w:ascii="宋体" w:hAnsi="宋体" w:cs="宋体"/>
          <w:b/>
          <w:color w:val="auto"/>
          <w:sz w:val="24"/>
          <w:highlight w:val="none"/>
        </w:rPr>
      </w:pPr>
    </w:p>
    <w:p>
      <w:pPr>
        <w:spacing w:line="500" w:lineRule="exact"/>
        <w:jc w:val="center"/>
        <w:rPr>
          <w:rFonts w:ascii="宋体" w:hAnsi="宋体" w:cs="宋体"/>
          <w:b/>
          <w:color w:val="auto"/>
          <w:sz w:val="28"/>
          <w:szCs w:val="28"/>
          <w:highlight w:val="none"/>
        </w:rPr>
      </w:pPr>
      <w:bookmarkStart w:id="358" w:name="_Toc7816"/>
      <w:bookmarkStart w:id="359" w:name="_Toc24158"/>
      <w:bookmarkStart w:id="360" w:name="_Toc22922"/>
      <w:r>
        <w:rPr>
          <w:rFonts w:hint="eastAsia" w:ascii="宋体" w:hAnsi="宋体" w:cs="宋体"/>
          <w:b/>
          <w:color w:val="auto"/>
          <w:sz w:val="28"/>
          <w:szCs w:val="28"/>
          <w:highlight w:val="none"/>
        </w:rPr>
        <w:t>十、售后服务承诺及保证措施</w:t>
      </w:r>
      <w:bookmarkEnd w:id="358"/>
      <w:bookmarkEnd w:id="359"/>
      <w:bookmarkEnd w:id="360"/>
    </w:p>
    <w:p>
      <w:pPr>
        <w:spacing w:line="360" w:lineRule="auto"/>
        <w:jc w:val="center"/>
        <w:rPr>
          <w:rFonts w:ascii="宋体" w:hAnsi="宋体"/>
          <w:b/>
          <w:color w:val="auto"/>
          <w:sz w:val="24"/>
          <w:highlight w:val="none"/>
        </w:rPr>
      </w:pPr>
      <w:bookmarkStart w:id="361" w:name="_Toc18138"/>
      <w:bookmarkStart w:id="362" w:name="_Toc18494"/>
      <w:bookmarkStart w:id="363" w:name="_Toc22021"/>
      <w:r>
        <w:rPr>
          <w:rFonts w:hint="eastAsia" w:ascii="宋体" w:hAnsi="宋体"/>
          <w:b/>
          <w:color w:val="auto"/>
          <w:sz w:val="24"/>
          <w:highlight w:val="none"/>
        </w:rPr>
        <w:t>（供应商自拟格式填写）</w:t>
      </w:r>
      <w:bookmarkEnd w:id="361"/>
      <w:bookmarkEnd w:id="362"/>
      <w:bookmarkEnd w:id="363"/>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color w:val="auto"/>
          <w:sz w:val="24"/>
          <w:highlight w:val="none"/>
        </w:rPr>
      </w:pPr>
      <w:r>
        <w:rPr>
          <w:rFonts w:hAnsi="宋体"/>
          <w:color w:val="auto"/>
          <w:sz w:val="24"/>
          <w:highlight w:val="none"/>
        </w:rPr>
        <w:t>供应商全称（加盖单位</w:t>
      </w:r>
      <w:r>
        <w:rPr>
          <w:rFonts w:hint="eastAsia" w:hAnsi="宋体"/>
          <w:color w:val="auto"/>
          <w:sz w:val="24"/>
          <w:highlight w:val="none"/>
        </w:rPr>
        <w:t>公章</w:t>
      </w:r>
      <w:r>
        <w:rPr>
          <w:rFonts w:hAnsi="宋体"/>
          <w:color w:val="auto"/>
          <w:sz w:val="24"/>
          <w:highlight w:val="none"/>
        </w:rPr>
        <w:t>）：</w:t>
      </w:r>
      <w:r>
        <w:rPr>
          <w:rFonts w:hAnsi="宋体"/>
          <w:color w:val="auto"/>
          <w:sz w:val="24"/>
          <w:highlight w:val="none"/>
          <w:u w:val="single"/>
        </w:rPr>
        <w:t>　　　　　　　　　　　　</w:t>
      </w:r>
    </w:p>
    <w:p>
      <w:pPr>
        <w:spacing w:line="360" w:lineRule="auto"/>
        <w:rPr>
          <w:color w:val="auto"/>
          <w:sz w:val="24"/>
          <w:highlight w:val="none"/>
        </w:rPr>
      </w:pPr>
      <w:r>
        <w:rPr>
          <w:rFonts w:hAnsi="宋体"/>
          <w:color w:val="auto"/>
          <w:sz w:val="24"/>
          <w:highlight w:val="none"/>
        </w:rPr>
        <w:t>法定代表人或其委托代理人（签字或盖章）：</w:t>
      </w:r>
      <w:r>
        <w:rPr>
          <w:rFonts w:hAnsi="宋体"/>
          <w:color w:val="auto"/>
          <w:sz w:val="24"/>
          <w:highlight w:val="none"/>
          <w:u w:val="single"/>
        </w:rPr>
        <w:t>　　　　　　　　　　</w:t>
      </w:r>
    </w:p>
    <w:p>
      <w:pPr>
        <w:pStyle w:val="61"/>
        <w:spacing w:before="0" w:after="0" w:line="460" w:lineRule="exact"/>
        <w:ind w:left="0" w:right="23"/>
        <w:jc w:val="both"/>
        <w:rPr>
          <w:rFonts w:ascii="宋体" w:hAnsi="宋体"/>
          <w:color w:val="auto"/>
          <w:szCs w:val="24"/>
          <w:highlight w:val="none"/>
        </w:rPr>
      </w:pPr>
      <w:r>
        <w:rPr>
          <w:rFonts w:hint="eastAsia" w:ascii="宋体" w:hAnsi="宋体" w:cs="宋体"/>
          <w:color w:val="auto"/>
          <w:szCs w:val="24"/>
          <w:highlight w:val="none"/>
        </w:rPr>
        <w:t>日期：</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年</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月</w:t>
      </w:r>
      <w:r>
        <w:rPr>
          <w:rFonts w:hint="eastAsia" w:ascii="宋体" w:hAnsi="宋体" w:cs="宋体"/>
          <w:color w:val="auto"/>
          <w:szCs w:val="24"/>
          <w:highlight w:val="none"/>
          <w:u w:val="single"/>
        </w:rPr>
        <w:t xml:space="preserve">      </w:t>
      </w:r>
      <w:r>
        <w:rPr>
          <w:rFonts w:hint="eastAsia" w:ascii="宋体" w:hAnsi="宋体" w:cs="宋体"/>
          <w:color w:val="auto"/>
          <w:szCs w:val="24"/>
          <w:highlight w:val="none"/>
        </w:rPr>
        <w:t>日</w:t>
      </w:r>
    </w:p>
    <w:p>
      <w:pPr>
        <w:spacing w:line="360" w:lineRule="auto"/>
        <w:rPr>
          <w:rFonts w:ascii="宋体" w:hAnsi="宋体"/>
          <w:b/>
          <w:color w:val="auto"/>
          <w:sz w:val="28"/>
          <w:szCs w:val="28"/>
          <w:highlight w:val="none"/>
        </w:rPr>
      </w:pPr>
    </w:p>
    <w:p>
      <w:pPr>
        <w:spacing w:line="360" w:lineRule="auto"/>
        <w:rPr>
          <w:rFonts w:ascii="宋体" w:hAnsi="宋体"/>
          <w:b/>
          <w:color w:val="auto"/>
          <w:sz w:val="28"/>
          <w:szCs w:val="28"/>
          <w:highlight w:val="none"/>
        </w:rPr>
      </w:pPr>
    </w:p>
    <w:p>
      <w:pPr>
        <w:spacing w:line="360" w:lineRule="auto"/>
        <w:rPr>
          <w:rFonts w:ascii="宋体" w:hAnsi="宋体"/>
          <w:b/>
          <w:color w:val="auto"/>
          <w:sz w:val="28"/>
          <w:szCs w:val="28"/>
          <w:highlight w:val="none"/>
        </w:rPr>
      </w:pPr>
    </w:p>
    <w:p>
      <w:pPr>
        <w:pStyle w:val="15"/>
        <w:rPr>
          <w:color w:val="auto"/>
          <w:highlight w:val="none"/>
        </w:rPr>
      </w:pPr>
    </w:p>
    <w:p>
      <w:pPr>
        <w:spacing w:line="360" w:lineRule="auto"/>
        <w:jc w:val="center"/>
        <w:rPr>
          <w:rFonts w:ascii="宋体" w:hAnsi="宋体"/>
          <w:b/>
          <w:color w:val="auto"/>
          <w:sz w:val="24"/>
          <w:highlight w:val="none"/>
        </w:rPr>
      </w:pPr>
      <w:bookmarkStart w:id="364" w:name="_Toc16328"/>
      <w:bookmarkStart w:id="365" w:name="_Toc27922"/>
      <w:bookmarkStart w:id="366" w:name="_Toc5590"/>
      <w:r>
        <w:rPr>
          <w:rFonts w:hint="eastAsia" w:ascii="宋体" w:hAnsi="宋体" w:cs="宋体"/>
          <w:b/>
          <w:color w:val="auto"/>
          <w:kern w:val="0"/>
          <w:sz w:val="28"/>
          <w:szCs w:val="28"/>
          <w:highlight w:val="none"/>
        </w:rPr>
        <w:t>十一、询价文件要求或供应商认为有必要提供的资料</w:t>
      </w:r>
      <w:bookmarkEnd w:id="364"/>
      <w:bookmarkEnd w:id="365"/>
      <w:bookmarkEnd w:id="366"/>
    </w:p>
    <w:sectPr>
      <w:footerReference r:id="rId4" w:type="default"/>
      <w:pgSz w:w="11905" w:h="16838"/>
      <w:pgMar w:top="1440" w:right="1440" w:bottom="1440" w:left="1440" w:header="850" w:footer="1020"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onsolas">
    <w:panose1 w:val="020B0609020204030204"/>
    <w:charset w:val="00"/>
    <w:family w:val="modern"/>
    <w:pitch w:val="default"/>
    <w:sig w:usb0="E10002FF" w:usb1="4000FCFF" w:usb2="00000009" w:usb3="00000000" w:csb0="6000019F" w:csb1="DFD70000"/>
  </w:font>
  <w:font w:name="Akzidenz Grotesk">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MS Sans Serif">
    <w:altName w:val="Courier New"/>
    <w:panose1 w:val="020B05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宋体">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t xml:space="preserve">第 </w:t>
                          </w:r>
                          <w:r>
                            <w:fldChar w:fldCharType="begin"/>
                          </w:r>
                          <w:r>
                            <w:instrText xml:space="preserve"> PAGE  \* MERGEFORMAT </w:instrText>
                          </w:r>
                          <w:r>
                            <w:fldChar w:fldCharType="separate"/>
                          </w:r>
                          <w:r>
                            <w:t>19</w:t>
                          </w:r>
                          <w:r>
                            <w:fldChar w:fldCharType="end"/>
                          </w:r>
                          <w:r>
                            <w:t xml:space="preserve"> 页 共 </w:t>
                          </w:r>
                          <w:r>
                            <w:rPr>
                              <w:rFonts w:hint="eastAsia"/>
                            </w:rPr>
                            <w:t>42</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19</w:t>
                    </w:r>
                    <w:r>
                      <w:fldChar w:fldCharType="end"/>
                    </w:r>
                    <w:r>
                      <w:t xml:space="preserve"> 页 共 </w:t>
                    </w:r>
                    <w:r>
                      <w:rPr>
                        <w:rFonts w:hint="eastAsia"/>
                      </w:rPr>
                      <w:t>42</w:t>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210"/>
  <w:drawingGridVerticalSpacing w:val="156"/>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mZjJlMzY0NDE0NjJhMmUzZDdiNDczOGYxMTFkOTQifQ=="/>
  </w:docVars>
  <w:rsids>
    <w:rsidRoot w:val="00172A27"/>
    <w:rsid w:val="00000B59"/>
    <w:rsid w:val="00002DB4"/>
    <w:rsid w:val="000032A2"/>
    <w:rsid w:val="00003EC9"/>
    <w:rsid w:val="00007414"/>
    <w:rsid w:val="00007DBE"/>
    <w:rsid w:val="00012C81"/>
    <w:rsid w:val="00016C30"/>
    <w:rsid w:val="00023771"/>
    <w:rsid w:val="00023E28"/>
    <w:rsid w:val="00024DD4"/>
    <w:rsid w:val="000260D7"/>
    <w:rsid w:val="00026B68"/>
    <w:rsid w:val="00026CE1"/>
    <w:rsid w:val="00027E5F"/>
    <w:rsid w:val="0003035E"/>
    <w:rsid w:val="00041855"/>
    <w:rsid w:val="00044F2F"/>
    <w:rsid w:val="000469B5"/>
    <w:rsid w:val="00046CDA"/>
    <w:rsid w:val="00051CC7"/>
    <w:rsid w:val="0005253B"/>
    <w:rsid w:val="00057104"/>
    <w:rsid w:val="00063314"/>
    <w:rsid w:val="00064546"/>
    <w:rsid w:val="0006544E"/>
    <w:rsid w:val="000662C8"/>
    <w:rsid w:val="00066B0E"/>
    <w:rsid w:val="00070149"/>
    <w:rsid w:val="00070F8E"/>
    <w:rsid w:val="00073A5C"/>
    <w:rsid w:val="00073D25"/>
    <w:rsid w:val="00073E8A"/>
    <w:rsid w:val="00083A50"/>
    <w:rsid w:val="00086B3C"/>
    <w:rsid w:val="000873CE"/>
    <w:rsid w:val="00090D2A"/>
    <w:rsid w:val="000931C2"/>
    <w:rsid w:val="000A2C65"/>
    <w:rsid w:val="000A61C1"/>
    <w:rsid w:val="000B477D"/>
    <w:rsid w:val="000B4E8B"/>
    <w:rsid w:val="000C0269"/>
    <w:rsid w:val="000C38F1"/>
    <w:rsid w:val="000C5152"/>
    <w:rsid w:val="000D0F85"/>
    <w:rsid w:val="000D2135"/>
    <w:rsid w:val="000D474A"/>
    <w:rsid w:val="000E27D3"/>
    <w:rsid w:val="000E4966"/>
    <w:rsid w:val="000E7CD1"/>
    <w:rsid w:val="000F2260"/>
    <w:rsid w:val="000F3CF5"/>
    <w:rsid w:val="00100152"/>
    <w:rsid w:val="00100223"/>
    <w:rsid w:val="00100456"/>
    <w:rsid w:val="00104B99"/>
    <w:rsid w:val="001055B0"/>
    <w:rsid w:val="001113DD"/>
    <w:rsid w:val="00111B13"/>
    <w:rsid w:val="00113540"/>
    <w:rsid w:val="0011433C"/>
    <w:rsid w:val="00114DED"/>
    <w:rsid w:val="00123D8E"/>
    <w:rsid w:val="00123FE1"/>
    <w:rsid w:val="00125697"/>
    <w:rsid w:val="001304D2"/>
    <w:rsid w:val="00130F31"/>
    <w:rsid w:val="001312A9"/>
    <w:rsid w:val="0013155F"/>
    <w:rsid w:val="00136D42"/>
    <w:rsid w:val="0014036D"/>
    <w:rsid w:val="001408DF"/>
    <w:rsid w:val="00140CC2"/>
    <w:rsid w:val="00140EAF"/>
    <w:rsid w:val="00142908"/>
    <w:rsid w:val="001572B0"/>
    <w:rsid w:val="0015788D"/>
    <w:rsid w:val="00163C6A"/>
    <w:rsid w:val="00170C78"/>
    <w:rsid w:val="001720DC"/>
    <w:rsid w:val="00172A27"/>
    <w:rsid w:val="00175BB0"/>
    <w:rsid w:val="00177953"/>
    <w:rsid w:val="001815C6"/>
    <w:rsid w:val="001818F0"/>
    <w:rsid w:val="0018629F"/>
    <w:rsid w:val="00187F85"/>
    <w:rsid w:val="001943A2"/>
    <w:rsid w:val="00194709"/>
    <w:rsid w:val="00197C1A"/>
    <w:rsid w:val="001A12DF"/>
    <w:rsid w:val="001A1452"/>
    <w:rsid w:val="001A5054"/>
    <w:rsid w:val="001A7696"/>
    <w:rsid w:val="001A7E05"/>
    <w:rsid w:val="001B21FC"/>
    <w:rsid w:val="001B27AF"/>
    <w:rsid w:val="001B2933"/>
    <w:rsid w:val="001B2B68"/>
    <w:rsid w:val="001B72B7"/>
    <w:rsid w:val="001C40CB"/>
    <w:rsid w:val="001D183D"/>
    <w:rsid w:val="001D3774"/>
    <w:rsid w:val="001D3C16"/>
    <w:rsid w:val="001E0A43"/>
    <w:rsid w:val="001E3E0A"/>
    <w:rsid w:val="001E5971"/>
    <w:rsid w:val="001E71C3"/>
    <w:rsid w:val="001F2C41"/>
    <w:rsid w:val="001F4040"/>
    <w:rsid w:val="001F6DA7"/>
    <w:rsid w:val="00200B54"/>
    <w:rsid w:val="002042CC"/>
    <w:rsid w:val="00204AEE"/>
    <w:rsid w:val="00204C8D"/>
    <w:rsid w:val="002079AB"/>
    <w:rsid w:val="00216752"/>
    <w:rsid w:val="00221C2F"/>
    <w:rsid w:val="00224EBC"/>
    <w:rsid w:val="00225929"/>
    <w:rsid w:val="00234E43"/>
    <w:rsid w:val="00235B31"/>
    <w:rsid w:val="0023668B"/>
    <w:rsid w:val="002400AB"/>
    <w:rsid w:val="0024229A"/>
    <w:rsid w:val="00242747"/>
    <w:rsid w:val="00242E00"/>
    <w:rsid w:val="00244BEE"/>
    <w:rsid w:val="00244CC5"/>
    <w:rsid w:val="00246BD4"/>
    <w:rsid w:val="00246BFE"/>
    <w:rsid w:val="00246C73"/>
    <w:rsid w:val="00255DFA"/>
    <w:rsid w:val="00257127"/>
    <w:rsid w:val="00262065"/>
    <w:rsid w:val="00262B73"/>
    <w:rsid w:val="00264627"/>
    <w:rsid w:val="00265D5E"/>
    <w:rsid w:val="00265FE6"/>
    <w:rsid w:val="0027287C"/>
    <w:rsid w:val="0027591F"/>
    <w:rsid w:val="00276CF6"/>
    <w:rsid w:val="00281237"/>
    <w:rsid w:val="0028280A"/>
    <w:rsid w:val="002832C6"/>
    <w:rsid w:val="00286AF0"/>
    <w:rsid w:val="002873A0"/>
    <w:rsid w:val="00287FD1"/>
    <w:rsid w:val="002902B3"/>
    <w:rsid w:val="002919C9"/>
    <w:rsid w:val="00295280"/>
    <w:rsid w:val="002953DA"/>
    <w:rsid w:val="002965B3"/>
    <w:rsid w:val="0029692D"/>
    <w:rsid w:val="0029778A"/>
    <w:rsid w:val="002A078C"/>
    <w:rsid w:val="002A590E"/>
    <w:rsid w:val="002A6F66"/>
    <w:rsid w:val="002B4A88"/>
    <w:rsid w:val="002B5337"/>
    <w:rsid w:val="002B58D2"/>
    <w:rsid w:val="002C2625"/>
    <w:rsid w:val="002C2D01"/>
    <w:rsid w:val="002D126D"/>
    <w:rsid w:val="002D35B2"/>
    <w:rsid w:val="002D51E2"/>
    <w:rsid w:val="002D5648"/>
    <w:rsid w:val="002D64E7"/>
    <w:rsid w:val="002D7C16"/>
    <w:rsid w:val="002E2C57"/>
    <w:rsid w:val="002E2FFC"/>
    <w:rsid w:val="002E37CF"/>
    <w:rsid w:val="002F0FD4"/>
    <w:rsid w:val="002F1866"/>
    <w:rsid w:val="002F2C39"/>
    <w:rsid w:val="002F34E3"/>
    <w:rsid w:val="00302A92"/>
    <w:rsid w:val="0030418A"/>
    <w:rsid w:val="00306C3D"/>
    <w:rsid w:val="00307D30"/>
    <w:rsid w:val="00311B58"/>
    <w:rsid w:val="00321C28"/>
    <w:rsid w:val="003252D5"/>
    <w:rsid w:val="003309CB"/>
    <w:rsid w:val="00330E80"/>
    <w:rsid w:val="00330F4E"/>
    <w:rsid w:val="00333397"/>
    <w:rsid w:val="003358E3"/>
    <w:rsid w:val="0033616F"/>
    <w:rsid w:val="00342376"/>
    <w:rsid w:val="003426C5"/>
    <w:rsid w:val="00342B92"/>
    <w:rsid w:val="00350452"/>
    <w:rsid w:val="00354352"/>
    <w:rsid w:val="00355A6C"/>
    <w:rsid w:val="00356529"/>
    <w:rsid w:val="00356EAA"/>
    <w:rsid w:val="00357329"/>
    <w:rsid w:val="00357843"/>
    <w:rsid w:val="003632EE"/>
    <w:rsid w:val="00363E6F"/>
    <w:rsid w:val="00364916"/>
    <w:rsid w:val="00364F31"/>
    <w:rsid w:val="00365170"/>
    <w:rsid w:val="0036577E"/>
    <w:rsid w:val="00371484"/>
    <w:rsid w:val="00372151"/>
    <w:rsid w:val="0037461D"/>
    <w:rsid w:val="003800DC"/>
    <w:rsid w:val="00380BC4"/>
    <w:rsid w:val="00382A56"/>
    <w:rsid w:val="00384614"/>
    <w:rsid w:val="00386B08"/>
    <w:rsid w:val="00386C7F"/>
    <w:rsid w:val="00391E32"/>
    <w:rsid w:val="0039331E"/>
    <w:rsid w:val="00393482"/>
    <w:rsid w:val="00394052"/>
    <w:rsid w:val="00395406"/>
    <w:rsid w:val="003956A5"/>
    <w:rsid w:val="00396510"/>
    <w:rsid w:val="00397030"/>
    <w:rsid w:val="003A29C9"/>
    <w:rsid w:val="003A49F5"/>
    <w:rsid w:val="003B350C"/>
    <w:rsid w:val="003B4661"/>
    <w:rsid w:val="003B6E71"/>
    <w:rsid w:val="003C01B7"/>
    <w:rsid w:val="003C2E0B"/>
    <w:rsid w:val="003C3B21"/>
    <w:rsid w:val="003C3D4B"/>
    <w:rsid w:val="003D2C06"/>
    <w:rsid w:val="003D55A3"/>
    <w:rsid w:val="003E187D"/>
    <w:rsid w:val="003E62A8"/>
    <w:rsid w:val="003F058C"/>
    <w:rsid w:val="003F22BF"/>
    <w:rsid w:val="003F2AB2"/>
    <w:rsid w:val="003F3C3E"/>
    <w:rsid w:val="003F5544"/>
    <w:rsid w:val="003F644E"/>
    <w:rsid w:val="00400E81"/>
    <w:rsid w:val="0040210F"/>
    <w:rsid w:val="0040262F"/>
    <w:rsid w:val="00405BAA"/>
    <w:rsid w:val="00410711"/>
    <w:rsid w:val="004108EF"/>
    <w:rsid w:val="0041449B"/>
    <w:rsid w:val="00414881"/>
    <w:rsid w:val="00415E91"/>
    <w:rsid w:val="00416B6E"/>
    <w:rsid w:val="00430891"/>
    <w:rsid w:val="00431BB2"/>
    <w:rsid w:val="00433D3F"/>
    <w:rsid w:val="004362AF"/>
    <w:rsid w:val="00441793"/>
    <w:rsid w:val="004438B4"/>
    <w:rsid w:val="00445578"/>
    <w:rsid w:val="00450D76"/>
    <w:rsid w:val="00454D4E"/>
    <w:rsid w:val="004558A2"/>
    <w:rsid w:val="0046202B"/>
    <w:rsid w:val="004639FD"/>
    <w:rsid w:val="004672B9"/>
    <w:rsid w:val="00467E73"/>
    <w:rsid w:val="00472448"/>
    <w:rsid w:val="004769AA"/>
    <w:rsid w:val="004770B8"/>
    <w:rsid w:val="00485F1F"/>
    <w:rsid w:val="00491267"/>
    <w:rsid w:val="004964A9"/>
    <w:rsid w:val="004A464D"/>
    <w:rsid w:val="004A6C09"/>
    <w:rsid w:val="004B0BD9"/>
    <w:rsid w:val="004B2037"/>
    <w:rsid w:val="004B6436"/>
    <w:rsid w:val="004C301D"/>
    <w:rsid w:val="004C3F1F"/>
    <w:rsid w:val="004C5E7F"/>
    <w:rsid w:val="004C6CD2"/>
    <w:rsid w:val="004C6D6D"/>
    <w:rsid w:val="004D1AF9"/>
    <w:rsid w:val="004D3456"/>
    <w:rsid w:val="004D62C4"/>
    <w:rsid w:val="004D7AF0"/>
    <w:rsid w:val="004E1B43"/>
    <w:rsid w:val="004E1F5A"/>
    <w:rsid w:val="004E3619"/>
    <w:rsid w:val="004E5386"/>
    <w:rsid w:val="004E6CDA"/>
    <w:rsid w:val="004F08B5"/>
    <w:rsid w:val="004F16ED"/>
    <w:rsid w:val="004F1708"/>
    <w:rsid w:val="004F3626"/>
    <w:rsid w:val="004F3E4A"/>
    <w:rsid w:val="004F63BF"/>
    <w:rsid w:val="004F755A"/>
    <w:rsid w:val="00500401"/>
    <w:rsid w:val="00500D15"/>
    <w:rsid w:val="00501133"/>
    <w:rsid w:val="00501592"/>
    <w:rsid w:val="005039D6"/>
    <w:rsid w:val="00503EC5"/>
    <w:rsid w:val="0050453C"/>
    <w:rsid w:val="00512A53"/>
    <w:rsid w:val="0051788F"/>
    <w:rsid w:val="00517D1E"/>
    <w:rsid w:val="00523F02"/>
    <w:rsid w:val="0052654E"/>
    <w:rsid w:val="00527631"/>
    <w:rsid w:val="0053379E"/>
    <w:rsid w:val="00535DA4"/>
    <w:rsid w:val="00540599"/>
    <w:rsid w:val="00542BA1"/>
    <w:rsid w:val="00543A87"/>
    <w:rsid w:val="00547E29"/>
    <w:rsid w:val="00550AD2"/>
    <w:rsid w:val="005511BE"/>
    <w:rsid w:val="00554B75"/>
    <w:rsid w:val="005550C0"/>
    <w:rsid w:val="00557030"/>
    <w:rsid w:val="00557FB2"/>
    <w:rsid w:val="00560419"/>
    <w:rsid w:val="00563196"/>
    <w:rsid w:val="00564563"/>
    <w:rsid w:val="005658B3"/>
    <w:rsid w:val="005748FD"/>
    <w:rsid w:val="005764CF"/>
    <w:rsid w:val="00580F9D"/>
    <w:rsid w:val="005851C1"/>
    <w:rsid w:val="005961A1"/>
    <w:rsid w:val="005A0BAF"/>
    <w:rsid w:val="005A0C26"/>
    <w:rsid w:val="005A14C9"/>
    <w:rsid w:val="005A245F"/>
    <w:rsid w:val="005A3253"/>
    <w:rsid w:val="005B2BD9"/>
    <w:rsid w:val="005B3B93"/>
    <w:rsid w:val="005B4F5F"/>
    <w:rsid w:val="005B5452"/>
    <w:rsid w:val="005B669B"/>
    <w:rsid w:val="005B6AEA"/>
    <w:rsid w:val="005B781E"/>
    <w:rsid w:val="005C120C"/>
    <w:rsid w:val="005C22F8"/>
    <w:rsid w:val="005C5FB6"/>
    <w:rsid w:val="005F0BB3"/>
    <w:rsid w:val="005F0FF5"/>
    <w:rsid w:val="005F2CBB"/>
    <w:rsid w:val="005F3107"/>
    <w:rsid w:val="005F545D"/>
    <w:rsid w:val="005F5B36"/>
    <w:rsid w:val="00600965"/>
    <w:rsid w:val="00600975"/>
    <w:rsid w:val="006017A1"/>
    <w:rsid w:val="00602C60"/>
    <w:rsid w:val="00604A4C"/>
    <w:rsid w:val="006112AE"/>
    <w:rsid w:val="0061251B"/>
    <w:rsid w:val="00612E00"/>
    <w:rsid w:val="00623274"/>
    <w:rsid w:val="00624000"/>
    <w:rsid w:val="006248AB"/>
    <w:rsid w:val="00624C9F"/>
    <w:rsid w:val="0064085E"/>
    <w:rsid w:val="00640CC8"/>
    <w:rsid w:val="00642C8C"/>
    <w:rsid w:val="00643E3B"/>
    <w:rsid w:val="006471C5"/>
    <w:rsid w:val="00650909"/>
    <w:rsid w:val="00650A90"/>
    <w:rsid w:val="00653821"/>
    <w:rsid w:val="00653FA5"/>
    <w:rsid w:val="00655E08"/>
    <w:rsid w:val="0065698D"/>
    <w:rsid w:val="0066221D"/>
    <w:rsid w:val="0066250D"/>
    <w:rsid w:val="006629AA"/>
    <w:rsid w:val="00663EB9"/>
    <w:rsid w:val="00664254"/>
    <w:rsid w:val="00665C05"/>
    <w:rsid w:val="00666393"/>
    <w:rsid w:val="00667F93"/>
    <w:rsid w:val="006702A4"/>
    <w:rsid w:val="006771D4"/>
    <w:rsid w:val="00677569"/>
    <w:rsid w:val="00680DA2"/>
    <w:rsid w:val="00685AA9"/>
    <w:rsid w:val="00686A67"/>
    <w:rsid w:val="006879C0"/>
    <w:rsid w:val="0069138E"/>
    <w:rsid w:val="00692612"/>
    <w:rsid w:val="0069372F"/>
    <w:rsid w:val="0069430D"/>
    <w:rsid w:val="00695507"/>
    <w:rsid w:val="0069560F"/>
    <w:rsid w:val="00696540"/>
    <w:rsid w:val="006A3F7B"/>
    <w:rsid w:val="006A5D21"/>
    <w:rsid w:val="006B215F"/>
    <w:rsid w:val="006B34D8"/>
    <w:rsid w:val="006B619B"/>
    <w:rsid w:val="006B6528"/>
    <w:rsid w:val="006C3548"/>
    <w:rsid w:val="006C45AC"/>
    <w:rsid w:val="006C49D7"/>
    <w:rsid w:val="006C51EF"/>
    <w:rsid w:val="006D0296"/>
    <w:rsid w:val="006D1FF1"/>
    <w:rsid w:val="006D4085"/>
    <w:rsid w:val="006D56CD"/>
    <w:rsid w:val="006D65FC"/>
    <w:rsid w:val="006E2279"/>
    <w:rsid w:val="006E7111"/>
    <w:rsid w:val="006F1F76"/>
    <w:rsid w:val="006F79F7"/>
    <w:rsid w:val="00704461"/>
    <w:rsid w:val="00717D6C"/>
    <w:rsid w:val="00720802"/>
    <w:rsid w:val="00724C51"/>
    <w:rsid w:val="007269C3"/>
    <w:rsid w:val="007310EE"/>
    <w:rsid w:val="00732070"/>
    <w:rsid w:val="00736942"/>
    <w:rsid w:val="00745B33"/>
    <w:rsid w:val="00745F88"/>
    <w:rsid w:val="007512FD"/>
    <w:rsid w:val="007524C2"/>
    <w:rsid w:val="00752662"/>
    <w:rsid w:val="00756F5A"/>
    <w:rsid w:val="00762D04"/>
    <w:rsid w:val="00772283"/>
    <w:rsid w:val="00774D6E"/>
    <w:rsid w:val="00775411"/>
    <w:rsid w:val="00776053"/>
    <w:rsid w:val="00781A75"/>
    <w:rsid w:val="00786DF2"/>
    <w:rsid w:val="00786FAF"/>
    <w:rsid w:val="0078766E"/>
    <w:rsid w:val="007914E3"/>
    <w:rsid w:val="007959AA"/>
    <w:rsid w:val="00796BCC"/>
    <w:rsid w:val="007A016A"/>
    <w:rsid w:val="007A24CC"/>
    <w:rsid w:val="007B05DF"/>
    <w:rsid w:val="007B1958"/>
    <w:rsid w:val="007B2870"/>
    <w:rsid w:val="007B3E2B"/>
    <w:rsid w:val="007B5343"/>
    <w:rsid w:val="007B53F4"/>
    <w:rsid w:val="007B5DEA"/>
    <w:rsid w:val="007C71F0"/>
    <w:rsid w:val="007D6FC9"/>
    <w:rsid w:val="007E5087"/>
    <w:rsid w:val="007E7905"/>
    <w:rsid w:val="007E7FC9"/>
    <w:rsid w:val="007F084A"/>
    <w:rsid w:val="007F3BAD"/>
    <w:rsid w:val="008007C9"/>
    <w:rsid w:val="00801968"/>
    <w:rsid w:val="00801EA7"/>
    <w:rsid w:val="00804AE5"/>
    <w:rsid w:val="00812175"/>
    <w:rsid w:val="0081379F"/>
    <w:rsid w:val="0081737B"/>
    <w:rsid w:val="00821185"/>
    <w:rsid w:val="008259DD"/>
    <w:rsid w:val="00826619"/>
    <w:rsid w:val="00826DF9"/>
    <w:rsid w:val="00830F25"/>
    <w:rsid w:val="008354AB"/>
    <w:rsid w:val="00837BA3"/>
    <w:rsid w:val="00841B18"/>
    <w:rsid w:val="00842008"/>
    <w:rsid w:val="00842CDC"/>
    <w:rsid w:val="00843DBB"/>
    <w:rsid w:val="00850692"/>
    <w:rsid w:val="00850F96"/>
    <w:rsid w:val="008519C5"/>
    <w:rsid w:val="008526E5"/>
    <w:rsid w:val="00853A61"/>
    <w:rsid w:val="00857D6F"/>
    <w:rsid w:val="008638BD"/>
    <w:rsid w:val="00866551"/>
    <w:rsid w:val="00867691"/>
    <w:rsid w:val="00870FDC"/>
    <w:rsid w:val="00871473"/>
    <w:rsid w:val="00874B08"/>
    <w:rsid w:val="008761C4"/>
    <w:rsid w:val="00877E6B"/>
    <w:rsid w:val="00881CC7"/>
    <w:rsid w:val="00882E9E"/>
    <w:rsid w:val="00893F3D"/>
    <w:rsid w:val="008952BA"/>
    <w:rsid w:val="008A050E"/>
    <w:rsid w:val="008A0B75"/>
    <w:rsid w:val="008A312A"/>
    <w:rsid w:val="008A32E6"/>
    <w:rsid w:val="008A41DC"/>
    <w:rsid w:val="008A6371"/>
    <w:rsid w:val="008B3CE5"/>
    <w:rsid w:val="008B422A"/>
    <w:rsid w:val="008B66A0"/>
    <w:rsid w:val="008B687D"/>
    <w:rsid w:val="008C43B5"/>
    <w:rsid w:val="008C6D15"/>
    <w:rsid w:val="008D1DD4"/>
    <w:rsid w:val="008D21C2"/>
    <w:rsid w:val="008D26E3"/>
    <w:rsid w:val="008D27DC"/>
    <w:rsid w:val="008D6EF5"/>
    <w:rsid w:val="008E5029"/>
    <w:rsid w:val="008E65BA"/>
    <w:rsid w:val="00911AB5"/>
    <w:rsid w:val="009130C5"/>
    <w:rsid w:val="0091356A"/>
    <w:rsid w:val="009141CC"/>
    <w:rsid w:val="0091693A"/>
    <w:rsid w:val="00917432"/>
    <w:rsid w:val="00922BAC"/>
    <w:rsid w:val="00923C89"/>
    <w:rsid w:val="00924C71"/>
    <w:rsid w:val="00926423"/>
    <w:rsid w:val="00926B2E"/>
    <w:rsid w:val="00927300"/>
    <w:rsid w:val="00933FD9"/>
    <w:rsid w:val="0093483B"/>
    <w:rsid w:val="00934C4B"/>
    <w:rsid w:val="00936846"/>
    <w:rsid w:val="0093789D"/>
    <w:rsid w:val="009437ED"/>
    <w:rsid w:val="0094506A"/>
    <w:rsid w:val="00946BD8"/>
    <w:rsid w:val="00947BB1"/>
    <w:rsid w:val="00950575"/>
    <w:rsid w:val="0095125B"/>
    <w:rsid w:val="00952CCE"/>
    <w:rsid w:val="00955334"/>
    <w:rsid w:val="00957503"/>
    <w:rsid w:val="009626F8"/>
    <w:rsid w:val="00964EC8"/>
    <w:rsid w:val="00965E34"/>
    <w:rsid w:val="00967B9F"/>
    <w:rsid w:val="0097490A"/>
    <w:rsid w:val="00977650"/>
    <w:rsid w:val="009776B7"/>
    <w:rsid w:val="00982FDE"/>
    <w:rsid w:val="00985580"/>
    <w:rsid w:val="009857D2"/>
    <w:rsid w:val="0098664A"/>
    <w:rsid w:val="00986745"/>
    <w:rsid w:val="00986AE8"/>
    <w:rsid w:val="00987217"/>
    <w:rsid w:val="009902ED"/>
    <w:rsid w:val="009906E0"/>
    <w:rsid w:val="009925DF"/>
    <w:rsid w:val="009933C7"/>
    <w:rsid w:val="009A39D4"/>
    <w:rsid w:val="009A3BD0"/>
    <w:rsid w:val="009A427D"/>
    <w:rsid w:val="009A4B6C"/>
    <w:rsid w:val="009A597C"/>
    <w:rsid w:val="009A6A2F"/>
    <w:rsid w:val="009A7CF5"/>
    <w:rsid w:val="009B211D"/>
    <w:rsid w:val="009B53D3"/>
    <w:rsid w:val="009C10A0"/>
    <w:rsid w:val="009C1383"/>
    <w:rsid w:val="009C14ED"/>
    <w:rsid w:val="009C2F79"/>
    <w:rsid w:val="009C5C12"/>
    <w:rsid w:val="009C6E9D"/>
    <w:rsid w:val="009D332F"/>
    <w:rsid w:val="009D51B9"/>
    <w:rsid w:val="009D5A26"/>
    <w:rsid w:val="009D6840"/>
    <w:rsid w:val="009D6875"/>
    <w:rsid w:val="009E1C38"/>
    <w:rsid w:val="009E477E"/>
    <w:rsid w:val="009E5F69"/>
    <w:rsid w:val="009E6B42"/>
    <w:rsid w:val="009E7E0F"/>
    <w:rsid w:val="009E7F31"/>
    <w:rsid w:val="009F14AE"/>
    <w:rsid w:val="009F25BE"/>
    <w:rsid w:val="009F429E"/>
    <w:rsid w:val="009F5019"/>
    <w:rsid w:val="009F793E"/>
    <w:rsid w:val="00A006E2"/>
    <w:rsid w:val="00A03165"/>
    <w:rsid w:val="00A052C6"/>
    <w:rsid w:val="00A05F29"/>
    <w:rsid w:val="00A1098F"/>
    <w:rsid w:val="00A147D5"/>
    <w:rsid w:val="00A15FA4"/>
    <w:rsid w:val="00A17118"/>
    <w:rsid w:val="00A20396"/>
    <w:rsid w:val="00A215D4"/>
    <w:rsid w:val="00A2266B"/>
    <w:rsid w:val="00A26D44"/>
    <w:rsid w:val="00A30481"/>
    <w:rsid w:val="00A324C4"/>
    <w:rsid w:val="00A36047"/>
    <w:rsid w:val="00A36A2F"/>
    <w:rsid w:val="00A37145"/>
    <w:rsid w:val="00A3798B"/>
    <w:rsid w:val="00A436DD"/>
    <w:rsid w:val="00A45637"/>
    <w:rsid w:val="00A45702"/>
    <w:rsid w:val="00A51E0B"/>
    <w:rsid w:val="00A52C65"/>
    <w:rsid w:val="00A63754"/>
    <w:rsid w:val="00A65120"/>
    <w:rsid w:val="00A66C48"/>
    <w:rsid w:val="00A71582"/>
    <w:rsid w:val="00A74C02"/>
    <w:rsid w:val="00A77AC0"/>
    <w:rsid w:val="00A81126"/>
    <w:rsid w:val="00A852CB"/>
    <w:rsid w:val="00A85747"/>
    <w:rsid w:val="00A859BD"/>
    <w:rsid w:val="00A865BB"/>
    <w:rsid w:val="00A94641"/>
    <w:rsid w:val="00A9470F"/>
    <w:rsid w:val="00A94B0A"/>
    <w:rsid w:val="00A95F46"/>
    <w:rsid w:val="00A97A52"/>
    <w:rsid w:val="00A97CC4"/>
    <w:rsid w:val="00AA0333"/>
    <w:rsid w:val="00AA36E5"/>
    <w:rsid w:val="00AA5465"/>
    <w:rsid w:val="00AA67C7"/>
    <w:rsid w:val="00AA7614"/>
    <w:rsid w:val="00AA773F"/>
    <w:rsid w:val="00AA77C3"/>
    <w:rsid w:val="00AB20DF"/>
    <w:rsid w:val="00AB5529"/>
    <w:rsid w:val="00AC0259"/>
    <w:rsid w:val="00AC1CCE"/>
    <w:rsid w:val="00AC3B04"/>
    <w:rsid w:val="00AC65EF"/>
    <w:rsid w:val="00AC7EC8"/>
    <w:rsid w:val="00AD11FB"/>
    <w:rsid w:val="00AD27EB"/>
    <w:rsid w:val="00AD2C61"/>
    <w:rsid w:val="00AD2F3B"/>
    <w:rsid w:val="00AD3E8A"/>
    <w:rsid w:val="00AD652F"/>
    <w:rsid w:val="00AD6BAB"/>
    <w:rsid w:val="00AE0316"/>
    <w:rsid w:val="00AE3891"/>
    <w:rsid w:val="00AE61F9"/>
    <w:rsid w:val="00AF1394"/>
    <w:rsid w:val="00AF2A97"/>
    <w:rsid w:val="00AF2CD2"/>
    <w:rsid w:val="00AF2F7C"/>
    <w:rsid w:val="00AF3572"/>
    <w:rsid w:val="00AF3EBC"/>
    <w:rsid w:val="00AF56E9"/>
    <w:rsid w:val="00AF7166"/>
    <w:rsid w:val="00B043C1"/>
    <w:rsid w:val="00B07232"/>
    <w:rsid w:val="00B135A5"/>
    <w:rsid w:val="00B13D1B"/>
    <w:rsid w:val="00B152A3"/>
    <w:rsid w:val="00B175F5"/>
    <w:rsid w:val="00B208D8"/>
    <w:rsid w:val="00B2176D"/>
    <w:rsid w:val="00B27294"/>
    <w:rsid w:val="00B4158E"/>
    <w:rsid w:val="00B44750"/>
    <w:rsid w:val="00B47D80"/>
    <w:rsid w:val="00B5020B"/>
    <w:rsid w:val="00B5369A"/>
    <w:rsid w:val="00B54327"/>
    <w:rsid w:val="00B55913"/>
    <w:rsid w:val="00B55BFE"/>
    <w:rsid w:val="00B567B7"/>
    <w:rsid w:val="00B60A47"/>
    <w:rsid w:val="00B60B3D"/>
    <w:rsid w:val="00B6238D"/>
    <w:rsid w:val="00B70052"/>
    <w:rsid w:val="00B73175"/>
    <w:rsid w:val="00B73B29"/>
    <w:rsid w:val="00B8070D"/>
    <w:rsid w:val="00B8115D"/>
    <w:rsid w:val="00B83F83"/>
    <w:rsid w:val="00B84176"/>
    <w:rsid w:val="00B868FF"/>
    <w:rsid w:val="00B90F07"/>
    <w:rsid w:val="00B9464B"/>
    <w:rsid w:val="00B951FA"/>
    <w:rsid w:val="00B9699C"/>
    <w:rsid w:val="00BA3C65"/>
    <w:rsid w:val="00BA405C"/>
    <w:rsid w:val="00BA4ECB"/>
    <w:rsid w:val="00BB347A"/>
    <w:rsid w:val="00BB5697"/>
    <w:rsid w:val="00BB5887"/>
    <w:rsid w:val="00BB6936"/>
    <w:rsid w:val="00BC22FB"/>
    <w:rsid w:val="00BC3F65"/>
    <w:rsid w:val="00BC4361"/>
    <w:rsid w:val="00BC61DC"/>
    <w:rsid w:val="00BD3286"/>
    <w:rsid w:val="00BD3A95"/>
    <w:rsid w:val="00BD5774"/>
    <w:rsid w:val="00BD725F"/>
    <w:rsid w:val="00BE0871"/>
    <w:rsid w:val="00BE34DD"/>
    <w:rsid w:val="00BE498F"/>
    <w:rsid w:val="00BE4E46"/>
    <w:rsid w:val="00BF1051"/>
    <w:rsid w:val="00BF59A2"/>
    <w:rsid w:val="00BF5C25"/>
    <w:rsid w:val="00C018B1"/>
    <w:rsid w:val="00C03C00"/>
    <w:rsid w:val="00C05AA9"/>
    <w:rsid w:val="00C1161C"/>
    <w:rsid w:val="00C12DFF"/>
    <w:rsid w:val="00C25DEB"/>
    <w:rsid w:val="00C27016"/>
    <w:rsid w:val="00C30AC0"/>
    <w:rsid w:val="00C31D1C"/>
    <w:rsid w:val="00C32374"/>
    <w:rsid w:val="00C3336B"/>
    <w:rsid w:val="00C355A4"/>
    <w:rsid w:val="00C36927"/>
    <w:rsid w:val="00C37D1F"/>
    <w:rsid w:val="00C41BC1"/>
    <w:rsid w:val="00C41D22"/>
    <w:rsid w:val="00C4208E"/>
    <w:rsid w:val="00C4309C"/>
    <w:rsid w:val="00C438FB"/>
    <w:rsid w:val="00C4404A"/>
    <w:rsid w:val="00C44276"/>
    <w:rsid w:val="00C502C4"/>
    <w:rsid w:val="00C50B85"/>
    <w:rsid w:val="00C53B1D"/>
    <w:rsid w:val="00C54BF3"/>
    <w:rsid w:val="00C57B26"/>
    <w:rsid w:val="00C6270E"/>
    <w:rsid w:val="00C62AC0"/>
    <w:rsid w:val="00C63025"/>
    <w:rsid w:val="00C67758"/>
    <w:rsid w:val="00C67975"/>
    <w:rsid w:val="00C67EA8"/>
    <w:rsid w:val="00C729F5"/>
    <w:rsid w:val="00C73039"/>
    <w:rsid w:val="00C733F3"/>
    <w:rsid w:val="00C74A28"/>
    <w:rsid w:val="00C805BB"/>
    <w:rsid w:val="00C809F1"/>
    <w:rsid w:val="00C81574"/>
    <w:rsid w:val="00C81D61"/>
    <w:rsid w:val="00C83574"/>
    <w:rsid w:val="00C839EB"/>
    <w:rsid w:val="00C84997"/>
    <w:rsid w:val="00C915A8"/>
    <w:rsid w:val="00C97A28"/>
    <w:rsid w:val="00CA02B3"/>
    <w:rsid w:val="00CA1401"/>
    <w:rsid w:val="00CB2DEF"/>
    <w:rsid w:val="00CB685D"/>
    <w:rsid w:val="00CB777C"/>
    <w:rsid w:val="00CB78F3"/>
    <w:rsid w:val="00CB7AFD"/>
    <w:rsid w:val="00CC2592"/>
    <w:rsid w:val="00CC2A92"/>
    <w:rsid w:val="00CC72FF"/>
    <w:rsid w:val="00CD79FD"/>
    <w:rsid w:val="00CE4200"/>
    <w:rsid w:val="00CE5554"/>
    <w:rsid w:val="00CF066B"/>
    <w:rsid w:val="00CF0942"/>
    <w:rsid w:val="00CF2F50"/>
    <w:rsid w:val="00CF45D9"/>
    <w:rsid w:val="00CF584F"/>
    <w:rsid w:val="00D025F9"/>
    <w:rsid w:val="00D04016"/>
    <w:rsid w:val="00D043A4"/>
    <w:rsid w:val="00D05FAC"/>
    <w:rsid w:val="00D06C04"/>
    <w:rsid w:val="00D07758"/>
    <w:rsid w:val="00D12555"/>
    <w:rsid w:val="00D13BAE"/>
    <w:rsid w:val="00D2512F"/>
    <w:rsid w:val="00D31D53"/>
    <w:rsid w:val="00D35044"/>
    <w:rsid w:val="00D366A6"/>
    <w:rsid w:val="00D36749"/>
    <w:rsid w:val="00D36A0F"/>
    <w:rsid w:val="00D41542"/>
    <w:rsid w:val="00D42273"/>
    <w:rsid w:val="00D44846"/>
    <w:rsid w:val="00D461DA"/>
    <w:rsid w:val="00D5193B"/>
    <w:rsid w:val="00D53EFA"/>
    <w:rsid w:val="00D56087"/>
    <w:rsid w:val="00D56E36"/>
    <w:rsid w:val="00D6122E"/>
    <w:rsid w:val="00D66119"/>
    <w:rsid w:val="00D66C8F"/>
    <w:rsid w:val="00D67668"/>
    <w:rsid w:val="00D67FA5"/>
    <w:rsid w:val="00D707B7"/>
    <w:rsid w:val="00D724AE"/>
    <w:rsid w:val="00D80307"/>
    <w:rsid w:val="00D80976"/>
    <w:rsid w:val="00D81B93"/>
    <w:rsid w:val="00D821C9"/>
    <w:rsid w:val="00D828B7"/>
    <w:rsid w:val="00D82B4A"/>
    <w:rsid w:val="00D82BCC"/>
    <w:rsid w:val="00D82D8E"/>
    <w:rsid w:val="00D8533B"/>
    <w:rsid w:val="00D9506E"/>
    <w:rsid w:val="00D964D4"/>
    <w:rsid w:val="00DA6E04"/>
    <w:rsid w:val="00DB1AE9"/>
    <w:rsid w:val="00DB2E00"/>
    <w:rsid w:val="00DB4CFD"/>
    <w:rsid w:val="00DB5A35"/>
    <w:rsid w:val="00DB69FE"/>
    <w:rsid w:val="00DC2A06"/>
    <w:rsid w:val="00DC42D5"/>
    <w:rsid w:val="00DC62D3"/>
    <w:rsid w:val="00DC68C1"/>
    <w:rsid w:val="00DC7902"/>
    <w:rsid w:val="00DD0493"/>
    <w:rsid w:val="00DD450B"/>
    <w:rsid w:val="00DE00EC"/>
    <w:rsid w:val="00DE0482"/>
    <w:rsid w:val="00DE0994"/>
    <w:rsid w:val="00DE19E3"/>
    <w:rsid w:val="00DE35B5"/>
    <w:rsid w:val="00DE4CA7"/>
    <w:rsid w:val="00DF2C9C"/>
    <w:rsid w:val="00DF2EAC"/>
    <w:rsid w:val="00DF6AF7"/>
    <w:rsid w:val="00E00021"/>
    <w:rsid w:val="00E00831"/>
    <w:rsid w:val="00E01330"/>
    <w:rsid w:val="00E01BEA"/>
    <w:rsid w:val="00E04FAE"/>
    <w:rsid w:val="00E056B1"/>
    <w:rsid w:val="00E06AD2"/>
    <w:rsid w:val="00E11397"/>
    <w:rsid w:val="00E143EE"/>
    <w:rsid w:val="00E144F7"/>
    <w:rsid w:val="00E148E1"/>
    <w:rsid w:val="00E154AA"/>
    <w:rsid w:val="00E2188F"/>
    <w:rsid w:val="00E23043"/>
    <w:rsid w:val="00E23178"/>
    <w:rsid w:val="00E245A0"/>
    <w:rsid w:val="00E24872"/>
    <w:rsid w:val="00E25615"/>
    <w:rsid w:val="00E25C2D"/>
    <w:rsid w:val="00E267A1"/>
    <w:rsid w:val="00E3591B"/>
    <w:rsid w:val="00E4728E"/>
    <w:rsid w:val="00E50593"/>
    <w:rsid w:val="00E50B44"/>
    <w:rsid w:val="00E5377A"/>
    <w:rsid w:val="00E54671"/>
    <w:rsid w:val="00E555DD"/>
    <w:rsid w:val="00E64E9F"/>
    <w:rsid w:val="00E669AF"/>
    <w:rsid w:val="00E66E46"/>
    <w:rsid w:val="00E74CA3"/>
    <w:rsid w:val="00E7714B"/>
    <w:rsid w:val="00E81181"/>
    <w:rsid w:val="00E8164B"/>
    <w:rsid w:val="00E81F28"/>
    <w:rsid w:val="00E86FD7"/>
    <w:rsid w:val="00E90D72"/>
    <w:rsid w:val="00E92943"/>
    <w:rsid w:val="00EA0085"/>
    <w:rsid w:val="00EA7BE5"/>
    <w:rsid w:val="00EB0CDF"/>
    <w:rsid w:val="00EB1D1B"/>
    <w:rsid w:val="00EB69F1"/>
    <w:rsid w:val="00EC017B"/>
    <w:rsid w:val="00EC13D5"/>
    <w:rsid w:val="00EC299A"/>
    <w:rsid w:val="00EC3663"/>
    <w:rsid w:val="00EC59ED"/>
    <w:rsid w:val="00EC7808"/>
    <w:rsid w:val="00ED3EBB"/>
    <w:rsid w:val="00ED6B7A"/>
    <w:rsid w:val="00EE0EF0"/>
    <w:rsid w:val="00EE1123"/>
    <w:rsid w:val="00EE3B8D"/>
    <w:rsid w:val="00EE4568"/>
    <w:rsid w:val="00EE4EFE"/>
    <w:rsid w:val="00EE50B2"/>
    <w:rsid w:val="00EE650C"/>
    <w:rsid w:val="00EF1905"/>
    <w:rsid w:val="00EF1C7F"/>
    <w:rsid w:val="00EF7ABA"/>
    <w:rsid w:val="00F04C7E"/>
    <w:rsid w:val="00F06024"/>
    <w:rsid w:val="00F07DDF"/>
    <w:rsid w:val="00F1122A"/>
    <w:rsid w:val="00F176FC"/>
    <w:rsid w:val="00F214B6"/>
    <w:rsid w:val="00F22CA3"/>
    <w:rsid w:val="00F230F7"/>
    <w:rsid w:val="00F27504"/>
    <w:rsid w:val="00F31289"/>
    <w:rsid w:val="00F317B6"/>
    <w:rsid w:val="00F321F3"/>
    <w:rsid w:val="00F35854"/>
    <w:rsid w:val="00F4247A"/>
    <w:rsid w:val="00F45697"/>
    <w:rsid w:val="00F45B74"/>
    <w:rsid w:val="00F5034F"/>
    <w:rsid w:val="00F547C4"/>
    <w:rsid w:val="00F7122F"/>
    <w:rsid w:val="00F73581"/>
    <w:rsid w:val="00F7533F"/>
    <w:rsid w:val="00F7544E"/>
    <w:rsid w:val="00F76551"/>
    <w:rsid w:val="00F774CB"/>
    <w:rsid w:val="00F80B01"/>
    <w:rsid w:val="00F83BCA"/>
    <w:rsid w:val="00F84C51"/>
    <w:rsid w:val="00F8786B"/>
    <w:rsid w:val="00F90C12"/>
    <w:rsid w:val="00F93DDB"/>
    <w:rsid w:val="00F94398"/>
    <w:rsid w:val="00F943DB"/>
    <w:rsid w:val="00F963A2"/>
    <w:rsid w:val="00FA3973"/>
    <w:rsid w:val="00FA531D"/>
    <w:rsid w:val="00FA5BD0"/>
    <w:rsid w:val="00FA5F9C"/>
    <w:rsid w:val="00FA62FE"/>
    <w:rsid w:val="00FA6BF3"/>
    <w:rsid w:val="00FA73F5"/>
    <w:rsid w:val="00FA79D8"/>
    <w:rsid w:val="00FB070B"/>
    <w:rsid w:val="00FB711C"/>
    <w:rsid w:val="00FC1115"/>
    <w:rsid w:val="00FC257A"/>
    <w:rsid w:val="00FC59D7"/>
    <w:rsid w:val="00FD09F3"/>
    <w:rsid w:val="00FD2C2E"/>
    <w:rsid w:val="00FD5070"/>
    <w:rsid w:val="00FD7C04"/>
    <w:rsid w:val="00FE2990"/>
    <w:rsid w:val="00FE3925"/>
    <w:rsid w:val="010C157A"/>
    <w:rsid w:val="010D593B"/>
    <w:rsid w:val="01337462"/>
    <w:rsid w:val="0136205E"/>
    <w:rsid w:val="013D4B60"/>
    <w:rsid w:val="01441323"/>
    <w:rsid w:val="014B5618"/>
    <w:rsid w:val="0159301C"/>
    <w:rsid w:val="01630F53"/>
    <w:rsid w:val="017240DE"/>
    <w:rsid w:val="018D537F"/>
    <w:rsid w:val="018E0DA3"/>
    <w:rsid w:val="019A362C"/>
    <w:rsid w:val="01A87AFF"/>
    <w:rsid w:val="01AC6679"/>
    <w:rsid w:val="01AE1197"/>
    <w:rsid w:val="01B47A5B"/>
    <w:rsid w:val="01B47D52"/>
    <w:rsid w:val="01D27804"/>
    <w:rsid w:val="01DA7C98"/>
    <w:rsid w:val="01F0403A"/>
    <w:rsid w:val="01F9039F"/>
    <w:rsid w:val="01FB5C4F"/>
    <w:rsid w:val="020639D0"/>
    <w:rsid w:val="021A4E30"/>
    <w:rsid w:val="022206C6"/>
    <w:rsid w:val="0226433F"/>
    <w:rsid w:val="02293BB5"/>
    <w:rsid w:val="0238078A"/>
    <w:rsid w:val="024A08E3"/>
    <w:rsid w:val="025B5809"/>
    <w:rsid w:val="0264181D"/>
    <w:rsid w:val="026433F9"/>
    <w:rsid w:val="0264375E"/>
    <w:rsid w:val="0288490C"/>
    <w:rsid w:val="029524C9"/>
    <w:rsid w:val="02A06F50"/>
    <w:rsid w:val="02A10796"/>
    <w:rsid w:val="02A25C0F"/>
    <w:rsid w:val="02AB3159"/>
    <w:rsid w:val="02B551D8"/>
    <w:rsid w:val="02C54861"/>
    <w:rsid w:val="02CD2B87"/>
    <w:rsid w:val="02D73918"/>
    <w:rsid w:val="02DB663E"/>
    <w:rsid w:val="02DE780D"/>
    <w:rsid w:val="02DF1744"/>
    <w:rsid w:val="02EA7B02"/>
    <w:rsid w:val="02FD44FA"/>
    <w:rsid w:val="03002880"/>
    <w:rsid w:val="031C7652"/>
    <w:rsid w:val="03237B4D"/>
    <w:rsid w:val="03287C7A"/>
    <w:rsid w:val="03411FB9"/>
    <w:rsid w:val="03442FDA"/>
    <w:rsid w:val="034A6BAA"/>
    <w:rsid w:val="03B951CF"/>
    <w:rsid w:val="03CC42B2"/>
    <w:rsid w:val="03E617CF"/>
    <w:rsid w:val="040835F8"/>
    <w:rsid w:val="04130D54"/>
    <w:rsid w:val="04273065"/>
    <w:rsid w:val="04301E03"/>
    <w:rsid w:val="044832A4"/>
    <w:rsid w:val="044B75D0"/>
    <w:rsid w:val="045A3333"/>
    <w:rsid w:val="045A5379"/>
    <w:rsid w:val="04611584"/>
    <w:rsid w:val="04750F42"/>
    <w:rsid w:val="04813AFF"/>
    <w:rsid w:val="04862D7A"/>
    <w:rsid w:val="048C6718"/>
    <w:rsid w:val="049D3B67"/>
    <w:rsid w:val="04B1551D"/>
    <w:rsid w:val="04B770AF"/>
    <w:rsid w:val="04B82D7B"/>
    <w:rsid w:val="04BF39F1"/>
    <w:rsid w:val="04C05669"/>
    <w:rsid w:val="04C20B49"/>
    <w:rsid w:val="04C97F07"/>
    <w:rsid w:val="04D045BC"/>
    <w:rsid w:val="04D757B2"/>
    <w:rsid w:val="04E44AFD"/>
    <w:rsid w:val="04E81B1A"/>
    <w:rsid w:val="04F236E0"/>
    <w:rsid w:val="04F2584B"/>
    <w:rsid w:val="04F355F1"/>
    <w:rsid w:val="04F71134"/>
    <w:rsid w:val="04FB1D1A"/>
    <w:rsid w:val="05005B0E"/>
    <w:rsid w:val="05011069"/>
    <w:rsid w:val="050742C1"/>
    <w:rsid w:val="0514007A"/>
    <w:rsid w:val="051A0F48"/>
    <w:rsid w:val="05204049"/>
    <w:rsid w:val="05293820"/>
    <w:rsid w:val="053B3173"/>
    <w:rsid w:val="053D37ED"/>
    <w:rsid w:val="0544799E"/>
    <w:rsid w:val="054637E3"/>
    <w:rsid w:val="05677E7C"/>
    <w:rsid w:val="058403F1"/>
    <w:rsid w:val="05B170E6"/>
    <w:rsid w:val="05B5570B"/>
    <w:rsid w:val="05BB6053"/>
    <w:rsid w:val="05BC7EBB"/>
    <w:rsid w:val="05C313AC"/>
    <w:rsid w:val="05D2339D"/>
    <w:rsid w:val="05EA3860"/>
    <w:rsid w:val="05ED35C6"/>
    <w:rsid w:val="05EF21A1"/>
    <w:rsid w:val="05F3624F"/>
    <w:rsid w:val="05FC37D8"/>
    <w:rsid w:val="0633208D"/>
    <w:rsid w:val="064C13A1"/>
    <w:rsid w:val="06696535"/>
    <w:rsid w:val="066A7D16"/>
    <w:rsid w:val="066B00B4"/>
    <w:rsid w:val="067754D4"/>
    <w:rsid w:val="0695657A"/>
    <w:rsid w:val="069A7736"/>
    <w:rsid w:val="06A62C24"/>
    <w:rsid w:val="06A817F9"/>
    <w:rsid w:val="06AC3DA3"/>
    <w:rsid w:val="06CC788D"/>
    <w:rsid w:val="06DF70B0"/>
    <w:rsid w:val="06E97BC0"/>
    <w:rsid w:val="06F253F2"/>
    <w:rsid w:val="07013F3A"/>
    <w:rsid w:val="0722771B"/>
    <w:rsid w:val="074017CD"/>
    <w:rsid w:val="075C762A"/>
    <w:rsid w:val="07663909"/>
    <w:rsid w:val="077A1B57"/>
    <w:rsid w:val="07916447"/>
    <w:rsid w:val="079E3EFC"/>
    <w:rsid w:val="07B23617"/>
    <w:rsid w:val="07BA4B8C"/>
    <w:rsid w:val="07CA6F92"/>
    <w:rsid w:val="07CB4CB2"/>
    <w:rsid w:val="07DC7164"/>
    <w:rsid w:val="07F07F64"/>
    <w:rsid w:val="080A5070"/>
    <w:rsid w:val="082F253C"/>
    <w:rsid w:val="0831400C"/>
    <w:rsid w:val="08340518"/>
    <w:rsid w:val="083D41C7"/>
    <w:rsid w:val="086C2111"/>
    <w:rsid w:val="0881543E"/>
    <w:rsid w:val="08904008"/>
    <w:rsid w:val="0895407B"/>
    <w:rsid w:val="08C7667B"/>
    <w:rsid w:val="08D12BD6"/>
    <w:rsid w:val="08F20900"/>
    <w:rsid w:val="09047D11"/>
    <w:rsid w:val="09240536"/>
    <w:rsid w:val="092435D2"/>
    <w:rsid w:val="092D34D1"/>
    <w:rsid w:val="094D6FFD"/>
    <w:rsid w:val="095157B0"/>
    <w:rsid w:val="096E64D7"/>
    <w:rsid w:val="0970020B"/>
    <w:rsid w:val="09704FE5"/>
    <w:rsid w:val="09727595"/>
    <w:rsid w:val="098F26EE"/>
    <w:rsid w:val="099B532B"/>
    <w:rsid w:val="09A6526C"/>
    <w:rsid w:val="09AF317E"/>
    <w:rsid w:val="09D16148"/>
    <w:rsid w:val="0A09281A"/>
    <w:rsid w:val="0A12237C"/>
    <w:rsid w:val="0A206DCD"/>
    <w:rsid w:val="0A22761F"/>
    <w:rsid w:val="0A687D49"/>
    <w:rsid w:val="0A7133D9"/>
    <w:rsid w:val="0A747118"/>
    <w:rsid w:val="0A772667"/>
    <w:rsid w:val="0A8A30E0"/>
    <w:rsid w:val="0AA12000"/>
    <w:rsid w:val="0AA445B0"/>
    <w:rsid w:val="0AC004C4"/>
    <w:rsid w:val="0AC3668D"/>
    <w:rsid w:val="0AD12FF0"/>
    <w:rsid w:val="0AE75FA1"/>
    <w:rsid w:val="0AFB2FE2"/>
    <w:rsid w:val="0B31376A"/>
    <w:rsid w:val="0B58100C"/>
    <w:rsid w:val="0B7A43B5"/>
    <w:rsid w:val="0B860C3A"/>
    <w:rsid w:val="0BB37B94"/>
    <w:rsid w:val="0BB5776E"/>
    <w:rsid w:val="0BC46094"/>
    <w:rsid w:val="0BDB0AD5"/>
    <w:rsid w:val="0BDC6B84"/>
    <w:rsid w:val="0BDE7EF4"/>
    <w:rsid w:val="0BF1092E"/>
    <w:rsid w:val="0C07485F"/>
    <w:rsid w:val="0C13125D"/>
    <w:rsid w:val="0C13173F"/>
    <w:rsid w:val="0C1A2322"/>
    <w:rsid w:val="0C2C231B"/>
    <w:rsid w:val="0C354DA0"/>
    <w:rsid w:val="0C356DE0"/>
    <w:rsid w:val="0C5A3414"/>
    <w:rsid w:val="0C7279A6"/>
    <w:rsid w:val="0C867D38"/>
    <w:rsid w:val="0C897FA2"/>
    <w:rsid w:val="0C8F1839"/>
    <w:rsid w:val="0CA05FA3"/>
    <w:rsid w:val="0CB802C7"/>
    <w:rsid w:val="0CCE32DD"/>
    <w:rsid w:val="0CD246D7"/>
    <w:rsid w:val="0CE3464A"/>
    <w:rsid w:val="0CF00892"/>
    <w:rsid w:val="0CF52A27"/>
    <w:rsid w:val="0D3D1A44"/>
    <w:rsid w:val="0D411E7F"/>
    <w:rsid w:val="0D460986"/>
    <w:rsid w:val="0D5D3553"/>
    <w:rsid w:val="0D665367"/>
    <w:rsid w:val="0D785DF0"/>
    <w:rsid w:val="0D7F3E0A"/>
    <w:rsid w:val="0D8E059E"/>
    <w:rsid w:val="0D9438C0"/>
    <w:rsid w:val="0DA01E55"/>
    <w:rsid w:val="0DBA14FD"/>
    <w:rsid w:val="0DD422CC"/>
    <w:rsid w:val="0DE07BEC"/>
    <w:rsid w:val="0DFC6427"/>
    <w:rsid w:val="0E02500A"/>
    <w:rsid w:val="0E0C72EC"/>
    <w:rsid w:val="0E126B11"/>
    <w:rsid w:val="0E2177B8"/>
    <w:rsid w:val="0E38388B"/>
    <w:rsid w:val="0E40545E"/>
    <w:rsid w:val="0E48776E"/>
    <w:rsid w:val="0E4B4EC3"/>
    <w:rsid w:val="0E503043"/>
    <w:rsid w:val="0E5F4ABF"/>
    <w:rsid w:val="0E6D5EB3"/>
    <w:rsid w:val="0E7D745E"/>
    <w:rsid w:val="0E874614"/>
    <w:rsid w:val="0E911990"/>
    <w:rsid w:val="0E941468"/>
    <w:rsid w:val="0EB2767E"/>
    <w:rsid w:val="0EB30912"/>
    <w:rsid w:val="0ED75F9C"/>
    <w:rsid w:val="0EDC0CD5"/>
    <w:rsid w:val="0EE80353"/>
    <w:rsid w:val="0EF23E04"/>
    <w:rsid w:val="0EF80318"/>
    <w:rsid w:val="0F120408"/>
    <w:rsid w:val="0F1F71D5"/>
    <w:rsid w:val="0F221D2A"/>
    <w:rsid w:val="0F340B76"/>
    <w:rsid w:val="0F3868A7"/>
    <w:rsid w:val="0F3D06F8"/>
    <w:rsid w:val="0F540C27"/>
    <w:rsid w:val="0F61774B"/>
    <w:rsid w:val="0F6C1FD9"/>
    <w:rsid w:val="0F6F0AD2"/>
    <w:rsid w:val="0F73799F"/>
    <w:rsid w:val="0F821E78"/>
    <w:rsid w:val="0F8738B4"/>
    <w:rsid w:val="0FB748D6"/>
    <w:rsid w:val="0FEE6FAE"/>
    <w:rsid w:val="0FFA0344"/>
    <w:rsid w:val="10233173"/>
    <w:rsid w:val="10246439"/>
    <w:rsid w:val="10460EAB"/>
    <w:rsid w:val="105015D1"/>
    <w:rsid w:val="105E1166"/>
    <w:rsid w:val="108F1AFD"/>
    <w:rsid w:val="10914363"/>
    <w:rsid w:val="10933BD4"/>
    <w:rsid w:val="109C3C4F"/>
    <w:rsid w:val="10B4026F"/>
    <w:rsid w:val="10BC68EE"/>
    <w:rsid w:val="10C25B9A"/>
    <w:rsid w:val="10C929BE"/>
    <w:rsid w:val="10D715CB"/>
    <w:rsid w:val="10D94FCD"/>
    <w:rsid w:val="11052183"/>
    <w:rsid w:val="111E1B8C"/>
    <w:rsid w:val="11291BD1"/>
    <w:rsid w:val="11347638"/>
    <w:rsid w:val="11371211"/>
    <w:rsid w:val="113C69A9"/>
    <w:rsid w:val="11550D47"/>
    <w:rsid w:val="117F1695"/>
    <w:rsid w:val="1183471D"/>
    <w:rsid w:val="1186012B"/>
    <w:rsid w:val="11864E28"/>
    <w:rsid w:val="118A2253"/>
    <w:rsid w:val="119160DF"/>
    <w:rsid w:val="119B7810"/>
    <w:rsid w:val="119F37D1"/>
    <w:rsid w:val="11AB3E0C"/>
    <w:rsid w:val="11B122B7"/>
    <w:rsid w:val="11B25A6E"/>
    <w:rsid w:val="11BA3663"/>
    <w:rsid w:val="11D01D4E"/>
    <w:rsid w:val="11D37CC4"/>
    <w:rsid w:val="11D82C76"/>
    <w:rsid w:val="11EE7608"/>
    <w:rsid w:val="11F033A4"/>
    <w:rsid w:val="12297E8F"/>
    <w:rsid w:val="12386EF3"/>
    <w:rsid w:val="12471DF5"/>
    <w:rsid w:val="12503DD2"/>
    <w:rsid w:val="125A7678"/>
    <w:rsid w:val="12657658"/>
    <w:rsid w:val="1266455F"/>
    <w:rsid w:val="128203CB"/>
    <w:rsid w:val="128D3DF0"/>
    <w:rsid w:val="12B15B79"/>
    <w:rsid w:val="12BB03C6"/>
    <w:rsid w:val="12E252ED"/>
    <w:rsid w:val="12E3750D"/>
    <w:rsid w:val="12F45B3D"/>
    <w:rsid w:val="131006B4"/>
    <w:rsid w:val="13110323"/>
    <w:rsid w:val="131247C4"/>
    <w:rsid w:val="13250206"/>
    <w:rsid w:val="133C682A"/>
    <w:rsid w:val="138256E4"/>
    <w:rsid w:val="138379AF"/>
    <w:rsid w:val="139374B1"/>
    <w:rsid w:val="13AD5F71"/>
    <w:rsid w:val="13B01F56"/>
    <w:rsid w:val="13BF5729"/>
    <w:rsid w:val="13C136E1"/>
    <w:rsid w:val="13D4317D"/>
    <w:rsid w:val="13EB653A"/>
    <w:rsid w:val="13ED2AB8"/>
    <w:rsid w:val="13F04972"/>
    <w:rsid w:val="13FB4CD7"/>
    <w:rsid w:val="13FE52D3"/>
    <w:rsid w:val="141173B2"/>
    <w:rsid w:val="14184D9B"/>
    <w:rsid w:val="14187133"/>
    <w:rsid w:val="141911AF"/>
    <w:rsid w:val="14230D06"/>
    <w:rsid w:val="142769F6"/>
    <w:rsid w:val="146D7492"/>
    <w:rsid w:val="14720375"/>
    <w:rsid w:val="149A01FF"/>
    <w:rsid w:val="149F39CC"/>
    <w:rsid w:val="14A05081"/>
    <w:rsid w:val="14B3066C"/>
    <w:rsid w:val="14BE53BD"/>
    <w:rsid w:val="14C8333B"/>
    <w:rsid w:val="14CF1B1B"/>
    <w:rsid w:val="14DC21DF"/>
    <w:rsid w:val="15064E11"/>
    <w:rsid w:val="15125089"/>
    <w:rsid w:val="152977A9"/>
    <w:rsid w:val="153C3D45"/>
    <w:rsid w:val="153D3F3D"/>
    <w:rsid w:val="15406F0E"/>
    <w:rsid w:val="1547540F"/>
    <w:rsid w:val="154B588C"/>
    <w:rsid w:val="156404B5"/>
    <w:rsid w:val="156670AB"/>
    <w:rsid w:val="156D582F"/>
    <w:rsid w:val="159674C1"/>
    <w:rsid w:val="15BF0A4F"/>
    <w:rsid w:val="15C92097"/>
    <w:rsid w:val="15CB2D72"/>
    <w:rsid w:val="15D62A35"/>
    <w:rsid w:val="15D735C8"/>
    <w:rsid w:val="15E82070"/>
    <w:rsid w:val="15ED44E2"/>
    <w:rsid w:val="15F941DD"/>
    <w:rsid w:val="15FE6A06"/>
    <w:rsid w:val="16114104"/>
    <w:rsid w:val="161404C8"/>
    <w:rsid w:val="161E6706"/>
    <w:rsid w:val="1624083B"/>
    <w:rsid w:val="16402B92"/>
    <w:rsid w:val="164D4E83"/>
    <w:rsid w:val="165302CF"/>
    <w:rsid w:val="16547B38"/>
    <w:rsid w:val="166149F5"/>
    <w:rsid w:val="169E79F7"/>
    <w:rsid w:val="16A103C8"/>
    <w:rsid w:val="16B833D0"/>
    <w:rsid w:val="16F15D46"/>
    <w:rsid w:val="171F6AA5"/>
    <w:rsid w:val="17252D4B"/>
    <w:rsid w:val="173270B7"/>
    <w:rsid w:val="174649A0"/>
    <w:rsid w:val="17517110"/>
    <w:rsid w:val="1770295A"/>
    <w:rsid w:val="177177CE"/>
    <w:rsid w:val="177A0FE8"/>
    <w:rsid w:val="17C426C5"/>
    <w:rsid w:val="17DC33B7"/>
    <w:rsid w:val="17DD373A"/>
    <w:rsid w:val="17E17A32"/>
    <w:rsid w:val="17EF2AC7"/>
    <w:rsid w:val="17FB3DCC"/>
    <w:rsid w:val="18154FDF"/>
    <w:rsid w:val="181E5640"/>
    <w:rsid w:val="182351A6"/>
    <w:rsid w:val="182D1302"/>
    <w:rsid w:val="183E3E7C"/>
    <w:rsid w:val="18611C4A"/>
    <w:rsid w:val="18670776"/>
    <w:rsid w:val="18697B91"/>
    <w:rsid w:val="1874022D"/>
    <w:rsid w:val="18756535"/>
    <w:rsid w:val="187F1657"/>
    <w:rsid w:val="188A0ED1"/>
    <w:rsid w:val="18982224"/>
    <w:rsid w:val="189B49E6"/>
    <w:rsid w:val="189C7134"/>
    <w:rsid w:val="18A64034"/>
    <w:rsid w:val="18B64B9A"/>
    <w:rsid w:val="18C352E8"/>
    <w:rsid w:val="18C57BFA"/>
    <w:rsid w:val="18CC1759"/>
    <w:rsid w:val="18CC6FE0"/>
    <w:rsid w:val="18CE2071"/>
    <w:rsid w:val="18E276A6"/>
    <w:rsid w:val="18F56002"/>
    <w:rsid w:val="19173A91"/>
    <w:rsid w:val="19184B68"/>
    <w:rsid w:val="192076D8"/>
    <w:rsid w:val="193870C1"/>
    <w:rsid w:val="194E25C3"/>
    <w:rsid w:val="19576626"/>
    <w:rsid w:val="19597C05"/>
    <w:rsid w:val="19687E48"/>
    <w:rsid w:val="1972476A"/>
    <w:rsid w:val="197614A3"/>
    <w:rsid w:val="19876F55"/>
    <w:rsid w:val="198C0D1C"/>
    <w:rsid w:val="199B5984"/>
    <w:rsid w:val="19A84214"/>
    <w:rsid w:val="19A95920"/>
    <w:rsid w:val="19AD5C82"/>
    <w:rsid w:val="19B21FBE"/>
    <w:rsid w:val="19B91892"/>
    <w:rsid w:val="19BA37C2"/>
    <w:rsid w:val="19D93D17"/>
    <w:rsid w:val="19F45E01"/>
    <w:rsid w:val="19FE64C1"/>
    <w:rsid w:val="1A3F4CDB"/>
    <w:rsid w:val="1A4711CD"/>
    <w:rsid w:val="1A4B344A"/>
    <w:rsid w:val="1A4F2DB6"/>
    <w:rsid w:val="1A5A1F9F"/>
    <w:rsid w:val="1A6B5E42"/>
    <w:rsid w:val="1A6F12F2"/>
    <w:rsid w:val="1A7A73A2"/>
    <w:rsid w:val="1A92388B"/>
    <w:rsid w:val="1A975C0F"/>
    <w:rsid w:val="1A9D463D"/>
    <w:rsid w:val="1AC92B69"/>
    <w:rsid w:val="1AE82B7E"/>
    <w:rsid w:val="1B031976"/>
    <w:rsid w:val="1B053968"/>
    <w:rsid w:val="1B0921C3"/>
    <w:rsid w:val="1B3051DC"/>
    <w:rsid w:val="1B3E37E9"/>
    <w:rsid w:val="1B4118E2"/>
    <w:rsid w:val="1B4C2578"/>
    <w:rsid w:val="1B6E1C1D"/>
    <w:rsid w:val="1B741E7F"/>
    <w:rsid w:val="1B766644"/>
    <w:rsid w:val="1B8164A1"/>
    <w:rsid w:val="1B8E06A3"/>
    <w:rsid w:val="1BA56D0F"/>
    <w:rsid w:val="1BA72028"/>
    <w:rsid w:val="1BA720E8"/>
    <w:rsid w:val="1BA84E74"/>
    <w:rsid w:val="1BC519A1"/>
    <w:rsid w:val="1BD73B3C"/>
    <w:rsid w:val="1BD91EC8"/>
    <w:rsid w:val="1BE1078F"/>
    <w:rsid w:val="1BEE6655"/>
    <w:rsid w:val="1C371016"/>
    <w:rsid w:val="1C39290E"/>
    <w:rsid w:val="1C4306F9"/>
    <w:rsid w:val="1C5B1EE6"/>
    <w:rsid w:val="1C7D7530"/>
    <w:rsid w:val="1C7E0333"/>
    <w:rsid w:val="1C8124E4"/>
    <w:rsid w:val="1C8B3E36"/>
    <w:rsid w:val="1C8E6D1B"/>
    <w:rsid w:val="1C92426C"/>
    <w:rsid w:val="1C9C23F9"/>
    <w:rsid w:val="1CA9433A"/>
    <w:rsid w:val="1CB609CA"/>
    <w:rsid w:val="1CBA132A"/>
    <w:rsid w:val="1CC31C47"/>
    <w:rsid w:val="1CD65CA3"/>
    <w:rsid w:val="1CE4263B"/>
    <w:rsid w:val="1CE632A3"/>
    <w:rsid w:val="1CF21D0A"/>
    <w:rsid w:val="1CFB1F58"/>
    <w:rsid w:val="1D0600B2"/>
    <w:rsid w:val="1D1207F7"/>
    <w:rsid w:val="1D29520F"/>
    <w:rsid w:val="1D312E5D"/>
    <w:rsid w:val="1D4A1565"/>
    <w:rsid w:val="1D5B02DB"/>
    <w:rsid w:val="1D5D60F2"/>
    <w:rsid w:val="1D6B7F07"/>
    <w:rsid w:val="1D6C1483"/>
    <w:rsid w:val="1D777B67"/>
    <w:rsid w:val="1D904AF8"/>
    <w:rsid w:val="1D954F84"/>
    <w:rsid w:val="1D9B19F0"/>
    <w:rsid w:val="1D9F05AF"/>
    <w:rsid w:val="1DAE2918"/>
    <w:rsid w:val="1DAF2B9A"/>
    <w:rsid w:val="1DAF6D6B"/>
    <w:rsid w:val="1DB0758B"/>
    <w:rsid w:val="1DCA752E"/>
    <w:rsid w:val="1DDE5144"/>
    <w:rsid w:val="1DE116C1"/>
    <w:rsid w:val="1DE849B1"/>
    <w:rsid w:val="1DED0193"/>
    <w:rsid w:val="1DED4DC0"/>
    <w:rsid w:val="1DF1775A"/>
    <w:rsid w:val="1DF31C80"/>
    <w:rsid w:val="1DFF52AB"/>
    <w:rsid w:val="1E0E587D"/>
    <w:rsid w:val="1E322104"/>
    <w:rsid w:val="1E36243E"/>
    <w:rsid w:val="1E4D2D19"/>
    <w:rsid w:val="1E5310C7"/>
    <w:rsid w:val="1E5410FD"/>
    <w:rsid w:val="1E575091"/>
    <w:rsid w:val="1E585330"/>
    <w:rsid w:val="1E662D1D"/>
    <w:rsid w:val="1E75214D"/>
    <w:rsid w:val="1E77788A"/>
    <w:rsid w:val="1E795808"/>
    <w:rsid w:val="1E9F7C42"/>
    <w:rsid w:val="1EA53CC7"/>
    <w:rsid w:val="1EA70CCB"/>
    <w:rsid w:val="1EBF0E9F"/>
    <w:rsid w:val="1EE11C36"/>
    <w:rsid w:val="1EF827B1"/>
    <w:rsid w:val="1EFF6AD8"/>
    <w:rsid w:val="1F0D2AA6"/>
    <w:rsid w:val="1F11063A"/>
    <w:rsid w:val="1F112B28"/>
    <w:rsid w:val="1F2C418E"/>
    <w:rsid w:val="1F315F0D"/>
    <w:rsid w:val="1F3F4577"/>
    <w:rsid w:val="1F4C36BC"/>
    <w:rsid w:val="1F5A167D"/>
    <w:rsid w:val="1F6F1D42"/>
    <w:rsid w:val="1F817EB6"/>
    <w:rsid w:val="1F8C2DDE"/>
    <w:rsid w:val="1F8D6A5E"/>
    <w:rsid w:val="1F915AD1"/>
    <w:rsid w:val="1FA04F57"/>
    <w:rsid w:val="1FC8655F"/>
    <w:rsid w:val="1FD400AB"/>
    <w:rsid w:val="1FDE0E64"/>
    <w:rsid w:val="1FEC2346"/>
    <w:rsid w:val="1FEC71F7"/>
    <w:rsid w:val="20037AC5"/>
    <w:rsid w:val="200A6A16"/>
    <w:rsid w:val="200D1E75"/>
    <w:rsid w:val="202961FF"/>
    <w:rsid w:val="203500AD"/>
    <w:rsid w:val="20350E42"/>
    <w:rsid w:val="20397EBE"/>
    <w:rsid w:val="203B4918"/>
    <w:rsid w:val="207B2CE0"/>
    <w:rsid w:val="208455A6"/>
    <w:rsid w:val="208C2876"/>
    <w:rsid w:val="20943A69"/>
    <w:rsid w:val="209B664F"/>
    <w:rsid w:val="20B7787D"/>
    <w:rsid w:val="20BC1ADD"/>
    <w:rsid w:val="20BD316F"/>
    <w:rsid w:val="20C4509C"/>
    <w:rsid w:val="20C5383F"/>
    <w:rsid w:val="20C622A7"/>
    <w:rsid w:val="20E17C42"/>
    <w:rsid w:val="20F36F46"/>
    <w:rsid w:val="21026EA9"/>
    <w:rsid w:val="21282DE2"/>
    <w:rsid w:val="213149B5"/>
    <w:rsid w:val="21402907"/>
    <w:rsid w:val="2144022D"/>
    <w:rsid w:val="215B684D"/>
    <w:rsid w:val="216234EA"/>
    <w:rsid w:val="2163317E"/>
    <w:rsid w:val="21736DF8"/>
    <w:rsid w:val="2176550C"/>
    <w:rsid w:val="217A3CC7"/>
    <w:rsid w:val="21805916"/>
    <w:rsid w:val="218377BF"/>
    <w:rsid w:val="2195551C"/>
    <w:rsid w:val="21BF268E"/>
    <w:rsid w:val="21D2510C"/>
    <w:rsid w:val="21E05348"/>
    <w:rsid w:val="21E33242"/>
    <w:rsid w:val="21E71600"/>
    <w:rsid w:val="21EC7C28"/>
    <w:rsid w:val="21F15F92"/>
    <w:rsid w:val="220576BB"/>
    <w:rsid w:val="220977E4"/>
    <w:rsid w:val="221028E2"/>
    <w:rsid w:val="221A4AFC"/>
    <w:rsid w:val="22201CD7"/>
    <w:rsid w:val="222F00CE"/>
    <w:rsid w:val="22350B82"/>
    <w:rsid w:val="2247667A"/>
    <w:rsid w:val="22595EED"/>
    <w:rsid w:val="227710FC"/>
    <w:rsid w:val="227E4F41"/>
    <w:rsid w:val="228723C6"/>
    <w:rsid w:val="22897204"/>
    <w:rsid w:val="22995E46"/>
    <w:rsid w:val="22A24134"/>
    <w:rsid w:val="22A925B9"/>
    <w:rsid w:val="22B01DC9"/>
    <w:rsid w:val="22B47881"/>
    <w:rsid w:val="22BD2FB3"/>
    <w:rsid w:val="22BE240C"/>
    <w:rsid w:val="22D732EB"/>
    <w:rsid w:val="22DB3237"/>
    <w:rsid w:val="22E85550"/>
    <w:rsid w:val="22EB6796"/>
    <w:rsid w:val="22F2314B"/>
    <w:rsid w:val="22F5737A"/>
    <w:rsid w:val="22FD699D"/>
    <w:rsid w:val="22FE155F"/>
    <w:rsid w:val="22FE1A17"/>
    <w:rsid w:val="230501E5"/>
    <w:rsid w:val="230814D6"/>
    <w:rsid w:val="231513F5"/>
    <w:rsid w:val="2318643B"/>
    <w:rsid w:val="233A4603"/>
    <w:rsid w:val="233B5F1C"/>
    <w:rsid w:val="235A38BF"/>
    <w:rsid w:val="23826B24"/>
    <w:rsid w:val="23A434D2"/>
    <w:rsid w:val="23C338B7"/>
    <w:rsid w:val="23C40371"/>
    <w:rsid w:val="23CF600E"/>
    <w:rsid w:val="23F3473E"/>
    <w:rsid w:val="23F83147"/>
    <w:rsid w:val="24007D16"/>
    <w:rsid w:val="240B3C6A"/>
    <w:rsid w:val="240B4B2C"/>
    <w:rsid w:val="2412652E"/>
    <w:rsid w:val="241411C0"/>
    <w:rsid w:val="241F4B50"/>
    <w:rsid w:val="242D71DD"/>
    <w:rsid w:val="2430075A"/>
    <w:rsid w:val="246C4FFE"/>
    <w:rsid w:val="24795A0A"/>
    <w:rsid w:val="248F0220"/>
    <w:rsid w:val="24D26ABE"/>
    <w:rsid w:val="24D82716"/>
    <w:rsid w:val="25037925"/>
    <w:rsid w:val="25100E16"/>
    <w:rsid w:val="25110468"/>
    <w:rsid w:val="2516586D"/>
    <w:rsid w:val="25166182"/>
    <w:rsid w:val="25343D0D"/>
    <w:rsid w:val="2536069B"/>
    <w:rsid w:val="2544606D"/>
    <w:rsid w:val="255C1A3C"/>
    <w:rsid w:val="255D14AA"/>
    <w:rsid w:val="2563766C"/>
    <w:rsid w:val="256736AA"/>
    <w:rsid w:val="25834E30"/>
    <w:rsid w:val="258F78A7"/>
    <w:rsid w:val="259721E1"/>
    <w:rsid w:val="25BB6F4A"/>
    <w:rsid w:val="25BE401B"/>
    <w:rsid w:val="25C92069"/>
    <w:rsid w:val="25D97F93"/>
    <w:rsid w:val="263A7BEC"/>
    <w:rsid w:val="26470148"/>
    <w:rsid w:val="265333CC"/>
    <w:rsid w:val="26555BF8"/>
    <w:rsid w:val="266304C5"/>
    <w:rsid w:val="267811F2"/>
    <w:rsid w:val="26832765"/>
    <w:rsid w:val="269B7AAF"/>
    <w:rsid w:val="26A44C77"/>
    <w:rsid w:val="26A85F52"/>
    <w:rsid w:val="26B2620E"/>
    <w:rsid w:val="26B3670D"/>
    <w:rsid w:val="26B70586"/>
    <w:rsid w:val="26D06F56"/>
    <w:rsid w:val="26D529F1"/>
    <w:rsid w:val="26DB7752"/>
    <w:rsid w:val="26DD2645"/>
    <w:rsid w:val="26E337D0"/>
    <w:rsid w:val="26F458CA"/>
    <w:rsid w:val="26FE32CC"/>
    <w:rsid w:val="271635D9"/>
    <w:rsid w:val="271D0249"/>
    <w:rsid w:val="272E7140"/>
    <w:rsid w:val="273644A3"/>
    <w:rsid w:val="274277E7"/>
    <w:rsid w:val="27545B5F"/>
    <w:rsid w:val="27762449"/>
    <w:rsid w:val="27807DEB"/>
    <w:rsid w:val="278224F1"/>
    <w:rsid w:val="27875A16"/>
    <w:rsid w:val="278E6E47"/>
    <w:rsid w:val="279C2872"/>
    <w:rsid w:val="279D7B0F"/>
    <w:rsid w:val="27A7320D"/>
    <w:rsid w:val="27BB78C6"/>
    <w:rsid w:val="27BC470B"/>
    <w:rsid w:val="27BC5F2F"/>
    <w:rsid w:val="27CE4439"/>
    <w:rsid w:val="27CE6E7A"/>
    <w:rsid w:val="27DC608A"/>
    <w:rsid w:val="27E14DD7"/>
    <w:rsid w:val="27F72673"/>
    <w:rsid w:val="27FE091A"/>
    <w:rsid w:val="27FF1642"/>
    <w:rsid w:val="280953B6"/>
    <w:rsid w:val="28183632"/>
    <w:rsid w:val="28495B70"/>
    <w:rsid w:val="28556610"/>
    <w:rsid w:val="285816C9"/>
    <w:rsid w:val="288E4EB9"/>
    <w:rsid w:val="28BA1B28"/>
    <w:rsid w:val="28CC7D03"/>
    <w:rsid w:val="28DB3ED4"/>
    <w:rsid w:val="28DF7FBB"/>
    <w:rsid w:val="28E35C46"/>
    <w:rsid w:val="28E54B8F"/>
    <w:rsid w:val="28EE6FDF"/>
    <w:rsid w:val="29365D70"/>
    <w:rsid w:val="293F1639"/>
    <w:rsid w:val="293F655C"/>
    <w:rsid w:val="296762A7"/>
    <w:rsid w:val="296A5B06"/>
    <w:rsid w:val="29861723"/>
    <w:rsid w:val="298926B5"/>
    <w:rsid w:val="29893319"/>
    <w:rsid w:val="299A151C"/>
    <w:rsid w:val="299D23E6"/>
    <w:rsid w:val="299F3A0E"/>
    <w:rsid w:val="29B361E7"/>
    <w:rsid w:val="29C33C75"/>
    <w:rsid w:val="29E8659D"/>
    <w:rsid w:val="29F745E6"/>
    <w:rsid w:val="29FF644B"/>
    <w:rsid w:val="2A0149BD"/>
    <w:rsid w:val="2A18522B"/>
    <w:rsid w:val="2A1D07DB"/>
    <w:rsid w:val="2A2E6E4D"/>
    <w:rsid w:val="2A7200C9"/>
    <w:rsid w:val="2A77438F"/>
    <w:rsid w:val="2A8300C8"/>
    <w:rsid w:val="2ABD7823"/>
    <w:rsid w:val="2AC30EFD"/>
    <w:rsid w:val="2AD536AD"/>
    <w:rsid w:val="2AD91409"/>
    <w:rsid w:val="2B00745A"/>
    <w:rsid w:val="2B043CFB"/>
    <w:rsid w:val="2B100C20"/>
    <w:rsid w:val="2B403E14"/>
    <w:rsid w:val="2B60044F"/>
    <w:rsid w:val="2B6F6324"/>
    <w:rsid w:val="2BA21FF1"/>
    <w:rsid w:val="2BBA5126"/>
    <w:rsid w:val="2BBE43CF"/>
    <w:rsid w:val="2BD001FB"/>
    <w:rsid w:val="2BD64EC2"/>
    <w:rsid w:val="2BF57A16"/>
    <w:rsid w:val="2C284337"/>
    <w:rsid w:val="2C2A074D"/>
    <w:rsid w:val="2C35298A"/>
    <w:rsid w:val="2C387CAA"/>
    <w:rsid w:val="2C522201"/>
    <w:rsid w:val="2C5C4256"/>
    <w:rsid w:val="2C65564C"/>
    <w:rsid w:val="2C836BD0"/>
    <w:rsid w:val="2C8770FC"/>
    <w:rsid w:val="2C905E5D"/>
    <w:rsid w:val="2CAE4683"/>
    <w:rsid w:val="2CAE5ED9"/>
    <w:rsid w:val="2CD25FEC"/>
    <w:rsid w:val="2CF15F3E"/>
    <w:rsid w:val="2CF808D7"/>
    <w:rsid w:val="2D24482B"/>
    <w:rsid w:val="2D554C4E"/>
    <w:rsid w:val="2D601FE6"/>
    <w:rsid w:val="2D612A54"/>
    <w:rsid w:val="2D71729C"/>
    <w:rsid w:val="2D764953"/>
    <w:rsid w:val="2D843B88"/>
    <w:rsid w:val="2D8C5BF7"/>
    <w:rsid w:val="2DA70554"/>
    <w:rsid w:val="2DB64014"/>
    <w:rsid w:val="2DD72EE1"/>
    <w:rsid w:val="2DDC5444"/>
    <w:rsid w:val="2DDD6E1A"/>
    <w:rsid w:val="2DEA0109"/>
    <w:rsid w:val="2DED1A22"/>
    <w:rsid w:val="2DF81343"/>
    <w:rsid w:val="2DFA0AD4"/>
    <w:rsid w:val="2E05014C"/>
    <w:rsid w:val="2E282546"/>
    <w:rsid w:val="2E2F2B8C"/>
    <w:rsid w:val="2E637463"/>
    <w:rsid w:val="2E652751"/>
    <w:rsid w:val="2E733DE0"/>
    <w:rsid w:val="2E7F5FA9"/>
    <w:rsid w:val="2E823302"/>
    <w:rsid w:val="2E850409"/>
    <w:rsid w:val="2EA119DB"/>
    <w:rsid w:val="2EAB3B9B"/>
    <w:rsid w:val="2EB1064A"/>
    <w:rsid w:val="2ECA1F2C"/>
    <w:rsid w:val="2ED44025"/>
    <w:rsid w:val="2ED91516"/>
    <w:rsid w:val="2EE32078"/>
    <w:rsid w:val="2EF321AA"/>
    <w:rsid w:val="2EF73A47"/>
    <w:rsid w:val="2EFC4067"/>
    <w:rsid w:val="2F046FB4"/>
    <w:rsid w:val="2F077651"/>
    <w:rsid w:val="2F0A50AC"/>
    <w:rsid w:val="2F0B6EAC"/>
    <w:rsid w:val="2F2956DD"/>
    <w:rsid w:val="2F431BEF"/>
    <w:rsid w:val="2F504F5D"/>
    <w:rsid w:val="2F5E6B71"/>
    <w:rsid w:val="2F8A11B7"/>
    <w:rsid w:val="2F94507C"/>
    <w:rsid w:val="2FA06626"/>
    <w:rsid w:val="2FA20EB2"/>
    <w:rsid w:val="2FAF1DCB"/>
    <w:rsid w:val="2FB266EA"/>
    <w:rsid w:val="2FB923D8"/>
    <w:rsid w:val="2FD00080"/>
    <w:rsid w:val="2FF66AF0"/>
    <w:rsid w:val="30211B5D"/>
    <w:rsid w:val="30264B84"/>
    <w:rsid w:val="302E54F0"/>
    <w:rsid w:val="303D13BE"/>
    <w:rsid w:val="304E0559"/>
    <w:rsid w:val="3057680E"/>
    <w:rsid w:val="305A7D05"/>
    <w:rsid w:val="305C14EA"/>
    <w:rsid w:val="305D2219"/>
    <w:rsid w:val="306051FE"/>
    <w:rsid w:val="30646D60"/>
    <w:rsid w:val="306B6ADA"/>
    <w:rsid w:val="306D6C5A"/>
    <w:rsid w:val="306E3B3E"/>
    <w:rsid w:val="306F6DFD"/>
    <w:rsid w:val="30837612"/>
    <w:rsid w:val="30927ABF"/>
    <w:rsid w:val="30932642"/>
    <w:rsid w:val="30AC637A"/>
    <w:rsid w:val="30BA3228"/>
    <w:rsid w:val="30E6401D"/>
    <w:rsid w:val="30F545DF"/>
    <w:rsid w:val="30F878AC"/>
    <w:rsid w:val="31064106"/>
    <w:rsid w:val="310741D5"/>
    <w:rsid w:val="312B1A2F"/>
    <w:rsid w:val="31367965"/>
    <w:rsid w:val="314F4246"/>
    <w:rsid w:val="31571EAB"/>
    <w:rsid w:val="31641A95"/>
    <w:rsid w:val="3189370B"/>
    <w:rsid w:val="31974EC1"/>
    <w:rsid w:val="319900ED"/>
    <w:rsid w:val="31AA0DC8"/>
    <w:rsid w:val="31B575C3"/>
    <w:rsid w:val="31B90D4A"/>
    <w:rsid w:val="31DE13A6"/>
    <w:rsid w:val="31DE4CF4"/>
    <w:rsid w:val="31E247E4"/>
    <w:rsid w:val="31E66222"/>
    <w:rsid w:val="31E93377"/>
    <w:rsid w:val="31EB2CD3"/>
    <w:rsid w:val="31EE1F17"/>
    <w:rsid w:val="31FB0E64"/>
    <w:rsid w:val="31FC28B6"/>
    <w:rsid w:val="31FE274B"/>
    <w:rsid w:val="320261C3"/>
    <w:rsid w:val="320757A2"/>
    <w:rsid w:val="32192AFB"/>
    <w:rsid w:val="322D6A16"/>
    <w:rsid w:val="324810F6"/>
    <w:rsid w:val="32790157"/>
    <w:rsid w:val="32870C69"/>
    <w:rsid w:val="32931F82"/>
    <w:rsid w:val="329B12D4"/>
    <w:rsid w:val="32A77FE2"/>
    <w:rsid w:val="32B42DF2"/>
    <w:rsid w:val="32C276D3"/>
    <w:rsid w:val="32CF2F58"/>
    <w:rsid w:val="32D74F8B"/>
    <w:rsid w:val="32E65427"/>
    <w:rsid w:val="32F1427E"/>
    <w:rsid w:val="32FA5B5D"/>
    <w:rsid w:val="32FE0237"/>
    <w:rsid w:val="33024C79"/>
    <w:rsid w:val="3304219B"/>
    <w:rsid w:val="331870B1"/>
    <w:rsid w:val="3322550A"/>
    <w:rsid w:val="3323540A"/>
    <w:rsid w:val="334234EB"/>
    <w:rsid w:val="3348096B"/>
    <w:rsid w:val="337376BE"/>
    <w:rsid w:val="3375770F"/>
    <w:rsid w:val="3382734A"/>
    <w:rsid w:val="33926F33"/>
    <w:rsid w:val="339935C8"/>
    <w:rsid w:val="339C7ED1"/>
    <w:rsid w:val="33A20F8B"/>
    <w:rsid w:val="33A405CD"/>
    <w:rsid w:val="33B03A5A"/>
    <w:rsid w:val="33E23D2D"/>
    <w:rsid w:val="33E7210A"/>
    <w:rsid w:val="33E80891"/>
    <w:rsid w:val="33ED10D7"/>
    <w:rsid w:val="33ED69FC"/>
    <w:rsid w:val="33EF3E07"/>
    <w:rsid w:val="33F77FF7"/>
    <w:rsid w:val="340E0074"/>
    <w:rsid w:val="34211002"/>
    <w:rsid w:val="342D5C0D"/>
    <w:rsid w:val="34411E7C"/>
    <w:rsid w:val="346040E6"/>
    <w:rsid w:val="34685145"/>
    <w:rsid w:val="347914E6"/>
    <w:rsid w:val="347F3485"/>
    <w:rsid w:val="34877160"/>
    <w:rsid w:val="348E66A3"/>
    <w:rsid w:val="34AB75A5"/>
    <w:rsid w:val="34C7005D"/>
    <w:rsid w:val="34CE2E63"/>
    <w:rsid w:val="34CE7031"/>
    <w:rsid w:val="34E00A86"/>
    <w:rsid w:val="34E44526"/>
    <w:rsid w:val="34F833D4"/>
    <w:rsid w:val="35062919"/>
    <w:rsid w:val="35072D3D"/>
    <w:rsid w:val="351A2A2C"/>
    <w:rsid w:val="3520348D"/>
    <w:rsid w:val="35214671"/>
    <w:rsid w:val="352D0A2E"/>
    <w:rsid w:val="354849CC"/>
    <w:rsid w:val="356626E0"/>
    <w:rsid w:val="356936DF"/>
    <w:rsid w:val="359658A5"/>
    <w:rsid w:val="359A16D2"/>
    <w:rsid w:val="359B75EC"/>
    <w:rsid w:val="35BB619C"/>
    <w:rsid w:val="35EF7EE2"/>
    <w:rsid w:val="3614094F"/>
    <w:rsid w:val="361D6D1C"/>
    <w:rsid w:val="36242E8C"/>
    <w:rsid w:val="36322E70"/>
    <w:rsid w:val="364E69F6"/>
    <w:rsid w:val="36615123"/>
    <w:rsid w:val="366A2346"/>
    <w:rsid w:val="36714091"/>
    <w:rsid w:val="36724CC3"/>
    <w:rsid w:val="36907E91"/>
    <w:rsid w:val="36974270"/>
    <w:rsid w:val="36982AB8"/>
    <w:rsid w:val="36AC114D"/>
    <w:rsid w:val="36B9188B"/>
    <w:rsid w:val="36CE3B0A"/>
    <w:rsid w:val="36CF347B"/>
    <w:rsid w:val="36DB33E2"/>
    <w:rsid w:val="36E22798"/>
    <w:rsid w:val="36E2409E"/>
    <w:rsid w:val="36E5781D"/>
    <w:rsid w:val="36E73BC9"/>
    <w:rsid w:val="36EE2E25"/>
    <w:rsid w:val="37006A3F"/>
    <w:rsid w:val="3710046F"/>
    <w:rsid w:val="371534C3"/>
    <w:rsid w:val="37283B6A"/>
    <w:rsid w:val="3763514F"/>
    <w:rsid w:val="37702892"/>
    <w:rsid w:val="37712C84"/>
    <w:rsid w:val="3772660A"/>
    <w:rsid w:val="37766F59"/>
    <w:rsid w:val="37770AB4"/>
    <w:rsid w:val="3778090E"/>
    <w:rsid w:val="379D18C5"/>
    <w:rsid w:val="37A8535D"/>
    <w:rsid w:val="37AC319E"/>
    <w:rsid w:val="37AF43BA"/>
    <w:rsid w:val="37C1627F"/>
    <w:rsid w:val="37D43E3E"/>
    <w:rsid w:val="37D558C6"/>
    <w:rsid w:val="37E33744"/>
    <w:rsid w:val="37F06D89"/>
    <w:rsid w:val="37F93AC6"/>
    <w:rsid w:val="38007921"/>
    <w:rsid w:val="38190A26"/>
    <w:rsid w:val="381928EF"/>
    <w:rsid w:val="381A4C5F"/>
    <w:rsid w:val="382459C0"/>
    <w:rsid w:val="382955F4"/>
    <w:rsid w:val="382C7C77"/>
    <w:rsid w:val="383F4812"/>
    <w:rsid w:val="384F4F34"/>
    <w:rsid w:val="385710BD"/>
    <w:rsid w:val="386C2211"/>
    <w:rsid w:val="386F61B0"/>
    <w:rsid w:val="38716B2C"/>
    <w:rsid w:val="38822AC1"/>
    <w:rsid w:val="38901D0A"/>
    <w:rsid w:val="38A34D42"/>
    <w:rsid w:val="38A55517"/>
    <w:rsid w:val="38B76D73"/>
    <w:rsid w:val="38C055EF"/>
    <w:rsid w:val="38C15093"/>
    <w:rsid w:val="38E45804"/>
    <w:rsid w:val="38EE3475"/>
    <w:rsid w:val="38F52689"/>
    <w:rsid w:val="38F97E7B"/>
    <w:rsid w:val="38FD445C"/>
    <w:rsid w:val="38FE4B0D"/>
    <w:rsid w:val="390642CF"/>
    <w:rsid w:val="392A544B"/>
    <w:rsid w:val="39377A79"/>
    <w:rsid w:val="3938193F"/>
    <w:rsid w:val="393877A9"/>
    <w:rsid w:val="39447B32"/>
    <w:rsid w:val="39654CB7"/>
    <w:rsid w:val="396D107B"/>
    <w:rsid w:val="39771363"/>
    <w:rsid w:val="39822409"/>
    <w:rsid w:val="398B0118"/>
    <w:rsid w:val="39920107"/>
    <w:rsid w:val="39A4442B"/>
    <w:rsid w:val="39B02613"/>
    <w:rsid w:val="39B30806"/>
    <w:rsid w:val="39C34A26"/>
    <w:rsid w:val="39CA0C51"/>
    <w:rsid w:val="39FD2D03"/>
    <w:rsid w:val="3A021DE4"/>
    <w:rsid w:val="3A070D90"/>
    <w:rsid w:val="3A142CB4"/>
    <w:rsid w:val="3A24424F"/>
    <w:rsid w:val="3A685A67"/>
    <w:rsid w:val="3A6A48FA"/>
    <w:rsid w:val="3AA27D40"/>
    <w:rsid w:val="3AA336AA"/>
    <w:rsid w:val="3AB611D3"/>
    <w:rsid w:val="3AB848D5"/>
    <w:rsid w:val="3ACA702A"/>
    <w:rsid w:val="3AE35320"/>
    <w:rsid w:val="3B1A4AD8"/>
    <w:rsid w:val="3B1B4E62"/>
    <w:rsid w:val="3B2A42DC"/>
    <w:rsid w:val="3B302D30"/>
    <w:rsid w:val="3B436C59"/>
    <w:rsid w:val="3B493B55"/>
    <w:rsid w:val="3B50054F"/>
    <w:rsid w:val="3B5C4DC5"/>
    <w:rsid w:val="3B705EF7"/>
    <w:rsid w:val="3B8403EA"/>
    <w:rsid w:val="3B906E7D"/>
    <w:rsid w:val="3BA1281A"/>
    <w:rsid w:val="3BA201D4"/>
    <w:rsid w:val="3BA44BDC"/>
    <w:rsid w:val="3BC83E5D"/>
    <w:rsid w:val="3BDA652C"/>
    <w:rsid w:val="3BE639E1"/>
    <w:rsid w:val="3C0A0A89"/>
    <w:rsid w:val="3C0C2A3A"/>
    <w:rsid w:val="3C16788D"/>
    <w:rsid w:val="3C236693"/>
    <w:rsid w:val="3C2459CE"/>
    <w:rsid w:val="3C440DA8"/>
    <w:rsid w:val="3C642299"/>
    <w:rsid w:val="3C6C1813"/>
    <w:rsid w:val="3C7B7E12"/>
    <w:rsid w:val="3C7E0FFA"/>
    <w:rsid w:val="3C852B2D"/>
    <w:rsid w:val="3CB27AF7"/>
    <w:rsid w:val="3CC51626"/>
    <w:rsid w:val="3CD04E2D"/>
    <w:rsid w:val="3CD46005"/>
    <w:rsid w:val="3CE75ABB"/>
    <w:rsid w:val="3CFA4C2B"/>
    <w:rsid w:val="3CFE4508"/>
    <w:rsid w:val="3D1237EC"/>
    <w:rsid w:val="3D1A0DE5"/>
    <w:rsid w:val="3D274F48"/>
    <w:rsid w:val="3D3718A2"/>
    <w:rsid w:val="3D432A0E"/>
    <w:rsid w:val="3D4903A4"/>
    <w:rsid w:val="3D596D17"/>
    <w:rsid w:val="3D6A47AE"/>
    <w:rsid w:val="3D84338B"/>
    <w:rsid w:val="3D917F7A"/>
    <w:rsid w:val="3DA10DC6"/>
    <w:rsid w:val="3DA2751D"/>
    <w:rsid w:val="3DE07F19"/>
    <w:rsid w:val="3E210442"/>
    <w:rsid w:val="3E235CEC"/>
    <w:rsid w:val="3E3E4121"/>
    <w:rsid w:val="3E601ACB"/>
    <w:rsid w:val="3E6B3DB3"/>
    <w:rsid w:val="3E6F210F"/>
    <w:rsid w:val="3EA44312"/>
    <w:rsid w:val="3EA90437"/>
    <w:rsid w:val="3EBA7455"/>
    <w:rsid w:val="3EBF1552"/>
    <w:rsid w:val="3EC3599D"/>
    <w:rsid w:val="3ECA38D0"/>
    <w:rsid w:val="3EDE05B3"/>
    <w:rsid w:val="3EDF1080"/>
    <w:rsid w:val="3EF20030"/>
    <w:rsid w:val="3F035D9A"/>
    <w:rsid w:val="3F065769"/>
    <w:rsid w:val="3F094CD3"/>
    <w:rsid w:val="3F10588F"/>
    <w:rsid w:val="3F12133F"/>
    <w:rsid w:val="3F346CA1"/>
    <w:rsid w:val="3F405359"/>
    <w:rsid w:val="3F4F0DD7"/>
    <w:rsid w:val="3F630EB4"/>
    <w:rsid w:val="3F6D76B7"/>
    <w:rsid w:val="3F750CD6"/>
    <w:rsid w:val="3F8B7124"/>
    <w:rsid w:val="3F9918DF"/>
    <w:rsid w:val="3F9C0493"/>
    <w:rsid w:val="3FA10766"/>
    <w:rsid w:val="3FAC1F4E"/>
    <w:rsid w:val="3FB05F21"/>
    <w:rsid w:val="3FE453EB"/>
    <w:rsid w:val="40164927"/>
    <w:rsid w:val="40275363"/>
    <w:rsid w:val="402A6994"/>
    <w:rsid w:val="4044121D"/>
    <w:rsid w:val="40546AFC"/>
    <w:rsid w:val="4057174F"/>
    <w:rsid w:val="405D0B0F"/>
    <w:rsid w:val="40622AED"/>
    <w:rsid w:val="40631D33"/>
    <w:rsid w:val="40680CD9"/>
    <w:rsid w:val="40742C01"/>
    <w:rsid w:val="408467AF"/>
    <w:rsid w:val="40B34269"/>
    <w:rsid w:val="40B803DC"/>
    <w:rsid w:val="40DC406B"/>
    <w:rsid w:val="40FE580B"/>
    <w:rsid w:val="41263FC1"/>
    <w:rsid w:val="413C15F9"/>
    <w:rsid w:val="41481274"/>
    <w:rsid w:val="415049D6"/>
    <w:rsid w:val="415057D5"/>
    <w:rsid w:val="415666C8"/>
    <w:rsid w:val="41596E4E"/>
    <w:rsid w:val="41627CEA"/>
    <w:rsid w:val="417205CE"/>
    <w:rsid w:val="41761E7B"/>
    <w:rsid w:val="417E178E"/>
    <w:rsid w:val="419C6B77"/>
    <w:rsid w:val="41A77B65"/>
    <w:rsid w:val="41B50EC6"/>
    <w:rsid w:val="41C04416"/>
    <w:rsid w:val="41D61D51"/>
    <w:rsid w:val="41DE114F"/>
    <w:rsid w:val="42002F0C"/>
    <w:rsid w:val="420107BA"/>
    <w:rsid w:val="42012474"/>
    <w:rsid w:val="42180CCD"/>
    <w:rsid w:val="424A106E"/>
    <w:rsid w:val="42501310"/>
    <w:rsid w:val="425A336B"/>
    <w:rsid w:val="42812C89"/>
    <w:rsid w:val="42887598"/>
    <w:rsid w:val="42986E68"/>
    <w:rsid w:val="42A53AF6"/>
    <w:rsid w:val="42AA418E"/>
    <w:rsid w:val="42B0643B"/>
    <w:rsid w:val="42B2417F"/>
    <w:rsid w:val="42B66E48"/>
    <w:rsid w:val="42C06641"/>
    <w:rsid w:val="42C4056F"/>
    <w:rsid w:val="42C42797"/>
    <w:rsid w:val="42D81982"/>
    <w:rsid w:val="42D92991"/>
    <w:rsid w:val="42EA1D02"/>
    <w:rsid w:val="42F81769"/>
    <w:rsid w:val="42FE0D52"/>
    <w:rsid w:val="430A47A4"/>
    <w:rsid w:val="431030F2"/>
    <w:rsid w:val="43142DA4"/>
    <w:rsid w:val="432819FB"/>
    <w:rsid w:val="43323C35"/>
    <w:rsid w:val="43352BCA"/>
    <w:rsid w:val="43364990"/>
    <w:rsid w:val="433D2D8B"/>
    <w:rsid w:val="434A28F4"/>
    <w:rsid w:val="43544491"/>
    <w:rsid w:val="43652807"/>
    <w:rsid w:val="436B005E"/>
    <w:rsid w:val="436B215F"/>
    <w:rsid w:val="43737A33"/>
    <w:rsid w:val="43741014"/>
    <w:rsid w:val="437A48FB"/>
    <w:rsid w:val="43A538C3"/>
    <w:rsid w:val="43A77D42"/>
    <w:rsid w:val="43B37EA1"/>
    <w:rsid w:val="43B91E5D"/>
    <w:rsid w:val="43C463D1"/>
    <w:rsid w:val="43C65A54"/>
    <w:rsid w:val="43D530C8"/>
    <w:rsid w:val="44042046"/>
    <w:rsid w:val="440F1DC4"/>
    <w:rsid w:val="442F073B"/>
    <w:rsid w:val="446217B4"/>
    <w:rsid w:val="447C6EA9"/>
    <w:rsid w:val="44922895"/>
    <w:rsid w:val="44933A63"/>
    <w:rsid w:val="44A05843"/>
    <w:rsid w:val="44A23B32"/>
    <w:rsid w:val="44B86E4E"/>
    <w:rsid w:val="44E67809"/>
    <w:rsid w:val="44E73475"/>
    <w:rsid w:val="44E9534D"/>
    <w:rsid w:val="44ED36DB"/>
    <w:rsid w:val="44F05894"/>
    <w:rsid w:val="44F57336"/>
    <w:rsid w:val="44FF251D"/>
    <w:rsid w:val="451055F0"/>
    <w:rsid w:val="45275543"/>
    <w:rsid w:val="452B468F"/>
    <w:rsid w:val="452C7A68"/>
    <w:rsid w:val="45380446"/>
    <w:rsid w:val="45393810"/>
    <w:rsid w:val="453B25EB"/>
    <w:rsid w:val="45405478"/>
    <w:rsid w:val="45601C0B"/>
    <w:rsid w:val="456E3EC3"/>
    <w:rsid w:val="45783395"/>
    <w:rsid w:val="4591702F"/>
    <w:rsid w:val="45AA75F2"/>
    <w:rsid w:val="45BA7F19"/>
    <w:rsid w:val="45D71243"/>
    <w:rsid w:val="45E415BD"/>
    <w:rsid w:val="45EC3F18"/>
    <w:rsid w:val="45FF1770"/>
    <w:rsid w:val="462222A5"/>
    <w:rsid w:val="462C207A"/>
    <w:rsid w:val="46324592"/>
    <w:rsid w:val="46446BAE"/>
    <w:rsid w:val="464A3C4D"/>
    <w:rsid w:val="46565349"/>
    <w:rsid w:val="4660757E"/>
    <w:rsid w:val="466D10B9"/>
    <w:rsid w:val="46716F7C"/>
    <w:rsid w:val="467576A4"/>
    <w:rsid w:val="46811053"/>
    <w:rsid w:val="468910A4"/>
    <w:rsid w:val="468B2799"/>
    <w:rsid w:val="469423A3"/>
    <w:rsid w:val="46A07AA6"/>
    <w:rsid w:val="46AA20FD"/>
    <w:rsid w:val="46AB2A86"/>
    <w:rsid w:val="46B2538E"/>
    <w:rsid w:val="46BC6996"/>
    <w:rsid w:val="46D877F0"/>
    <w:rsid w:val="46E37E21"/>
    <w:rsid w:val="46F81B86"/>
    <w:rsid w:val="471A3F98"/>
    <w:rsid w:val="472103AF"/>
    <w:rsid w:val="47424C4D"/>
    <w:rsid w:val="474D674C"/>
    <w:rsid w:val="4771392E"/>
    <w:rsid w:val="478B50DC"/>
    <w:rsid w:val="47975C19"/>
    <w:rsid w:val="47984EEC"/>
    <w:rsid w:val="47D76AEB"/>
    <w:rsid w:val="47DD232B"/>
    <w:rsid w:val="47F95F8C"/>
    <w:rsid w:val="480460EE"/>
    <w:rsid w:val="480D6B75"/>
    <w:rsid w:val="4818565E"/>
    <w:rsid w:val="481D611E"/>
    <w:rsid w:val="482F7388"/>
    <w:rsid w:val="48323497"/>
    <w:rsid w:val="483871B0"/>
    <w:rsid w:val="484804BC"/>
    <w:rsid w:val="484A04FC"/>
    <w:rsid w:val="485D3930"/>
    <w:rsid w:val="48854F36"/>
    <w:rsid w:val="48A121A3"/>
    <w:rsid w:val="48A172DA"/>
    <w:rsid w:val="48B50C07"/>
    <w:rsid w:val="48B97EAB"/>
    <w:rsid w:val="48BA0B92"/>
    <w:rsid w:val="48C66F13"/>
    <w:rsid w:val="48CD014E"/>
    <w:rsid w:val="48D66F42"/>
    <w:rsid w:val="48EB292E"/>
    <w:rsid w:val="48FC030C"/>
    <w:rsid w:val="49153299"/>
    <w:rsid w:val="491A0501"/>
    <w:rsid w:val="492139EC"/>
    <w:rsid w:val="492A0E97"/>
    <w:rsid w:val="49487CD4"/>
    <w:rsid w:val="49504592"/>
    <w:rsid w:val="497842B4"/>
    <w:rsid w:val="49820888"/>
    <w:rsid w:val="49827D18"/>
    <w:rsid w:val="49A16266"/>
    <w:rsid w:val="49B715FF"/>
    <w:rsid w:val="49D31762"/>
    <w:rsid w:val="49D57953"/>
    <w:rsid w:val="49D73FD0"/>
    <w:rsid w:val="49D7759B"/>
    <w:rsid w:val="4A0465FC"/>
    <w:rsid w:val="4A064028"/>
    <w:rsid w:val="4A091DF7"/>
    <w:rsid w:val="4A111DB2"/>
    <w:rsid w:val="4A1C4F7D"/>
    <w:rsid w:val="4A1E6E09"/>
    <w:rsid w:val="4A234588"/>
    <w:rsid w:val="4A2A7449"/>
    <w:rsid w:val="4A2F223C"/>
    <w:rsid w:val="4A3B288C"/>
    <w:rsid w:val="4A4D6992"/>
    <w:rsid w:val="4A4F7008"/>
    <w:rsid w:val="4A5B0847"/>
    <w:rsid w:val="4A6A61FC"/>
    <w:rsid w:val="4A6D0311"/>
    <w:rsid w:val="4A7F0F16"/>
    <w:rsid w:val="4A8F40E0"/>
    <w:rsid w:val="4ABE10A2"/>
    <w:rsid w:val="4AD1656A"/>
    <w:rsid w:val="4ADF5390"/>
    <w:rsid w:val="4AE27323"/>
    <w:rsid w:val="4AED003E"/>
    <w:rsid w:val="4AED692B"/>
    <w:rsid w:val="4B100ACE"/>
    <w:rsid w:val="4B2B17A0"/>
    <w:rsid w:val="4B4B2FA2"/>
    <w:rsid w:val="4B531119"/>
    <w:rsid w:val="4B694B25"/>
    <w:rsid w:val="4B7F365D"/>
    <w:rsid w:val="4B857817"/>
    <w:rsid w:val="4B8F1D70"/>
    <w:rsid w:val="4B903AC7"/>
    <w:rsid w:val="4B9400A5"/>
    <w:rsid w:val="4B9C479F"/>
    <w:rsid w:val="4BA04D3F"/>
    <w:rsid w:val="4BAD489A"/>
    <w:rsid w:val="4BCB5F67"/>
    <w:rsid w:val="4C1F5179"/>
    <w:rsid w:val="4C210925"/>
    <w:rsid w:val="4C26412F"/>
    <w:rsid w:val="4C3413AD"/>
    <w:rsid w:val="4C350754"/>
    <w:rsid w:val="4C3844B1"/>
    <w:rsid w:val="4C426146"/>
    <w:rsid w:val="4C4C2041"/>
    <w:rsid w:val="4C4C4181"/>
    <w:rsid w:val="4C680FC8"/>
    <w:rsid w:val="4C693012"/>
    <w:rsid w:val="4C836D5E"/>
    <w:rsid w:val="4CA010CC"/>
    <w:rsid w:val="4CA2672F"/>
    <w:rsid w:val="4CC53772"/>
    <w:rsid w:val="4CE27936"/>
    <w:rsid w:val="4CF02842"/>
    <w:rsid w:val="4D2514ED"/>
    <w:rsid w:val="4D317F76"/>
    <w:rsid w:val="4D351011"/>
    <w:rsid w:val="4D3C1B5C"/>
    <w:rsid w:val="4D53715A"/>
    <w:rsid w:val="4D787EB6"/>
    <w:rsid w:val="4D83485B"/>
    <w:rsid w:val="4D947855"/>
    <w:rsid w:val="4DA37A5E"/>
    <w:rsid w:val="4DCE7D08"/>
    <w:rsid w:val="4DD96D36"/>
    <w:rsid w:val="4DDC030F"/>
    <w:rsid w:val="4DDC14FA"/>
    <w:rsid w:val="4DDE1472"/>
    <w:rsid w:val="4DDF0A1A"/>
    <w:rsid w:val="4DF01B05"/>
    <w:rsid w:val="4DFE6E2C"/>
    <w:rsid w:val="4E072E4C"/>
    <w:rsid w:val="4E0A4298"/>
    <w:rsid w:val="4E1867B4"/>
    <w:rsid w:val="4E2543AF"/>
    <w:rsid w:val="4E257924"/>
    <w:rsid w:val="4E3242A8"/>
    <w:rsid w:val="4E4006A1"/>
    <w:rsid w:val="4E5C1022"/>
    <w:rsid w:val="4E614E6D"/>
    <w:rsid w:val="4E6E16F1"/>
    <w:rsid w:val="4E837D50"/>
    <w:rsid w:val="4E9D3258"/>
    <w:rsid w:val="4EB33B16"/>
    <w:rsid w:val="4EBC6CE6"/>
    <w:rsid w:val="4EF572B2"/>
    <w:rsid w:val="4F053468"/>
    <w:rsid w:val="4F2630EB"/>
    <w:rsid w:val="4F3400FD"/>
    <w:rsid w:val="4F3432E1"/>
    <w:rsid w:val="4F3708AA"/>
    <w:rsid w:val="4F5A1A06"/>
    <w:rsid w:val="4F6B7003"/>
    <w:rsid w:val="4F7B0F82"/>
    <w:rsid w:val="4F7C3010"/>
    <w:rsid w:val="4F7C3B9F"/>
    <w:rsid w:val="4F8030B3"/>
    <w:rsid w:val="4F853DE6"/>
    <w:rsid w:val="4F93543E"/>
    <w:rsid w:val="4F9842DC"/>
    <w:rsid w:val="4FB10565"/>
    <w:rsid w:val="4FB779AA"/>
    <w:rsid w:val="4FB92782"/>
    <w:rsid w:val="4FD11FC7"/>
    <w:rsid w:val="4FDD1F1C"/>
    <w:rsid w:val="4FDF63AF"/>
    <w:rsid w:val="4FF05EC6"/>
    <w:rsid w:val="50052DC2"/>
    <w:rsid w:val="501A52D7"/>
    <w:rsid w:val="50212E52"/>
    <w:rsid w:val="50434E81"/>
    <w:rsid w:val="50630BAC"/>
    <w:rsid w:val="50791411"/>
    <w:rsid w:val="508F1B83"/>
    <w:rsid w:val="50B0029C"/>
    <w:rsid w:val="50BD0D14"/>
    <w:rsid w:val="50BD7C42"/>
    <w:rsid w:val="50C04DFA"/>
    <w:rsid w:val="50C601B1"/>
    <w:rsid w:val="50CB4AA9"/>
    <w:rsid w:val="50D90D13"/>
    <w:rsid w:val="50FD0F01"/>
    <w:rsid w:val="5100330F"/>
    <w:rsid w:val="5107479C"/>
    <w:rsid w:val="511054FB"/>
    <w:rsid w:val="511110E4"/>
    <w:rsid w:val="51220372"/>
    <w:rsid w:val="51387F41"/>
    <w:rsid w:val="513A17E0"/>
    <w:rsid w:val="513A40D0"/>
    <w:rsid w:val="513D01EC"/>
    <w:rsid w:val="513F7152"/>
    <w:rsid w:val="514E30D3"/>
    <w:rsid w:val="515A009F"/>
    <w:rsid w:val="515C391C"/>
    <w:rsid w:val="51691FD7"/>
    <w:rsid w:val="51880633"/>
    <w:rsid w:val="51C91FB4"/>
    <w:rsid w:val="51CE6A04"/>
    <w:rsid w:val="51CF383E"/>
    <w:rsid w:val="51D04201"/>
    <w:rsid w:val="51D52D9E"/>
    <w:rsid w:val="51DC67F5"/>
    <w:rsid w:val="51E128B4"/>
    <w:rsid w:val="51E14DCF"/>
    <w:rsid w:val="51E44873"/>
    <w:rsid w:val="51E750E7"/>
    <w:rsid w:val="51FE5BBB"/>
    <w:rsid w:val="520C5B85"/>
    <w:rsid w:val="521F6F37"/>
    <w:rsid w:val="52373CCB"/>
    <w:rsid w:val="524B5626"/>
    <w:rsid w:val="52500A2C"/>
    <w:rsid w:val="52581107"/>
    <w:rsid w:val="52713989"/>
    <w:rsid w:val="52802336"/>
    <w:rsid w:val="528370F1"/>
    <w:rsid w:val="528E1F93"/>
    <w:rsid w:val="52902909"/>
    <w:rsid w:val="52977F3F"/>
    <w:rsid w:val="52AB1658"/>
    <w:rsid w:val="52B433B4"/>
    <w:rsid w:val="52CE1D1E"/>
    <w:rsid w:val="52DB2E5E"/>
    <w:rsid w:val="52E712F1"/>
    <w:rsid w:val="52FF0495"/>
    <w:rsid w:val="53105A01"/>
    <w:rsid w:val="531E2A4F"/>
    <w:rsid w:val="532B0989"/>
    <w:rsid w:val="533274C1"/>
    <w:rsid w:val="533E74D3"/>
    <w:rsid w:val="535124BC"/>
    <w:rsid w:val="535C202F"/>
    <w:rsid w:val="536D02A4"/>
    <w:rsid w:val="53760DD8"/>
    <w:rsid w:val="53D64CC4"/>
    <w:rsid w:val="53D762B9"/>
    <w:rsid w:val="53E45EC3"/>
    <w:rsid w:val="53EA0952"/>
    <w:rsid w:val="53EC63CF"/>
    <w:rsid w:val="53F259A1"/>
    <w:rsid w:val="541330C2"/>
    <w:rsid w:val="541B45DF"/>
    <w:rsid w:val="542A408F"/>
    <w:rsid w:val="54330405"/>
    <w:rsid w:val="543C78BE"/>
    <w:rsid w:val="54471B54"/>
    <w:rsid w:val="544C7202"/>
    <w:rsid w:val="54503628"/>
    <w:rsid w:val="54510FFB"/>
    <w:rsid w:val="547C51CA"/>
    <w:rsid w:val="547D5543"/>
    <w:rsid w:val="549B4947"/>
    <w:rsid w:val="54A42CA9"/>
    <w:rsid w:val="54B05477"/>
    <w:rsid w:val="54B3741C"/>
    <w:rsid w:val="54BD5016"/>
    <w:rsid w:val="54D82355"/>
    <w:rsid w:val="54DB4704"/>
    <w:rsid w:val="54DE146C"/>
    <w:rsid w:val="54E76D55"/>
    <w:rsid w:val="54EA7560"/>
    <w:rsid w:val="54ED7F11"/>
    <w:rsid w:val="54F476EE"/>
    <w:rsid w:val="54F81897"/>
    <w:rsid w:val="55024AE0"/>
    <w:rsid w:val="55050ED8"/>
    <w:rsid w:val="55161611"/>
    <w:rsid w:val="555154B5"/>
    <w:rsid w:val="555D0D47"/>
    <w:rsid w:val="55683B29"/>
    <w:rsid w:val="55761912"/>
    <w:rsid w:val="55847922"/>
    <w:rsid w:val="5596306C"/>
    <w:rsid w:val="55A877FB"/>
    <w:rsid w:val="55B01177"/>
    <w:rsid w:val="55B45C20"/>
    <w:rsid w:val="55BC7CCA"/>
    <w:rsid w:val="55DE0AC0"/>
    <w:rsid w:val="55F07268"/>
    <w:rsid w:val="55F20155"/>
    <w:rsid w:val="55F2085C"/>
    <w:rsid w:val="55FC7BEE"/>
    <w:rsid w:val="55FF538C"/>
    <w:rsid w:val="56053069"/>
    <w:rsid w:val="560901E0"/>
    <w:rsid w:val="56161CBA"/>
    <w:rsid w:val="56241FDF"/>
    <w:rsid w:val="56291876"/>
    <w:rsid w:val="5629372A"/>
    <w:rsid w:val="56391F84"/>
    <w:rsid w:val="563A3586"/>
    <w:rsid w:val="563D36EC"/>
    <w:rsid w:val="565B7F3A"/>
    <w:rsid w:val="5664316A"/>
    <w:rsid w:val="566A168E"/>
    <w:rsid w:val="567958CF"/>
    <w:rsid w:val="567A0B33"/>
    <w:rsid w:val="567F439C"/>
    <w:rsid w:val="56813E0B"/>
    <w:rsid w:val="569538B7"/>
    <w:rsid w:val="56AA7862"/>
    <w:rsid w:val="56AB2ED7"/>
    <w:rsid w:val="56C43192"/>
    <w:rsid w:val="56C465DA"/>
    <w:rsid w:val="56C7261D"/>
    <w:rsid w:val="56E237B3"/>
    <w:rsid w:val="56E81DED"/>
    <w:rsid w:val="570504C3"/>
    <w:rsid w:val="571119DC"/>
    <w:rsid w:val="57210761"/>
    <w:rsid w:val="57267B02"/>
    <w:rsid w:val="573339C4"/>
    <w:rsid w:val="5734520F"/>
    <w:rsid w:val="574452BE"/>
    <w:rsid w:val="574A0345"/>
    <w:rsid w:val="575136EE"/>
    <w:rsid w:val="57683EA9"/>
    <w:rsid w:val="576868C9"/>
    <w:rsid w:val="577778A1"/>
    <w:rsid w:val="578D138D"/>
    <w:rsid w:val="578D5101"/>
    <w:rsid w:val="57A37CC2"/>
    <w:rsid w:val="57B05153"/>
    <w:rsid w:val="57BE3E6D"/>
    <w:rsid w:val="57D04046"/>
    <w:rsid w:val="57EF1159"/>
    <w:rsid w:val="58261CB0"/>
    <w:rsid w:val="582D2541"/>
    <w:rsid w:val="583548AE"/>
    <w:rsid w:val="584933E9"/>
    <w:rsid w:val="586C0A72"/>
    <w:rsid w:val="587E461B"/>
    <w:rsid w:val="58800465"/>
    <w:rsid w:val="58801C40"/>
    <w:rsid w:val="588569CB"/>
    <w:rsid w:val="5894385C"/>
    <w:rsid w:val="58991156"/>
    <w:rsid w:val="589B7C8D"/>
    <w:rsid w:val="58AA1A6B"/>
    <w:rsid w:val="58AB0CF9"/>
    <w:rsid w:val="58D44269"/>
    <w:rsid w:val="58D70423"/>
    <w:rsid w:val="58DB0E21"/>
    <w:rsid w:val="58E56A6B"/>
    <w:rsid w:val="58E8273E"/>
    <w:rsid w:val="58F00CE5"/>
    <w:rsid w:val="58FA297F"/>
    <w:rsid w:val="591A73FD"/>
    <w:rsid w:val="591B1C98"/>
    <w:rsid w:val="59215342"/>
    <w:rsid w:val="593E4146"/>
    <w:rsid w:val="59584CC3"/>
    <w:rsid w:val="595D3DAB"/>
    <w:rsid w:val="59686186"/>
    <w:rsid w:val="59726623"/>
    <w:rsid w:val="598002BB"/>
    <w:rsid w:val="598244D1"/>
    <w:rsid w:val="598D29D8"/>
    <w:rsid w:val="59964FEA"/>
    <w:rsid w:val="59AC2651"/>
    <w:rsid w:val="59CD5D41"/>
    <w:rsid w:val="59EC5A04"/>
    <w:rsid w:val="59F31F1F"/>
    <w:rsid w:val="59F50AA6"/>
    <w:rsid w:val="5A254622"/>
    <w:rsid w:val="5A28288B"/>
    <w:rsid w:val="5A344E44"/>
    <w:rsid w:val="5A3B05EB"/>
    <w:rsid w:val="5A40465C"/>
    <w:rsid w:val="5A464131"/>
    <w:rsid w:val="5A4F5FC2"/>
    <w:rsid w:val="5A502A6F"/>
    <w:rsid w:val="5A6012F4"/>
    <w:rsid w:val="5A6C46A3"/>
    <w:rsid w:val="5A8F5D78"/>
    <w:rsid w:val="5AA54E01"/>
    <w:rsid w:val="5AA6218E"/>
    <w:rsid w:val="5AA91A93"/>
    <w:rsid w:val="5AAD76C5"/>
    <w:rsid w:val="5AB32024"/>
    <w:rsid w:val="5AB72DBC"/>
    <w:rsid w:val="5AC61E24"/>
    <w:rsid w:val="5AED3C01"/>
    <w:rsid w:val="5AF92CAC"/>
    <w:rsid w:val="5B2E5880"/>
    <w:rsid w:val="5B413A7A"/>
    <w:rsid w:val="5B465872"/>
    <w:rsid w:val="5B584366"/>
    <w:rsid w:val="5B6B4F60"/>
    <w:rsid w:val="5B7F7D58"/>
    <w:rsid w:val="5BB30D33"/>
    <w:rsid w:val="5BB346CD"/>
    <w:rsid w:val="5BBB65A0"/>
    <w:rsid w:val="5BD310FF"/>
    <w:rsid w:val="5BDA1DF7"/>
    <w:rsid w:val="5BF909C1"/>
    <w:rsid w:val="5BF97ABD"/>
    <w:rsid w:val="5C050AAC"/>
    <w:rsid w:val="5C204729"/>
    <w:rsid w:val="5C367357"/>
    <w:rsid w:val="5C4D2FA6"/>
    <w:rsid w:val="5C531AE7"/>
    <w:rsid w:val="5C7E5286"/>
    <w:rsid w:val="5C82259C"/>
    <w:rsid w:val="5C8F3243"/>
    <w:rsid w:val="5C9522F3"/>
    <w:rsid w:val="5CA47D08"/>
    <w:rsid w:val="5CA8369B"/>
    <w:rsid w:val="5CA93FCD"/>
    <w:rsid w:val="5CAB1FF6"/>
    <w:rsid w:val="5CAB2299"/>
    <w:rsid w:val="5CB27896"/>
    <w:rsid w:val="5CF87451"/>
    <w:rsid w:val="5D006031"/>
    <w:rsid w:val="5D015BB7"/>
    <w:rsid w:val="5D05552E"/>
    <w:rsid w:val="5D083149"/>
    <w:rsid w:val="5D153429"/>
    <w:rsid w:val="5D1F7DEB"/>
    <w:rsid w:val="5D370174"/>
    <w:rsid w:val="5D573A67"/>
    <w:rsid w:val="5D6204D8"/>
    <w:rsid w:val="5D656B53"/>
    <w:rsid w:val="5D834799"/>
    <w:rsid w:val="5D874047"/>
    <w:rsid w:val="5D8B00CE"/>
    <w:rsid w:val="5D925A49"/>
    <w:rsid w:val="5D9A46C9"/>
    <w:rsid w:val="5DA75E00"/>
    <w:rsid w:val="5DC92A54"/>
    <w:rsid w:val="5DD50D6E"/>
    <w:rsid w:val="5DD6194D"/>
    <w:rsid w:val="5DF3762F"/>
    <w:rsid w:val="5E280F21"/>
    <w:rsid w:val="5E393C0E"/>
    <w:rsid w:val="5E4A04D6"/>
    <w:rsid w:val="5E5E1F6A"/>
    <w:rsid w:val="5E726179"/>
    <w:rsid w:val="5E820673"/>
    <w:rsid w:val="5E976B0D"/>
    <w:rsid w:val="5E9B62F0"/>
    <w:rsid w:val="5EA205A4"/>
    <w:rsid w:val="5EB86749"/>
    <w:rsid w:val="5EC26CA5"/>
    <w:rsid w:val="5ED15756"/>
    <w:rsid w:val="5ED93035"/>
    <w:rsid w:val="5EDF56E0"/>
    <w:rsid w:val="5EE9470E"/>
    <w:rsid w:val="5F042BE5"/>
    <w:rsid w:val="5F1105AC"/>
    <w:rsid w:val="5F264B04"/>
    <w:rsid w:val="5F2B1033"/>
    <w:rsid w:val="5F366C34"/>
    <w:rsid w:val="5F4336A6"/>
    <w:rsid w:val="5F610B8F"/>
    <w:rsid w:val="5F741D7B"/>
    <w:rsid w:val="5F8F7630"/>
    <w:rsid w:val="5F951B96"/>
    <w:rsid w:val="5F9E41DB"/>
    <w:rsid w:val="5FC324AB"/>
    <w:rsid w:val="5FC97685"/>
    <w:rsid w:val="5FD629A4"/>
    <w:rsid w:val="5FD65C5E"/>
    <w:rsid w:val="5FD711B4"/>
    <w:rsid w:val="5FFD475B"/>
    <w:rsid w:val="600D1C95"/>
    <w:rsid w:val="60330570"/>
    <w:rsid w:val="603C2B6E"/>
    <w:rsid w:val="6051498F"/>
    <w:rsid w:val="60522798"/>
    <w:rsid w:val="605A539E"/>
    <w:rsid w:val="607246D5"/>
    <w:rsid w:val="607919E7"/>
    <w:rsid w:val="607E1424"/>
    <w:rsid w:val="60813D3F"/>
    <w:rsid w:val="608B21BE"/>
    <w:rsid w:val="60931224"/>
    <w:rsid w:val="60952839"/>
    <w:rsid w:val="609D4668"/>
    <w:rsid w:val="60AF5865"/>
    <w:rsid w:val="60C00088"/>
    <w:rsid w:val="60C20562"/>
    <w:rsid w:val="60CF38D6"/>
    <w:rsid w:val="60EE1EE1"/>
    <w:rsid w:val="60FC22A0"/>
    <w:rsid w:val="60FD7762"/>
    <w:rsid w:val="61074A1B"/>
    <w:rsid w:val="610905C4"/>
    <w:rsid w:val="610B0003"/>
    <w:rsid w:val="61135EB8"/>
    <w:rsid w:val="611E65D3"/>
    <w:rsid w:val="61294933"/>
    <w:rsid w:val="614B6763"/>
    <w:rsid w:val="615521AE"/>
    <w:rsid w:val="616F572C"/>
    <w:rsid w:val="618717BD"/>
    <w:rsid w:val="618D5C31"/>
    <w:rsid w:val="619E2EC6"/>
    <w:rsid w:val="61A30D56"/>
    <w:rsid w:val="61B24654"/>
    <w:rsid w:val="61B5331A"/>
    <w:rsid w:val="61BE1616"/>
    <w:rsid w:val="61C62F2B"/>
    <w:rsid w:val="61C80A23"/>
    <w:rsid w:val="61D23081"/>
    <w:rsid w:val="61D4618F"/>
    <w:rsid w:val="61E03DC5"/>
    <w:rsid w:val="61E664C3"/>
    <w:rsid w:val="61F30033"/>
    <w:rsid w:val="61F449B1"/>
    <w:rsid w:val="621B3277"/>
    <w:rsid w:val="6221308E"/>
    <w:rsid w:val="62414AE0"/>
    <w:rsid w:val="62441D55"/>
    <w:rsid w:val="624438E6"/>
    <w:rsid w:val="6251344B"/>
    <w:rsid w:val="62645201"/>
    <w:rsid w:val="626E49A4"/>
    <w:rsid w:val="626F3671"/>
    <w:rsid w:val="626F398E"/>
    <w:rsid w:val="62886432"/>
    <w:rsid w:val="629F74A3"/>
    <w:rsid w:val="62BB7F8A"/>
    <w:rsid w:val="62C258A1"/>
    <w:rsid w:val="62CD4920"/>
    <w:rsid w:val="62D358FF"/>
    <w:rsid w:val="62DC2903"/>
    <w:rsid w:val="62E52515"/>
    <w:rsid w:val="62EF0821"/>
    <w:rsid w:val="62FB3659"/>
    <w:rsid w:val="62FC3471"/>
    <w:rsid w:val="630231DB"/>
    <w:rsid w:val="630A4FFB"/>
    <w:rsid w:val="630F4987"/>
    <w:rsid w:val="63130619"/>
    <w:rsid w:val="632E0D88"/>
    <w:rsid w:val="63320A01"/>
    <w:rsid w:val="63362D29"/>
    <w:rsid w:val="6366405E"/>
    <w:rsid w:val="636A7FF6"/>
    <w:rsid w:val="6372188B"/>
    <w:rsid w:val="63774CF5"/>
    <w:rsid w:val="63792C73"/>
    <w:rsid w:val="637F46DD"/>
    <w:rsid w:val="637F7835"/>
    <w:rsid w:val="6390651D"/>
    <w:rsid w:val="639D15FD"/>
    <w:rsid w:val="63A13700"/>
    <w:rsid w:val="63A5204C"/>
    <w:rsid w:val="63AA14C7"/>
    <w:rsid w:val="63C260C4"/>
    <w:rsid w:val="63D71235"/>
    <w:rsid w:val="63E65420"/>
    <w:rsid w:val="63EF2C5F"/>
    <w:rsid w:val="63F35B2D"/>
    <w:rsid w:val="6402249F"/>
    <w:rsid w:val="64036CAA"/>
    <w:rsid w:val="640A2A47"/>
    <w:rsid w:val="641700E5"/>
    <w:rsid w:val="64236DF0"/>
    <w:rsid w:val="644F12EF"/>
    <w:rsid w:val="64567485"/>
    <w:rsid w:val="64612BB2"/>
    <w:rsid w:val="64875644"/>
    <w:rsid w:val="64935200"/>
    <w:rsid w:val="64A234E8"/>
    <w:rsid w:val="64A6737E"/>
    <w:rsid w:val="64A9700E"/>
    <w:rsid w:val="64B520CB"/>
    <w:rsid w:val="64B96D77"/>
    <w:rsid w:val="64BC23C3"/>
    <w:rsid w:val="64C05819"/>
    <w:rsid w:val="64C61332"/>
    <w:rsid w:val="64CA10D5"/>
    <w:rsid w:val="64CF20F6"/>
    <w:rsid w:val="64D800B0"/>
    <w:rsid w:val="64DB0A9B"/>
    <w:rsid w:val="64E85A69"/>
    <w:rsid w:val="65202D5D"/>
    <w:rsid w:val="65247F5B"/>
    <w:rsid w:val="652D7B8C"/>
    <w:rsid w:val="654550DF"/>
    <w:rsid w:val="654D0043"/>
    <w:rsid w:val="656472D0"/>
    <w:rsid w:val="656538B9"/>
    <w:rsid w:val="657B6524"/>
    <w:rsid w:val="65840558"/>
    <w:rsid w:val="65893FB6"/>
    <w:rsid w:val="65B95693"/>
    <w:rsid w:val="65CA0DF0"/>
    <w:rsid w:val="65CB4A51"/>
    <w:rsid w:val="65CB7A62"/>
    <w:rsid w:val="65D86871"/>
    <w:rsid w:val="65EE3455"/>
    <w:rsid w:val="65EE7A0D"/>
    <w:rsid w:val="66065FEC"/>
    <w:rsid w:val="66280618"/>
    <w:rsid w:val="66395B6F"/>
    <w:rsid w:val="66402B81"/>
    <w:rsid w:val="664107D0"/>
    <w:rsid w:val="66441D52"/>
    <w:rsid w:val="664A7A0D"/>
    <w:rsid w:val="66734B77"/>
    <w:rsid w:val="668D04BB"/>
    <w:rsid w:val="66AB6D21"/>
    <w:rsid w:val="66B1302F"/>
    <w:rsid w:val="66B9305E"/>
    <w:rsid w:val="66C34F18"/>
    <w:rsid w:val="66C925C6"/>
    <w:rsid w:val="66CB0EFA"/>
    <w:rsid w:val="66D4239C"/>
    <w:rsid w:val="66D81371"/>
    <w:rsid w:val="66D94261"/>
    <w:rsid w:val="66FB6D5C"/>
    <w:rsid w:val="66FB7207"/>
    <w:rsid w:val="6705435E"/>
    <w:rsid w:val="670D0EFA"/>
    <w:rsid w:val="672E1650"/>
    <w:rsid w:val="67400530"/>
    <w:rsid w:val="675844C6"/>
    <w:rsid w:val="6778433B"/>
    <w:rsid w:val="67870C8D"/>
    <w:rsid w:val="679C54A4"/>
    <w:rsid w:val="679D166E"/>
    <w:rsid w:val="67A97B28"/>
    <w:rsid w:val="67C85754"/>
    <w:rsid w:val="67CD605D"/>
    <w:rsid w:val="67D4006D"/>
    <w:rsid w:val="67E26DD9"/>
    <w:rsid w:val="67E36694"/>
    <w:rsid w:val="67E40AB4"/>
    <w:rsid w:val="67E81E06"/>
    <w:rsid w:val="67EC3CD1"/>
    <w:rsid w:val="67F30197"/>
    <w:rsid w:val="67F3377A"/>
    <w:rsid w:val="68146DBA"/>
    <w:rsid w:val="68376D7F"/>
    <w:rsid w:val="684A0A78"/>
    <w:rsid w:val="684A24A8"/>
    <w:rsid w:val="685D35FE"/>
    <w:rsid w:val="6881580A"/>
    <w:rsid w:val="6885019D"/>
    <w:rsid w:val="6888250B"/>
    <w:rsid w:val="68921DB9"/>
    <w:rsid w:val="689629C5"/>
    <w:rsid w:val="689943D6"/>
    <w:rsid w:val="68AB0667"/>
    <w:rsid w:val="68D45E16"/>
    <w:rsid w:val="68D644AF"/>
    <w:rsid w:val="68D73C8C"/>
    <w:rsid w:val="68D949C0"/>
    <w:rsid w:val="68DB7EAE"/>
    <w:rsid w:val="69146468"/>
    <w:rsid w:val="6915389A"/>
    <w:rsid w:val="69191859"/>
    <w:rsid w:val="69273A8B"/>
    <w:rsid w:val="694D7BD8"/>
    <w:rsid w:val="695E6BD8"/>
    <w:rsid w:val="697760CA"/>
    <w:rsid w:val="698042AC"/>
    <w:rsid w:val="6985315F"/>
    <w:rsid w:val="69877F6D"/>
    <w:rsid w:val="698C062C"/>
    <w:rsid w:val="69A91168"/>
    <w:rsid w:val="69C266CE"/>
    <w:rsid w:val="69DF5739"/>
    <w:rsid w:val="69EF0B67"/>
    <w:rsid w:val="69FD3E6D"/>
    <w:rsid w:val="69FF772F"/>
    <w:rsid w:val="6A211FAC"/>
    <w:rsid w:val="6A270136"/>
    <w:rsid w:val="6A340024"/>
    <w:rsid w:val="6A3A2708"/>
    <w:rsid w:val="6A4E61B3"/>
    <w:rsid w:val="6A5428DD"/>
    <w:rsid w:val="6A546936"/>
    <w:rsid w:val="6A5700B8"/>
    <w:rsid w:val="6A7D4373"/>
    <w:rsid w:val="6A814BD5"/>
    <w:rsid w:val="6A854AA5"/>
    <w:rsid w:val="6A885221"/>
    <w:rsid w:val="6A9068D3"/>
    <w:rsid w:val="6AB36005"/>
    <w:rsid w:val="6AC413A1"/>
    <w:rsid w:val="6AC6633F"/>
    <w:rsid w:val="6ACD2C07"/>
    <w:rsid w:val="6AE3688C"/>
    <w:rsid w:val="6AF6192B"/>
    <w:rsid w:val="6AFD48F5"/>
    <w:rsid w:val="6B1649C6"/>
    <w:rsid w:val="6B3602F4"/>
    <w:rsid w:val="6B431DF8"/>
    <w:rsid w:val="6B4F5D3F"/>
    <w:rsid w:val="6B59096C"/>
    <w:rsid w:val="6B6C0E8F"/>
    <w:rsid w:val="6B6C4B43"/>
    <w:rsid w:val="6B757A08"/>
    <w:rsid w:val="6B7720E0"/>
    <w:rsid w:val="6B8000C9"/>
    <w:rsid w:val="6B895973"/>
    <w:rsid w:val="6BAE0CB8"/>
    <w:rsid w:val="6BB47089"/>
    <w:rsid w:val="6BBE4A5A"/>
    <w:rsid w:val="6BBE4D5D"/>
    <w:rsid w:val="6BBE7897"/>
    <w:rsid w:val="6BBF2EC5"/>
    <w:rsid w:val="6BD74EDF"/>
    <w:rsid w:val="6BDB5406"/>
    <w:rsid w:val="6BEA05E3"/>
    <w:rsid w:val="6BF230CB"/>
    <w:rsid w:val="6C0F32B1"/>
    <w:rsid w:val="6C1A34BF"/>
    <w:rsid w:val="6C235209"/>
    <w:rsid w:val="6C2A3A81"/>
    <w:rsid w:val="6C2E68B5"/>
    <w:rsid w:val="6C302C8F"/>
    <w:rsid w:val="6C3108A2"/>
    <w:rsid w:val="6C3D7BAE"/>
    <w:rsid w:val="6C586BB8"/>
    <w:rsid w:val="6C5E6F90"/>
    <w:rsid w:val="6C60430B"/>
    <w:rsid w:val="6C6A3D0D"/>
    <w:rsid w:val="6C756009"/>
    <w:rsid w:val="6C861D4D"/>
    <w:rsid w:val="6C8F7EC5"/>
    <w:rsid w:val="6CA32B14"/>
    <w:rsid w:val="6CB26586"/>
    <w:rsid w:val="6CB52FFA"/>
    <w:rsid w:val="6CC00A70"/>
    <w:rsid w:val="6CD43218"/>
    <w:rsid w:val="6CEB1A97"/>
    <w:rsid w:val="6D0346C9"/>
    <w:rsid w:val="6D0F7FB8"/>
    <w:rsid w:val="6D2E6323"/>
    <w:rsid w:val="6D5835D1"/>
    <w:rsid w:val="6D5C2995"/>
    <w:rsid w:val="6D5C76A5"/>
    <w:rsid w:val="6D66289C"/>
    <w:rsid w:val="6D704950"/>
    <w:rsid w:val="6D776436"/>
    <w:rsid w:val="6D81040D"/>
    <w:rsid w:val="6D817D62"/>
    <w:rsid w:val="6D8434E7"/>
    <w:rsid w:val="6D8D0185"/>
    <w:rsid w:val="6D937691"/>
    <w:rsid w:val="6D9F0271"/>
    <w:rsid w:val="6DA1236A"/>
    <w:rsid w:val="6DB36DD1"/>
    <w:rsid w:val="6DC13F74"/>
    <w:rsid w:val="6DEC191A"/>
    <w:rsid w:val="6DFB71F5"/>
    <w:rsid w:val="6E082963"/>
    <w:rsid w:val="6E175A6C"/>
    <w:rsid w:val="6E2B2A93"/>
    <w:rsid w:val="6E323C3A"/>
    <w:rsid w:val="6E630A4D"/>
    <w:rsid w:val="6E646366"/>
    <w:rsid w:val="6E646C78"/>
    <w:rsid w:val="6E7078A6"/>
    <w:rsid w:val="6E7647DF"/>
    <w:rsid w:val="6EC35AED"/>
    <w:rsid w:val="6EC90DD0"/>
    <w:rsid w:val="6ED03DEB"/>
    <w:rsid w:val="6EE25ED4"/>
    <w:rsid w:val="6EE80E06"/>
    <w:rsid w:val="6EEA3227"/>
    <w:rsid w:val="6EFF2FF6"/>
    <w:rsid w:val="6F046E40"/>
    <w:rsid w:val="6F04793C"/>
    <w:rsid w:val="6F1137E7"/>
    <w:rsid w:val="6F113A03"/>
    <w:rsid w:val="6F224935"/>
    <w:rsid w:val="6F2A39BF"/>
    <w:rsid w:val="6F352F48"/>
    <w:rsid w:val="6F5B737A"/>
    <w:rsid w:val="6F660CFF"/>
    <w:rsid w:val="6F7402E8"/>
    <w:rsid w:val="6F763460"/>
    <w:rsid w:val="6F7A017D"/>
    <w:rsid w:val="6FA329F2"/>
    <w:rsid w:val="6FAC7C04"/>
    <w:rsid w:val="6FB72974"/>
    <w:rsid w:val="6FCE063B"/>
    <w:rsid w:val="6FE07D09"/>
    <w:rsid w:val="70097CB6"/>
    <w:rsid w:val="701B678F"/>
    <w:rsid w:val="70253BA5"/>
    <w:rsid w:val="70270551"/>
    <w:rsid w:val="705F277E"/>
    <w:rsid w:val="70610B4F"/>
    <w:rsid w:val="70793609"/>
    <w:rsid w:val="708D7F8C"/>
    <w:rsid w:val="709A57B9"/>
    <w:rsid w:val="70CF2B23"/>
    <w:rsid w:val="70D31FE1"/>
    <w:rsid w:val="70D6251E"/>
    <w:rsid w:val="70D9446E"/>
    <w:rsid w:val="70DD1AF6"/>
    <w:rsid w:val="70EE1B56"/>
    <w:rsid w:val="70F27898"/>
    <w:rsid w:val="70F53730"/>
    <w:rsid w:val="71072C18"/>
    <w:rsid w:val="71263532"/>
    <w:rsid w:val="712E5401"/>
    <w:rsid w:val="713A0DD5"/>
    <w:rsid w:val="714B2598"/>
    <w:rsid w:val="71500B7E"/>
    <w:rsid w:val="71507E8B"/>
    <w:rsid w:val="7161299D"/>
    <w:rsid w:val="716B6946"/>
    <w:rsid w:val="718157E3"/>
    <w:rsid w:val="71851EFF"/>
    <w:rsid w:val="719750D6"/>
    <w:rsid w:val="71A42F25"/>
    <w:rsid w:val="71A57EFC"/>
    <w:rsid w:val="71B24D34"/>
    <w:rsid w:val="71C83DA9"/>
    <w:rsid w:val="71CE564F"/>
    <w:rsid w:val="71E337BD"/>
    <w:rsid w:val="71FF47B4"/>
    <w:rsid w:val="720B182D"/>
    <w:rsid w:val="72105D33"/>
    <w:rsid w:val="72131A85"/>
    <w:rsid w:val="721B6EB0"/>
    <w:rsid w:val="721F29D5"/>
    <w:rsid w:val="723828CD"/>
    <w:rsid w:val="72421227"/>
    <w:rsid w:val="72463192"/>
    <w:rsid w:val="72541FEE"/>
    <w:rsid w:val="7255561E"/>
    <w:rsid w:val="727E7049"/>
    <w:rsid w:val="72830E88"/>
    <w:rsid w:val="72887FC0"/>
    <w:rsid w:val="728C12A6"/>
    <w:rsid w:val="728E103F"/>
    <w:rsid w:val="72BB6F7E"/>
    <w:rsid w:val="72D72C23"/>
    <w:rsid w:val="72DE216A"/>
    <w:rsid w:val="72E24125"/>
    <w:rsid w:val="72F07E08"/>
    <w:rsid w:val="72F915F2"/>
    <w:rsid w:val="73071574"/>
    <w:rsid w:val="73130A14"/>
    <w:rsid w:val="731B54D2"/>
    <w:rsid w:val="73216AE2"/>
    <w:rsid w:val="73290082"/>
    <w:rsid w:val="735F0611"/>
    <w:rsid w:val="73623F85"/>
    <w:rsid w:val="73633E1E"/>
    <w:rsid w:val="736A1E1A"/>
    <w:rsid w:val="736A6251"/>
    <w:rsid w:val="736D2118"/>
    <w:rsid w:val="73833988"/>
    <w:rsid w:val="7384234E"/>
    <w:rsid w:val="73B1065D"/>
    <w:rsid w:val="73D37457"/>
    <w:rsid w:val="73E02BCF"/>
    <w:rsid w:val="73E217A8"/>
    <w:rsid w:val="73E9597E"/>
    <w:rsid w:val="73F46396"/>
    <w:rsid w:val="73FA22E6"/>
    <w:rsid w:val="7407050D"/>
    <w:rsid w:val="743F197B"/>
    <w:rsid w:val="74432A8D"/>
    <w:rsid w:val="745308D4"/>
    <w:rsid w:val="746B3222"/>
    <w:rsid w:val="746E51D7"/>
    <w:rsid w:val="749219D6"/>
    <w:rsid w:val="749649DF"/>
    <w:rsid w:val="74A84FD6"/>
    <w:rsid w:val="74B65918"/>
    <w:rsid w:val="74B96E8C"/>
    <w:rsid w:val="74C353A3"/>
    <w:rsid w:val="74C97430"/>
    <w:rsid w:val="74CC682B"/>
    <w:rsid w:val="74E60D29"/>
    <w:rsid w:val="75013822"/>
    <w:rsid w:val="750D323E"/>
    <w:rsid w:val="75136130"/>
    <w:rsid w:val="754730F9"/>
    <w:rsid w:val="75584ED2"/>
    <w:rsid w:val="756E2D57"/>
    <w:rsid w:val="757A7E5C"/>
    <w:rsid w:val="75864D31"/>
    <w:rsid w:val="75871E02"/>
    <w:rsid w:val="759F13E1"/>
    <w:rsid w:val="75AC2BB5"/>
    <w:rsid w:val="75AF0054"/>
    <w:rsid w:val="75CA383F"/>
    <w:rsid w:val="75E30901"/>
    <w:rsid w:val="75EE3AF2"/>
    <w:rsid w:val="760A4A22"/>
    <w:rsid w:val="76101069"/>
    <w:rsid w:val="761A79BB"/>
    <w:rsid w:val="76223710"/>
    <w:rsid w:val="76372911"/>
    <w:rsid w:val="76384819"/>
    <w:rsid w:val="7644630A"/>
    <w:rsid w:val="764D586D"/>
    <w:rsid w:val="766928AD"/>
    <w:rsid w:val="76716C87"/>
    <w:rsid w:val="76790255"/>
    <w:rsid w:val="7685102F"/>
    <w:rsid w:val="76852C75"/>
    <w:rsid w:val="76894950"/>
    <w:rsid w:val="76897E06"/>
    <w:rsid w:val="76993DD9"/>
    <w:rsid w:val="76AD5769"/>
    <w:rsid w:val="76C17CE1"/>
    <w:rsid w:val="76D011DE"/>
    <w:rsid w:val="76E27D70"/>
    <w:rsid w:val="76E55EAF"/>
    <w:rsid w:val="76F507BA"/>
    <w:rsid w:val="76F87995"/>
    <w:rsid w:val="76FC22A6"/>
    <w:rsid w:val="77011C67"/>
    <w:rsid w:val="770A4EDC"/>
    <w:rsid w:val="77113A78"/>
    <w:rsid w:val="771B7F65"/>
    <w:rsid w:val="772801BB"/>
    <w:rsid w:val="77331A59"/>
    <w:rsid w:val="773B1315"/>
    <w:rsid w:val="778A5E15"/>
    <w:rsid w:val="77C43611"/>
    <w:rsid w:val="77CB44CA"/>
    <w:rsid w:val="77D24351"/>
    <w:rsid w:val="77D476B1"/>
    <w:rsid w:val="77DE3CC3"/>
    <w:rsid w:val="77E32C9A"/>
    <w:rsid w:val="77E76325"/>
    <w:rsid w:val="78217E89"/>
    <w:rsid w:val="78297F2A"/>
    <w:rsid w:val="78390F5E"/>
    <w:rsid w:val="783E64BB"/>
    <w:rsid w:val="785F2B2E"/>
    <w:rsid w:val="78623639"/>
    <w:rsid w:val="786C6182"/>
    <w:rsid w:val="787E6EB1"/>
    <w:rsid w:val="788233CC"/>
    <w:rsid w:val="78837618"/>
    <w:rsid w:val="7888436C"/>
    <w:rsid w:val="78A24456"/>
    <w:rsid w:val="78C54835"/>
    <w:rsid w:val="78E24ECA"/>
    <w:rsid w:val="78E94214"/>
    <w:rsid w:val="78EF234C"/>
    <w:rsid w:val="78F71A34"/>
    <w:rsid w:val="78FF121B"/>
    <w:rsid w:val="790549DF"/>
    <w:rsid w:val="790A729E"/>
    <w:rsid w:val="790C6C9C"/>
    <w:rsid w:val="79194A22"/>
    <w:rsid w:val="79333D32"/>
    <w:rsid w:val="795B2659"/>
    <w:rsid w:val="79961C0E"/>
    <w:rsid w:val="799D7339"/>
    <w:rsid w:val="79B434EF"/>
    <w:rsid w:val="79BD4EBE"/>
    <w:rsid w:val="79C025D5"/>
    <w:rsid w:val="79C76AFD"/>
    <w:rsid w:val="79D9626A"/>
    <w:rsid w:val="79ED6573"/>
    <w:rsid w:val="79FB30D6"/>
    <w:rsid w:val="7A030F47"/>
    <w:rsid w:val="7A0319C1"/>
    <w:rsid w:val="7A073BC8"/>
    <w:rsid w:val="7A0D12EA"/>
    <w:rsid w:val="7A0E5ECB"/>
    <w:rsid w:val="7A1F1850"/>
    <w:rsid w:val="7A250554"/>
    <w:rsid w:val="7A294F24"/>
    <w:rsid w:val="7A2A2158"/>
    <w:rsid w:val="7A410CFA"/>
    <w:rsid w:val="7A643CEA"/>
    <w:rsid w:val="7A780740"/>
    <w:rsid w:val="7A8A36B7"/>
    <w:rsid w:val="7A8C064F"/>
    <w:rsid w:val="7AB27BD5"/>
    <w:rsid w:val="7AD0650C"/>
    <w:rsid w:val="7AD30BA4"/>
    <w:rsid w:val="7AD31BC6"/>
    <w:rsid w:val="7AE10641"/>
    <w:rsid w:val="7AFD77A3"/>
    <w:rsid w:val="7B26367E"/>
    <w:rsid w:val="7B286B9A"/>
    <w:rsid w:val="7B2B5F6B"/>
    <w:rsid w:val="7B2C39A7"/>
    <w:rsid w:val="7B2D45FF"/>
    <w:rsid w:val="7B2E405B"/>
    <w:rsid w:val="7B33182A"/>
    <w:rsid w:val="7B3D3D0F"/>
    <w:rsid w:val="7B475507"/>
    <w:rsid w:val="7B5436CC"/>
    <w:rsid w:val="7B660649"/>
    <w:rsid w:val="7B714EEB"/>
    <w:rsid w:val="7B763511"/>
    <w:rsid w:val="7B8308B5"/>
    <w:rsid w:val="7B974875"/>
    <w:rsid w:val="7B9F6550"/>
    <w:rsid w:val="7BA11020"/>
    <w:rsid w:val="7BA22F21"/>
    <w:rsid w:val="7BA439F8"/>
    <w:rsid w:val="7BB42002"/>
    <w:rsid w:val="7BB43E11"/>
    <w:rsid w:val="7BBC6362"/>
    <w:rsid w:val="7BC927E2"/>
    <w:rsid w:val="7BDA0D4A"/>
    <w:rsid w:val="7BDD58F8"/>
    <w:rsid w:val="7BEB02ED"/>
    <w:rsid w:val="7BFD1A3D"/>
    <w:rsid w:val="7C0B16B6"/>
    <w:rsid w:val="7C23115A"/>
    <w:rsid w:val="7C295406"/>
    <w:rsid w:val="7C352A61"/>
    <w:rsid w:val="7C5615BF"/>
    <w:rsid w:val="7C5B6059"/>
    <w:rsid w:val="7C605870"/>
    <w:rsid w:val="7C6B71C0"/>
    <w:rsid w:val="7C7D7C9F"/>
    <w:rsid w:val="7C7F3103"/>
    <w:rsid w:val="7C9A4613"/>
    <w:rsid w:val="7CA5082C"/>
    <w:rsid w:val="7CAD3DFA"/>
    <w:rsid w:val="7CB2311B"/>
    <w:rsid w:val="7CBA2521"/>
    <w:rsid w:val="7CBE42DA"/>
    <w:rsid w:val="7CDA1DE4"/>
    <w:rsid w:val="7D1000B5"/>
    <w:rsid w:val="7D14360D"/>
    <w:rsid w:val="7D2705D9"/>
    <w:rsid w:val="7D28151F"/>
    <w:rsid w:val="7D422DA7"/>
    <w:rsid w:val="7D48633C"/>
    <w:rsid w:val="7D4F4742"/>
    <w:rsid w:val="7D5E0BD8"/>
    <w:rsid w:val="7D686111"/>
    <w:rsid w:val="7D7558BB"/>
    <w:rsid w:val="7D77017F"/>
    <w:rsid w:val="7D7A244F"/>
    <w:rsid w:val="7D845063"/>
    <w:rsid w:val="7D8879C0"/>
    <w:rsid w:val="7D8C2E23"/>
    <w:rsid w:val="7D8E2D6D"/>
    <w:rsid w:val="7D9109D1"/>
    <w:rsid w:val="7D9B4563"/>
    <w:rsid w:val="7DA273D1"/>
    <w:rsid w:val="7DAE440F"/>
    <w:rsid w:val="7DB11128"/>
    <w:rsid w:val="7DB22E8A"/>
    <w:rsid w:val="7DCC54D8"/>
    <w:rsid w:val="7DE4485B"/>
    <w:rsid w:val="7DEC74AE"/>
    <w:rsid w:val="7DF25906"/>
    <w:rsid w:val="7E477026"/>
    <w:rsid w:val="7E5425A1"/>
    <w:rsid w:val="7E856FE4"/>
    <w:rsid w:val="7EA11750"/>
    <w:rsid w:val="7EB01395"/>
    <w:rsid w:val="7EB4423D"/>
    <w:rsid w:val="7EC07638"/>
    <w:rsid w:val="7ED32013"/>
    <w:rsid w:val="7ED625A7"/>
    <w:rsid w:val="7EF773B8"/>
    <w:rsid w:val="7F18484C"/>
    <w:rsid w:val="7F1E4CCF"/>
    <w:rsid w:val="7F3B4DD6"/>
    <w:rsid w:val="7F440B90"/>
    <w:rsid w:val="7F4931B5"/>
    <w:rsid w:val="7F4D59B1"/>
    <w:rsid w:val="7F81144E"/>
    <w:rsid w:val="7F88565E"/>
    <w:rsid w:val="7F8C34DA"/>
    <w:rsid w:val="7F8F2DFF"/>
    <w:rsid w:val="7FA125E4"/>
    <w:rsid w:val="7FC334AC"/>
    <w:rsid w:val="7FDD1714"/>
    <w:rsid w:val="7FE82877"/>
    <w:rsid w:val="7FEC2CEF"/>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line="578" w:lineRule="auto"/>
      <w:outlineLvl w:val="0"/>
    </w:pPr>
    <w:rPr>
      <w:rFonts w:ascii="Calibri" w:hAnsi="Calibri"/>
      <w:b/>
      <w:bCs/>
      <w:kern w:val="44"/>
      <w:sz w:val="44"/>
      <w:szCs w:val="44"/>
    </w:rPr>
  </w:style>
  <w:style w:type="paragraph" w:styleId="4">
    <w:name w:val="heading 2"/>
    <w:basedOn w:val="1"/>
    <w:next w:val="5"/>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5"/>
    <w:qFormat/>
    <w:uiPriority w:val="0"/>
    <w:pPr>
      <w:keepNext/>
      <w:keepLines/>
      <w:spacing w:before="260" w:after="260" w:line="413" w:lineRule="auto"/>
      <w:outlineLvl w:val="2"/>
    </w:pPr>
    <w:rPr>
      <w:b/>
      <w:bCs/>
      <w:sz w:val="32"/>
      <w:szCs w:val="32"/>
    </w:rPr>
  </w:style>
  <w:style w:type="paragraph" w:styleId="7">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5">
    <w:name w:val="Normal Indent"/>
    <w:basedOn w:val="1"/>
    <w:link w:val="44"/>
    <w:qFormat/>
    <w:uiPriority w:val="0"/>
    <w:pPr>
      <w:widowControl/>
      <w:ind w:firstLine="420"/>
      <w:jc w:val="left"/>
    </w:pPr>
    <w:rPr>
      <w:kern w:val="0"/>
      <w:szCs w:val="20"/>
    </w:rPr>
  </w:style>
  <w:style w:type="paragraph" w:styleId="8">
    <w:name w:val="Document Map"/>
    <w:basedOn w:val="1"/>
    <w:semiHidden/>
    <w:qFormat/>
    <w:uiPriority w:val="0"/>
    <w:pPr>
      <w:shd w:val="clear" w:color="auto" w:fill="000080"/>
    </w:pPr>
  </w:style>
  <w:style w:type="paragraph" w:styleId="9">
    <w:name w:val="annotation text"/>
    <w:basedOn w:val="1"/>
    <w:qFormat/>
    <w:uiPriority w:val="0"/>
    <w:pPr>
      <w:adjustRightInd w:val="0"/>
      <w:spacing w:line="360" w:lineRule="atLeast"/>
      <w:jc w:val="left"/>
      <w:textAlignment w:val="baseline"/>
    </w:pPr>
    <w:rPr>
      <w:kern w:val="0"/>
      <w:sz w:val="24"/>
      <w:szCs w:val="20"/>
    </w:rPr>
  </w:style>
  <w:style w:type="paragraph" w:styleId="10">
    <w:name w:val="Body Text"/>
    <w:basedOn w:val="1"/>
    <w:next w:val="11"/>
    <w:qFormat/>
    <w:uiPriority w:val="0"/>
    <w:pPr>
      <w:spacing w:line="240" w:lineRule="atLeast"/>
    </w:pPr>
    <w:rPr>
      <w:sz w:val="18"/>
    </w:rPr>
  </w:style>
  <w:style w:type="paragraph" w:customStyle="1" w:styleId="11">
    <w:name w:val="一级条标题"/>
    <w:basedOn w:val="12"/>
    <w:next w:val="13"/>
    <w:qFormat/>
    <w:uiPriority w:val="0"/>
    <w:pPr>
      <w:spacing w:line="240" w:lineRule="auto"/>
      <w:ind w:left="420"/>
      <w:outlineLvl w:val="2"/>
    </w:pPr>
    <w:rPr>
      <w:rFonts w:ascii="Times New Roman" w:eastAsia="宋体" w:cs="Times New Roman"/>
    </w:rPr>
  </w:style>
  <w:style w:type="paragraph" w:customStyle="1" w:styleId="12">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13">
    <w:name w:val="段"/>
    <w:next w:val="1"/>
    <w:qFormat/>
    <w:uiPriority w:val="0"/>
    <w:pPr>
      <w:autoSpaceDE w:val="0"/>
      <w:autoSpaceDN w:val="0"/>
      <w:spacing w:after="200" w:line="276" w:lineRule="auto"/>
      <w:ind w:firstLine="200" w:firstLineChars="200"/>
      <w:jc w:val="both"/>
    </w:pPr>
    <w:rPr>
      <w:rFonts w:ascii="宋体" w:hAnsi="Calibri" w:eastAsia="宋体" w:cs="Times New Roman"/>
      <w:sz w:val="21"/>
      <w:lang w:val="en-US" w:eastAsia="zh-CN" w:bidi="ar-SA"/>
    </w:rPr>
  </w:style>
  <w:style w:type="paragraph" w:styleId="14">
    <w:name w:val="Body Text Indent"/>
    <w:basedOn w:val="1"/>
    <w:next w:val="15"/>
    <w:qFormat/>
    <w:uiPriority w:val="0"/>
    <w:pPr>
      <w:spacing w:after="120"/>
      <w:ind w:left="420" w:leftChars="200"/>
    </w:pPr>
  </w:style>
  <w:style w:type="paragraph" w:styleId="15">
    <w:name w:val="Body Text First Indent 2"/>
    <w:basedOn w:val="14"/>
    <w:next w:val="16"/>
    <w:qFormat/>
    <w:uiPriority w:val="0"/>
    <w:pPr>
      <w:ind w:firstLine="420" w:firstLineChars="200"/>
    </w:pPr>
  </w:style>
  <w:style w:type="paragraph" w:styleId="16">
    <w:name w:val="Body Text First Indent"/>
    <w:basedOn w:val="10"/>
    <w:next w:val="1"/>
    <w:qFormat/>
    <w:uiPriority w:val="0"/>
    <w:pPr>
      <w:spacing w:line="312" w:lineRule="auto"/>
      <w:ind w:firstLine="420"/>
    </w:pPr>
  </w:style>
  <w:style w:type="paragraph" w:styleId="17">
    <w:name w:val="Plain Text"/>
    <w:basedOn w:val="1"/>
    <w:next w:val="1"/>
    <w:link w:val="38"/>
    <w:qFormat/>
    <w:uiPriority w:val="0"/>
    <w:rPr>
      <w:rFonts w:ascii="宋体" w:hAnsi="Courier New"/>
      <w:szCs w:val="20"/>
    </w:rPr>
  </w:style>
  <w:style w:type="paragraph" w:styleId="18">
    <w:name w:val="Date"/>
    <w:basedOn w:val="1"/>
    <w:next w:val="1"/>
    <w:qFormat/>
    <w:uiPriority w:val="0"/>
    <w:pPr>
      <w:ind w:left="100" w:leftChars="2500"/>
    </w:pPr>
  </w:style>
  <w:style w:type="paragraph" w:styleId="19">
    <w:name w:val="Balloon Text"/>
    <w:basedOn w:val="1"/>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pPr>
      <w:spacing w:before="120" w:after="120"/>
      <w:jc w:val="left"/>
    </w:pPr>
    <w:rPr>
      <w:b/>
      <w:bCs/>
      <w:caps/>
      <w:sz w:val="20"/>
      <w:szCs w:val="20"/>
    </w:rPr>
  </w:style>
  <w:style w:type="paragraph" w:styleId="23">
    <w:name w:val="Body Text Indent 3"/>
    <w:basedOn w:val="1"/>
    <w:qFormat/>
    <w:uiPriority w:val="0"/>
    <w:pPr>
      <w:widowControl/>
      <w:spacing w:after="120"/>
      <w:ind w:left="420" w:leftChars="200"/>
      <w:jc w:val="left"/>
    </w:pPr>
    <w:rPr>
      <w:kern w:val="0"/>
      <w:sz w:val="16"/>
      <w:szCs w:val="16"/>
    </w:rPr>
  </w:style>
  <w:style w:type="paragraph" w:styleId="24">
    <w:name w:val="Normal (Web)"/>
    <w:basedOn w:val="1"/>
    <w:qFormat/>
    <w:uiPriority w:val="0"/>
    <w:pPr>
      <w:widowControl/>
      <w:jc w:val="left"/>
    </w:pPr>
    <w:rPr>
      <w:rFonts w:ascii="Verdana" w:hAnsi="Verdana" w:cs="宋体"/>
      <w:kern w:val="0"/>
      <w:sz w:val="24"/>
    </w:r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qFormat/>
    <w:uiPriority w:val="0"/>
    <w:rPr>
      <w:b/>
      <w:bCs/>
    </w:rPr>
  </w:style>
  <w:style w:type="character" w:styleId="29">
    <w:name w:val="page number"/>
    <w:basedOn w:val="27"/>
    <w:qFormat/>
    <w:uiPriority w:val="0"/>
  </w:style>
  <w:style w:type="character" w:styleId="30">
    <w:name w:val="FollowedHyperlink"/>
    <w:basedOn w:val="27"/>
    <w:qFormat/>
    <w:uiPriority w:val="0"/>
    <w:rPr>
      <w:color w:val="337AB7"/>
      <w:u w:val="single"/>
    </w:rPr>
  </w:style>
  <w:style w:type="character" w:styleId="31">
    <w:name w:val="HTML Definition"/>
    <w:basedOn w:val="27"/>
    <w:semiHidden/>
    <w:unhideWhenUsed/>
    <w:qFormat/>
    <w:uiPriority w:val="99"/>
    <w:rPr>
      <w:i/>
    </w:rPr>
  </w:style>
  <w:style w:type="character" w:styleId="32">
    <w:name w:val="Hyperlink"/>
    <w:basedOn w:val="27"/>
    <w:qFormat/>
    <w:uiPriority w:val="0"/>
    <w:rPr>
      <w:color w:val="337AB7"/>
      <w:u w:val="single"/>
    </w:rPr>
  </w:style>
  <w:style w:type="character" w:styleId="33">
    <w:name w:val="HTML Code"/>
    <w:basedOn w:val="27"/>
    <w:semiHidden/>
    <w:unhideWhenUsed/>
    <w:qFormat/>
    <w:uiPriority w:val="99"/>
    <w:rPr>
      <w:rFonts w:ascii="Consolas" w:hAnsi="Consolas" w:eastAsia="Consolas" w:cs="Consolas"/>
      <w:color w:val="C7254E"/>
      <w:sz w:val="21"/>
      <w:szCs w:val="21"/>
      <w:shd w:val="clear" w:color="auto" w:fill="F9F2F4"/>
    </w:rPr>
  </w:style>
  <w:style w:type="character" w:styleId="34">
    <w:name w:val="HTML Keyboard"/>
    <w:basedOn w:val="27"/>
    <w:semiHidden/>
    <w:unhideWhenUsed/>
    <w:qFormat/>
    <w:uiPriority w:val="99"/>
    <w:rPr>
      <w:rFonts w:hint="default" w:ascii="Consolas" w:hAnsi="Consolas" w:eastAsia="Consolas" w:cs="Consolas"/>
      <w:color w:val="FFFFFF"/>
      <w:sz w:val="21"/>
      <w:szCs w:val="21"/>
      <w:shd w:val="clear" w:color="auto" w:fill="333333"/>
    </w:rPr>
  </w:style>
  <w:style w:type="character" w:styleId="35">
    <w:name w:val="HTML Sample"/>
    <w:basedOn w:val="27"/>
    <w:semiHidden/>
    <w:unhideWhenUsed/>
    <w:qFormat/>
    <w:uiPriority w:val="99"/>
    <w:rPr>
      <w:rFonts w:hint="default" w:ascii="Consolas" w:hAnsi="Consolas" w:eastAsia="Consolas" w:cs="Consolas"/>
      <w:sz w:val="21"/>
      <w:szCs w:val="21"/>
    </w:rPr>
  </w:style>
  <w:style w:type="paragraph" w:customStyle="1" w:styleId="36">
    <w:name w:val="Default"/>
    <w:qFormat/>
    <w:uiPriority w:val="0"/>
    <w:pPr>
      <w:widowControl w:val="0"/>
      <w:autoSpaceDE w:val="0"/>
      <w:autoSpaceDN w:val="0"/>
      <w:adjustRightInd w:val="0"/>
    </w:pPr>
    <w:rPr>
      <w:rFonts w:ascii="Akzidenz Grotesk" w:hAnsi="Times New Roman" w:eastAsia="Akzidenz Grotesk" w:cs="Times New Roman"/>
      <w:color w:val="000000"/>
      <w:sz w:val="24"/>
      <w:szCs w:val="24"/>
      <w:lang w:val="en-US" w:eastAsia="zh-CN" w:bidi="ar-SA"/>
    </w:rPr>
  </w:style>
  <w:style w:type="paragraph" w:customStyle="1" w:styleId="37">
    <w:name w:val="Body Text Indent 21"/>
    <w:basedOn w:val="1"/>
    <w:qFormat/>
    <w:uiPriority w:val="0"/>
    <w:pPr>
      <w:spacing w:line="60" w:lineRule="auto"/>
      <w:ind w:firstLine="128" w:firstLineChars="128"/>
    </w:pPr>
    <w:rPr>
      <w:rFonts w:ascii="仿宋_GB2312" w:eastAsia="仿宋_GB2312"/>
      <w:kern w:val="0"/>
      <w:sz w:val="24"/>
    </w:rPr>
  </w:style>
  <w:style w:type="character" w:customStyle="1" w:styleId="38">
    <w:name w:val="纯文本 Char"/>
    <w:link w:val="17"/>
    <w:qFormat/>
    <w:uiPriority w:val="0"/>
    <w:rPr>
      <w:rFonts w:ascii="宋体" w:hAnsi="Courier New" w:eastAsia="宋体"/>
      <w:kern w:val="2"/>
      <w:sz w:val="21"/>
      <w:lang w:val="en-US" w:eastAsia="zh-CN" w:bidi="ar-SA"/>
    </w:rPr>
  </w:style>
  <w:style w:type="character" w:customStyle="1" w:styleId="39">
    <w:name w:val="font21"/>
    <w:qFormat/>
    <w:uiPriority w:val="0"/>
    <w:rPr>
      <w:rFonts w:hint="eastAsia" w:ascii="宋体" w:hAnsi="宋体" w:eastAsia="宋体" w:cs="宋体"/>
      <w:color w:val="000000"/>
      <w:sz w:val="21"/>
      <w:szCs w:val="21"/>
      <w:u w:val="none"/>
    </w:rPr>
  </w:style>
  <w:style w:type="character" w:customStyle="1" w:styleId="40">
    <w:name w:val="p141"/>
    <w:qFormat/>
    <w:uiPriority w:val="0"/>
    <w:rPr>
      <w:sz w:val="21"/>
      <w:szCs w:val="21"/>
    </w:rPr>
  </w:style>
  <w:style w:type="character" w:customStyle="1" w:styleId="41">
    <w:name w:val="font141"/>
    <w:basedOn w:val="27"/>
    <w:qFormat/>
    <w:uiPriority w:val="0"/>
    <w:rPr>
      <w:rFonts w:hint="eastAsia" w:ascii="宋体" w:hAnsi="宋体" w:eastAsia="宋体" w:cs="宋体"/>
      <w:color w:val="000000"/>
      <w:sz w:val="20"/>
      <w:szCs w:val="20"/>
      <w:u w:val="none"/>
    </w:rPr>
  </w:style>
  <w:style w:type="character" w:customStyle="1" w:styleId="42">
    <w:name w:val="font111"/>
    <w:basedOn w:val="27"/>
    <w:qFormat/>
    <w:uiPriority w:val="0"/>
    <w:rPr>
      <w:rFonts w:ascii="Arial" w:hAnsi="Arial" w:cs="Arial"/>
      <w:color w:val="000000"/>
      <w:sz w:val="20"/>
      <w:szCs w:val="20"/>
      <w:u w:val="none"/>
    </w:rPr>
  </w:style>
  <w:style w:type="character" w:customStyle="1" w:styleId="43">
    <w:name w:val="font41"/>
    <w:basedOn w:val="27"/>
    <w:qFormat/>
    <w:uiPriority w:val="0"/>
    <w:rPr>
      <w:rFonts w:hint="eastAsia" w:ascii="宋体" w:hAnsi="宋体" w:eastAsia="宋体" w:cs="宋体"/>
      <w:color w:val="000000"/>
      <w:sz w:val="20"/>
      <w:szCs w:val="20"/>
      <w:u w:val="none"/>
    </w:rPr>
  </w:style>
  <w:style w:type="character" w:customStyle="1" w:styleId="44">
    <w:name w:val="正文缩进 Char"/>
    <w:link w:val="5"/>
    <w:qFormat/>
    <w:uiPriority w:val="0"/>
    <w:rPr>
      <w:rFonts w:eastAsia="宋体"/>
      <w:sz w:val="21"/>
      <w:lang w:val="en-US" w:eastAsia="zh-CN" w:bidi="ar-SA"/>
    </w:rPr>
  </w:style>
  <w:style w:type="character" w:customStyle="1" w:styleId="45">
    <w:name w:val="font31"/>
    <w:basedOn w:val="27"/>
    <w:qFormat/>
    <w:uiPriority w:val="0"/>
    <w:rPr>
      <w:rFonts w:hint="default" w:ascii="MS Sans Serif" w:hAnsi="MS Sans Serif" w:eastAsia="MS Sans Serif" w:cs="MS Sans Serif"/>
      <w:color w:val="000000"/>
      <w:sz w:val="20"/>
      <w:szCs w:val="20"/>
      <w:u w:val="none"/>
    </w:rPr>
  </w:style>
  <w:style w:type="character" w:customStyle="1" w:styleId="46">
    <w:name w:val="font91"/>
    <w:basedOn w:val="27"/>
    <w:qFormat/>
    <w:uiPriority w:val="0"/>
    <w:rPr>
      <w:rFonts w:hint="default" w:ascii="Times New Roman" w:hAnsi="Times New Roman" w:cs="Times New Roman"/>
      <w:color w:val="000000"/>
      <w:sz w:val="20"/>
      <w:szCs w:val="20"/>
      <w:u w:val="none"/>
    </w:rPr>
  </w:style>
  <w:style w:type="character" w:customStyle="1" w:styleId="47">
    <w:name w:val="font01"/>
    <w:qFormat/>
    <w:uiPriority w:val="0"/>
    <w:rPr>
      <w:rFonts w:hint="default" w:ascii="Times New Roman" w:hAnsi="Times New Roman" w:cs="Times New Roman"/>
      <w:color w:val="000000"/>
      <w:sz w:val="28"/>
      <w:szCs w:val="28"/>
      <w:u w:val="none"/>
    </w:rPr>
  </w:style>
  <w:style w:type="character" w:customStyle="1" w:styleId="48">
    <w:name w:val="xw141"/>
    <w:basedOn w:val="27"/>
    <w:qFormat/>
    <w:uiPriority w:val="0"/>
    <w:rPr>
      <w:rFonts w:hint="default" w:ascii="ˎ̥" w:hAnsi="ˎ̥"/>
      <w:color w:val="464646"/>
      <w:sz w:val="21"/>
      <w:szCs w:val="21"/>
    </w:rPr>
  </w:style>
  <w:style w:type="paragraph" w:customStyle="1" w:styleId="49">
    <w:name w:val="_Style 12"/>
    <w:basedOn w:val="1"/>
    <w:qFormat/>
    <w:uiPriority w:val="0"/>
    <w:pPr>
      <w:widowControl/>
      <w:spacing w:after="160" w:line="240" w:lineRule="exact"/>
      <w:jc w:val="left"/>
    </w:pPr>
    <w:rPr>
      <w:szCs w:val="20"/>
    </w:rPr>
  </w:style>
  <w:style w:type="paragraph" w:customStyle="1" w:styleId="50">
    <w:name w:val="Char1"/>
    <w:basedOn w:val="1"/>
    <w:qFormat/>
    <w:uiPriority w:val="0"/>
  </w:style>
  <w:style w:type="paragraph" w:customStyle="1" w:styleId="51">
    <w:name w:val="Char11"/>
    <w:basedOn w:val="1"/>
    <w:qFormat/>
    <w:uiPriority w:val="0"/>
    <w:rPr>
      <w:szCs w:val="20"/>
    </w:rPr>
  </w:style>
  <w:style w:type="paragraph" w:customStyle="1" w:styleId="52">
    <w:name w:val="Char Char Char Char Char Char Char Char Char Char"/>
    <w:basedOn w:val="1"/>
    <w:qFormat/>
    <w:uiPriority w:val="0"/>
    <w:rPr>
      <w:rFonts w:ascii="Tahoma" w:hAnsi="Tahoma"/>
      <w:sz w:val="24"/>
      <w:szCs w:val="20"/>
    </w:rPr>
  </w:style>
  <w:style w:type="paragraph" w:customStyle="1" w:styleId="53">
    <w:name w:val="Char2"/>
    <w:basedOn w:val="1"/>
    <w:qFormat/>
    <w:uiPriority w:val="0"/>
    <w:pPr>
      <w:ind w:left="432" w:hanging="432"/>
    </w:pPr>
  </w:style>
  <w:style w:type="paragraph" w:customStyle="1" w:styleId="54">
    <w:name w:val="默认段落字体 Para Char Char Char Char Char Char Char"/>
    <w:basedOn w:val="1"/>
    <w:qFormat/>
    <w:uiPriority w:val="0"/>
    <w:rPr>
      <w:rFonts w:ascii="Tahoma" w:hAnsi="Tahoma"/>
      <w:sz w:val="24"/>
      <w:szCs w:val="20"/>
    </w:rPr>
  </w:style>
  <w:style w:type="paragraph" w:customStyle="1" w:styleId="5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6">
    <w:name w:val="Char Char Char Char"/>
    <w:basedOn w:val="1"/>
    <w:qFormat/>
    <w:uiPriority w:val="0"/>
    <w:rPr>
      <w:rFonts w:ascii="Tahoma" w:hAnsi="Tahoma"/>
      <w:sz w:val="24"/>
      <w:szCs w:val="20"/>
    </w:rPr>
  </w:style>
  <w:style w:type="paragraph" w:customStyle="1" w:styleId="57">
    <w:name w:val="xl3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58">
    <w:name w:val="Char"/>
    <w:basedOn w:val="1"/>
    <w:qFormat/>
    <w:uiPriority w:val="0"/>
  </w:style>
  <w:style w:type="paragraph" w:customStyle="1" w:styleId="59">
    <w:name w:val="列出段落1"/>
    <w:basedOn w:val="1"/>
    <w:qFormat/>
    <w:uiPriority w:val="99"/>
    <w:pPr>
      <w:ind w:firstLine="420" w:firstLineChars="200"/>
    </w:pPr>
  </w:style>
  <w:style w:type="paragraph" w:customStyle="1" w:styleId="60">
    <w:name w:val="p2"/>
    <w:basedOn w:val="1"/>
    <w:qFormat/>
    <w:uiPriority w:val="99"/>
    <w:pPr>
      <w:widowControl/>
      <w:spacing w:line="480" w:lineRule="auto"/>
      <w:ind w:firstLine="420"/>
      <w:jc w:val="left"/>
    </w:pPr>
    <w:rPr>
      <w:rFonts w:ascii="宋体" w:hAnsi="宋体" w:cs="宋体"/>
      <w:kern w:val="0"/>
      <w:szCs w:val="21"/>
    </w:rPr>
  </w:style>
  <w:style w:type="paragraph" w:customStyle="1" w:styleId="6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62">
    <w:name w:val="WPSOffice手动目录 1"/>
    <w:qFormat/>
    <w:uiPriority w:val="0"/>
    <w:rPr>
      <w:rFonts w:ascii="Times New Roman" w:hAnsi="Times New Roman" w:eastAsia="宋体" w:cs="Times New Roman"/>
      <w:lang w:val="en-US" w:eastAsia="zh-CN" w:bidi="ar-SA"/>
    </w:rPr>
  </w:style>
  <w:style w:type="character" w:customStyle="1" w:styleId="63">
    <w:name w:val="indent"/>
    <w:basedOn w:val="27"/>
    <w:qFormat/>
    <w:uiPriority w:val="0"/>
  </w:style>
  <w:style w:type="character" w:customStyle="1" w:styleId="64">
    <w:name w:val="hour_am"/>
    <w:basedOn w:val="27"/>
    <w:qFormat/>
    <w:uiPriority w:val="0"/>
  </w:style>
  <w:style w:type="character" w:customStyle="1" w:styleId="65">
    <w:name w:val="hover1"/>
    <w:basedOn w:val="27"/>
    <w:qFormat/>
    <w:uiPriority w:val="0"/>
    <w:rPr>
      <w:shd w:val="clear" w:color="auto" w:fill="EEEEEE"/>
    </w:rPr>
  </w:style>
  <w:style w:type="character" w:customStyle="1" w:styleId="66">
    <w:name w:val="old"/>
    <w:basedOn w:val="27"/>
    <w:qFormat/>
    <w:uiPriority w:val="0"/>
    <w:rPr>
      <w:color w:val="999999"/>
    </w:rPr>
  </w:style>
  <w:style w:type="character" w:customStyle="1" w:styleId="67">
    <w:name w:val="hour_pm"/>
    <w:basedOn w:val="27"/>
    <w:qFormat/>
    <w:uiPriority w:val="0"/>
  </w:style>
  <w:style w:type="character" w:customStyle="1" w:styleId="68">
    <w:name w:val="glyphicon6"/>
    <w:basedOn w:val="27"/>
    <w:qFormat/>
    <w:uiPriority w:val="0"/>
  </w:style>
  <w:style w:type="character" w:customStyle="1" w:styleId="69">
    <w:name w:val="icon"/>
    <w:basedOn w:val="27"/>
    <w:qFormat/>
    <w:uiPriority w:val="0"/>
  </w:style>
  <w:style w:type="paragraph" w:customStyle="1" w:styleId="70">
    <w:name w:val="_Style 61"/>
    <w:basedOn w:val="1"/>
    <w:next w:val="1"/>
    <w:qFormat/>
    <w:uiPriority w:val="0"/>
    <w:pPr>
      <w:pBdr>
        <w:bottom w:val="single" w:color="auto" w:sz="6" w:space="1"/>
      </w:pBdr>
      <w:jc w:val="center"/>
    </w:pPr>
    <w:rPr>
      <w:rFonts w:ascii="Arial"/>
      <w:vanish/>
      <w:sz w:val="16"/>
    </w:rPr>
  </w:style>
  <w:style w:type="paragraph" w:customStyle="1" w:styleId="71">
    <w:name w:val="_Style 62"/>
    <w:basedOn w:val="1"/>
    <w:next w:val="1"/>
    <w:qFormat/>
    <w:uiPriority w:val="0"/>
    <w:pPr>
      <w:pBdr>
        <w:top w:val="single" w:color="auto" w:sz="6" w:space="1"/>
      </w:pBdr>
      <w:jc w:val="center"/>
    </w:pPr>
    <w:rPr>
      <w:rFonts w:ascii="Arial"/>
      <w:vanish/>
      <w:sz w:val="16"/>
    </w:rPr>
  </w:style>
  <w:style w:type="character" w:customStyle="1" w:styleId="72">
    <w:name w:val="glyphicon4"/>
    <w:basedOn w:val="27"/>
    <w:qFormat/>
    <w:uiPriority w:val="0"/>
  </w:style>
  <w:style w:type="paragraph" w:customStyle="1" w:styleId="73">
    <w:name w:val="纯文本 New New New New New New New New"/>
    <w:basedOn w:val="74"/>
    <w:qFormat/>
    <w:uiPriority w:val="0"/>
    <w:rPr>
      <w:rFonts w:ascii="宋体" w:hAnsi="Courier New"/>
    </w:rPr>
  </w:style>
  <w:style w:type="paragraph" w:customStyle="1" w:styleId="74">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5">
    <w:name w:val="正文首行缩进 21"/>
    <w:basedOn w:val="76"/>
    <w:qFormat/>
    <w:uiPriority w:val="0"/>
    <w:pPr>
      <w:spacing w:after="120"/>
      <w:ind w:left="420" w:leftChars="200" w:firstLine="420" w:firstLineChars="200"/>
    </w:pPr>
    <w:rPr>
      <w:sz w:val="21"/>
    </w:rPr>
  </w:style>
  <w:style w:type="paragraph" w:customStyle="1" w:styleId="76">
    <w:name w:val="正文文本缩进1"/>
    <w:basedOn w:val="1"/>
    <w:next w:val="75"/>
    <w:qFormat/>
    <w:uiPriority w:val="0"/>
    <w:pPr>
      <w:ind w:firstLine="630"/>
    </w:pPr>
    <w:rPr>
      <w:kern w:val="0"/>
      <w:sz w:val="32"/>
    </w:rPr>
  </w:style>
  <w:style w:type="paragraph" w:styleId="77">
    <w:name w:val="List Paragraph"/>
    <w:basedOn w:val="1"/>
    <w:qFormat/>
    <w:uiPriority w:val="99"/>
    <w:pPr>
      <w:widowControl/>
      <w:ind w:firstLine="420" w:firstLineChars="200"/>
      <w:jc w:val="left"/>
    </w:pPr>
    <w:rPr>
      <w:kern w:val="0"/>
      <w:sz w:val="20"/>
    </w:rPr>
  </w:style>
  <w:style w:type="character" w:customStyle="1" w:styleId="78">
    <w:name w:val="16"/>
    <w:qFormat/>
    <w:uiPriority w:val="0"/>
    <w:rPr>
      <w:rFonts w:hint="default" w:ascii="Times New Roman" w:hAnsi="Times New Roman" w:eastAsia="宋体" w:cs="Times New Roman"/>
      <w:b/>
      <w:bCs/>
      <w:sz w:val="32"/>
      <w:szCs w:val="32"/>
    </w:rPr>
  </w:style>
  <w:style w:type="paragraph" w:customStyle="1" w:styleId="79">
    <w:name w:val="WPSOffice手动目录 2"/>
    <w:qFormat/>
    <w:uiPriority w:val="0"/>
    <w:pPr>
      <w:ind w:left="200"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F5A7E-23B8-4E77-8F6A-F4389517EAA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3775</Words>
  <Characters>21523</Characters>
  <Lines>179</Lines>
  <Paragraphs>50</Paragraphs>
  <TotalTime>8</TotalTime>
  <ScaleCrop>false</ScaleCrop>
  <LinksUpToDate>false</LinksUpToDate>
  <CharactersWithSpaces>25248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2023-09-12T07:56:00Z</dcterms:created>
  <dc:creator>微软用户</dc:creator>
  <cp:lastModifiedBy>注意</cp:lastModifiedBy>
  <cp:lastPrinted>2020-09-08T10:11:00Z</cp:lastPrinted>
  <dcterms:modified xsi:type="dcterms:W3CDTF">2023-09-21T02:20:29Z</dcterms:modified>
  <dc:title>忠 县 政 府 采 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B41AF6935A93437C9B4C94329577FD07</vt:lpwstr>
  </property>
</Properties>
</file>