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Hlk10840310"/>
      <w:r>
        <w:drawing>
          <wp:anchor distT="0" distB="0" distL="114300" distR="114300" simplePos="0" relativeHeight="251659264" behindDoc="1" locked="0" layoutInCell="1" allowOverlap="1">
            <wp:simplePos x="0" y="0"/>
            <wp:positionH relativeFrom="page">
              <wp:posOffset>2233930</wp:posOffset>
            </wp:positionH>
            <wp:positionV relativeFrom="page">
              <wp:posOffset>1150620</wp:posOffset>
            </wp:positionV>
            <wp:extent cx="3252470" cy="7048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ascii="仿宋" w:hAnsi="仿宋" w:eastAsia="仿宋"/>
          <w:b/>
          <w:sz w:val="44"/>
          <w:szCs w:val="24"/>
          <w:highlight w:val="yellow"/>
        </w:rPr>
      </w:pPr>
    </w:p>
    <w:p>
      <w:pPr>
        <w:spacing w:line="1000" w:lineRule="exact"/>
        <w:jc w:val="center"/>
        <w:rPr>
          <w:rFonts w:hint="default" w:ascii="仿宋" w:hAnsi="仿宋" w:eastAsia="仿宋"/>
          <w:b/>
          <w:sz w:val="32"/>
          <w:szCs w:val="32"/>
          <w:lang w:val="en-US" w:eastAsia="zh-CN"/>
        </w:rPr>
      </w:pPr>
      <w:r>
        <w:rPr>
          <w:rFonts w:hint="eastAsia" w:ascii="仿宋" w:hAnsi="仿宋" w:eastAsia="仿宋"/>
          <w:b/>
          <w:sz w:val="32"/>
          <w:szCs w:val="32"/>
          <w:lang w:val="en-US" w:eastAsia="zh-CN"/>
        </w:rPr>
        <w:t>广州松田职业</w:t>
      </w:r>
      <w:r>
        <w:rPr>
          <w:rFonts w:hint="eastAsia" w:ascii="仿宋" w:hAnsi="仿宋" w:eastAsia="仿宋"/>
          <w:b/>
          <w:sz w:val="32"/>
          <w:szCs w:val="32"/>
        </w:rPr>
        <w:t>学院跨境电商沙盘软件</w:t>
      </w:r>
      <w:r>
        <w:rPr>
          <w:rFonts w:hint="eastAsia" w:ascii="仿宋" w:hAnsi="仿宋" w:eastAsia="仿宋"/>
          <w:b/>
          <w:sz w:val="32"/>
          <w:szCs w:val="32"/>
          <w:lang w:val="en-US" w:eastAsia="zh-CN"/>
        </w:rPr>
        <w:t>采购项目</w:t>
      </w:r>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460" w:lineRule="exact"/>
        <w:ind w:firstLine="1521" w:firstLineChars="541"/>
        <w:rPr>
          <w:rFonts w:hint="eastAsia" w:ascii="仿宋" w:hAnsi="仿宋" w:eastAsia="仿宋"/>
          <w:b/>
          <w:color w:val="FF0000"/>
          <w:sz w:val="28"/>
          <w:szCs w:val="28"/>
          <w:lang w:val="en-US" w:eastAsia="zh-CN"/>
        </w:rPr>
      </w:pPr>
      <w:r>
        <w:rPr>
          <w:rFonts w:hint="eastAsia" w:ascii="仿宋" w:hAnsi="仿宋" w:eastAsia="仿宋"/>
          <w:b/>
          <w:sz w:val="28"/>
          <w:szCs w:val="28"/>
        </w:rPr>
        <w:t>项目编号：</w:t>
      </w:r>
      <w:bookmarkStart w:id="1" w:name="_Toc160880485"/>
      <w:bookmarkStart w:id="2" w:name="_Toc169332792"/>
      <w:bookmarkStart w:id="3" w:name="_Toc160880118"/>
      <w:r>
        <w:rPr>
          <w:rFonts w:hint="eastAsia" w:ascii="仿宋" w:hAnsi="仿宋" w:eastAsia="仿宋"/>
          <w:b/>
          <w:color w:val="auto"/>
          <w:sz w:val="28"/>
          <w:szCs w:val="28"/>
        </w:rPr>
        <w:t>WZ-XJ202</w:t>
      </w:r>
      <w:r>
        <w:rPr>
          <w:rFonts w:hint="eastAsia" w:ascii="仿宋" w:hAnsi="仿宋" w:eastAsia="仿宋"/>
          <w:b/>
          <w:color w:val="auto"/>
          <w:sz w:val="28"/>
          <w:szCs w:val="28"/>
          <w:lang w:val="en-US" w:eastAsia="zh-CN"/>
        </w:rPr>
        <w:t>3-7</w:t>
      </w:r>
    </w:p>
    <w:p>
      <w:pPr>
        <w:spacing w:line="460" w:lineRule="exact"/>
        <w:ind w:firstLine="1521" w:firstLineChars="541"/>
        <w:rPr>
          <w:rFonts w:hint="eastAsia" w:ascii="仿宋" w:hAnsi="仿宋" w:eastAsia="仿宋"/>
          <w:b/>
          <w:sz w:val="28"/>
          <w:szCs w:val="28"/>
          <w:lang w:val="en-US" w:eastAsia="zh-CN"/>
        </w:rPr>
      </w:pPr>
      <w:r>
        <w:rPr>
          <w:rFonts w:hint="eastAsia" w:ascii="仿宋" w:hAnsi="仿宋" w:eastAsia="仿宋"/>
          <w:b/>
          <w:sz w:val="28"/>
          <w:szCs w:val="28"/>
        </w:rPr>
        <w:t>项目名称</w:t>
      </w:r>
      <w:bookmarkEnd w:id="1"/>
      <w:bookmarkEnd w:id="2"/>
      <w:bookmarkEnd w:id="3"/>
      <w:bookmarkStart w:id="4" w:name="_Toc266870386"/>
      <w:bookmarkStart w:id="5" w:name="_Toc227058483"/>
      <w:bookmarkStart w:id="6" w:name="_Toc267060022"/>
      <w:bookmarkStart w:id="7" w:name="_Toc251613780"/>
      <w:bookmarkStart w:id="8" w:name="_Toc216241307"/>
      <w:bookmarkStart w:id="9" w:name="_Toc266868624"/>
      <w:bookmarkStart w:id="10" w:name="_Toc235437942"/>
      <w:bookmarkStart w:id="11" w:name="_Toc169332794"/>
      <w:bookmarkStart w:id="12" w:name="_Toc236021402"/>
      <w:bookmarkStart w:id="13" w:name="_Toc267060407"/>
      <w:bookmarkStart w:id="14" w:name="_Toc259520819"/>
      <w:bookmarkStart w:id="15" w:name="_Toc217891359"/>
      <w:bookmarkStart w:id="16" w:name="_Toc267059010"/>
      <w:bookmarkStart w:id="17" w:name="_Toc259692600"/>
      <w:bookmarkStart w:id="18" w:name="_Toc267059519"/>
      <w:bookmarkStart w:id="19" w:name="_Toc251586187"/>
      <w:bookmarkStart w:id="20" w:name="_Toc211937196"/>
      <w:bookmarkStart w:id="21" w:name="_Toc266868924"/>
      <w:bookmarkStart w:id="22" w:name="_Toc267059633"/>
      <w:bookmarkStart w:id="23" w:name="_Toc259692693"/>
      <w:bookmarkStart w:id="24" w:name="_Toc267059899"/>
      <w:bookmarkStart w:id="25" w:name="_Toc249325665"/>
      <w:bookmarkStart w:id="26" w:name="_Toc212454753"/>
      <w:bookmarkStart w:id="27" w:name="_Toc219800200"/>
      <w:bookmarkStart w:id="28" w:name="_Toc170798743"/>
      <w:bookmarkStart w:id="29" w:name="_Toc223146565"/>
      <w:bookmarkStart w:id="30" w:name="_Toc212530253"/>
      <w:bookmarkStart w:id="31" w:name="_Toc207014580"/>
      <w:bookmarkStart w:id="32" w:name="_Toc235438227"/>
      <w:bookmarkStart w:id="33" w:name="_Toc212456146"/>
      <w:bookmarkStart w:id="34" w:name="_Toc160880487"/>
      <w:bookmarkStart w:id="35" w:name="_Toc225669277"/>
      <w:bookmarkStart w:id="36" w:name="_Toc267059161"/>
      <w:bookmarkStart w:id="37" w:name="_Toc212526081"/>
      <w:bookmarkStart w:id="38" w:name="_Toc266870861"/>
      <w:bookmarkStart w:id="39" w:name="_Toc235438297"/>
      <w:bookmarkStart w:id="40" w:name="_Toc258401210"/>
      <w:bookmarkStart w:id="41" w:name="_Toc253066567"/>
      <w:bookmarkStart w:id="42" w:name="_Toc254790852"/>
      <w:bookmarkStart w:id="43" w:name="_Toc177985424"/>
      <w:bookmarkStart w:id="44" w:name="_Toc273178686"/>
      <w:bookmarkStart w:id="45" w:name="_Toc267060162"/>
      <w:bookmarkStart w:id="46" w:name="_Toc255974963"/>
      <w:bookmarkStart w:id="47" w:name="_Toc267059786"/>
      <w:bookmarkStart w:id="48" w:name="_Toc169332904"/>
      <w:r>
        <w:rPr>
          <w:rFonts w:hint="eastAsia" w:ascii="仿宋" w:hAnsi="仿宋" w:eastAsia="仿宋"/>
          <w:b/>
          <w:sz w:val="28"/>
          <w:szCs w:val="28"/>
        </w:rPr>
        <w:t>：跨境电商沙盘软件</w:t>
      </w:r>
      <w:r>
        <w:rPr>
          <w:rFonts w:hint="eastAsia" w:ascii="仿宋" w:hAnsi="仿宋" w:eastAsia="仿宋"/>
          <w:b/>
          <w:sz w:val="28"/>
          <w:szCs w:val="28"/>
          <w:lang w:val="en-US" w:eastAsia="zh-CN"/>
        </w:rPr>
        <w:t>采购</w:t>
      </w:r>
    </w:p>
    <w:p>
      <w:pPr>
        <w:pStyle w:val="54"/>
        <w:spacing w:line="360" w:lineRule="auto"/>
        <w:jc w:val="both"/>
        <w:outlineLvl w:val="0"/>
        <w:rPr>
          <w:rFonts w:ascii="仿宋" w:hAnsi="仿宋" w:eastAsia="仿宋"/>
          <w:b/>
          <w:color w:val="auto"/>
          <w:sz w:val="44"/>
          <w:szCs w:val="44"/>
        </w:rPr>
      </w:pPr>
    </w:p>
    <w:p>
      <w:pPr>
        <w:pStyle w:val="54"/>
        <w:spacing w:line="360" w:lineRule="auto"/>
        <w:jc w:val="center"/>
        <w:outlineLvl w:val="0"/>
        <w:rPr>
          <w:rFonts w:ascii="仿宋" w:hAnsi="仿宋" w:eastAsia="仿宋"/>
          <w:b/>
          <w:color w:val="auto"/>
          <w:sz w:val="44"/>
          <w:szCs w:val="44"/>
        </w:rPr>
      </w:pPr>
    </w:p>
    <w:p>
      <w:pPr>
        <w:pStyle w:val="54"/>
        <w:numPr>
          <w:ilvl w:val="0"/>
          <w:numId w:val="1"/>
        </w:numPr>
        <w:spacing w:line="360" w:lineRule="auto"/>
        <w:jc w:val="center"/>
        <w:outlineLvl w:val="0"/>
        <w:rPr>
          <w:rFonts w:ascii="仿宋" w:hAnsi="仿宋" w:eastAsia="仿宋"/>
          <w:sz w:val="28"/>
          <w:szCs w:val="28"/>
        </w:rPr>
      </w:pPr>
      <w:r>
        <w:rPr>
          <w:rFonts w:hint="eastAsia" w:ascii="仿宋" w:hAnsi="仿宋" w:eastAsia="仿宋"/>
          <w:b/>
          <w:color w:val="auto"/>
          <w:sz w:val="44"/>
          <w:szCs w:val="44"/>
        </w:rPr>
        <w:t>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widowControl w:val="0"/>
        <w:spacing w:after="0" w:line="500" w:lineRule="exact"/>
        <w:ind w:firstLine="480" w:firstLineChars="200"/>
        <w:rPr>
          <w:rFonts w:ascii="仿宋" w:hAnsi="仿宋" w:eastAsia="仿宋"/>
          <w:sz w:val="24"/>
          <w:szCs w:val="24"/>
        </w:rPr>
      </w:pPr>
      <w:r>
        <w:rPr>
          <w:rFonts w:hint="eastAsia" w:ascii="仿宋" w:hAnsi="仿宋" w:eastAsia="仿宋"/>
          <w:sz w:val="24"/>
          <w:szCs w:val="24"/>
        </w:rPr>
        <w:t>广州松田职业学院是经广东省人民政府批准设立，并报国家教育部备案的全日制普通高等职业学院，是中国教育集团（港股代码：00839）旗下的高校。本校从2007年开始招生，依托集团化办学优势，紧跟新一轮科技革命与产业变革，不断提高教育综合实力，办学规模逐步扩大。根据需要，对本次项目进行公开询价，欢迎国内合格参与人参与。</w:t>
      </w:r>
    </w:p>
    <w:p>
      <w:pPr>
        <w:spacing w:after="0" w:line="500" w:lineRule="exact"/>
        <w:ind w:firstLine="364" w:firstLineChars="152"/>
        <w:jc w:val="left"/>
        <w:rPr>
          <w:rFonts w:ascii="仿宋" w:hAnsi="仿宋" w:eastAsia="仿宋"/>
          <w:sz w:val="24"/>
          <w:szCs w:val="24"/>
        </w:rPr>
      </w:pPr>
      <w:r>
        <w:rPr>
          <w:rFonts w:hint="eastAsia" w:ascii="仿宋" w:hAnsi="仿宋" w:eastAsia="仿宋"/>
          <w:sz w:val="24"/>
          <w:szCs w:val="24"/>
        </w:rPr>
        <w:t>一、项目说明</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项目编号：</w:t>
      </w:r>
      <w:r>
        <w:rPr>
          <w:rFonts w:hint="eastAsia" w:ascii="仿宋" w:hAnsi="仿宋" w:eastAsia="仿宋"/>
          <w:color w:val="auto"/>
          <w:sz w:val="24"/>
          <w:szCs w:val="24"/>
        </w:rPr>
        <w:t>WZ-XJ202</w:t>
      </w:r>
      <w:r>
        <w:rPr>
          <w:rFonts w:hint="eastAsia" w:ascii="仿宋" w:hAnsi="仿宋" w:eastAsia="仿宋"/>
          <w:color w:val="auto"/>
          <w:sz w:val="24"/>
          <w:szCs w:val="24"/>
          <w:lang w:val="en-US" w:eastAsia="zh-CN"/>
        </w:rPr>
        <w:t>3-7</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项目名称：跨境电商沙盘软件采购</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数量及技术要求:详见《公开询价货物一览表》。</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参与人资格标准：</w:t>
      </w:r>
    </w:p>
    <w:p>
      <w:pPr>
        <w:pStyle w:val="57"/>
        <w:numPr>
          <w:ilvl w:val="0"/>
          <w:numId w:val="3"/>
        </w:numPr>
        <w:spacing w:after="0" w:line="460" w:lineRule="exact"/>
        <w:ind w:left="1380" w:firstLineChars="0"/>
        <w:rPr>
          <w:rFonts w:ascii="仿宋" w:hAnsi="仿宋" w:eastAsia="仿宋"/>
          <w:sz w:val="24"/>
          <w:szCs w:val="24"/>
        </w:rPr>
      </w:pPr>
      <w:r>
        <w:rPr>
          <w:rFonts w:hint="eastAsia" w:ascii="仿宋" w:hAnsi="仿宋" w:eastAsia="仿宋"/>
          <w:sz w:val="24"/>
          <w:szCs w:val="24"/>
        </w:rPr>
        <w:t>参与人应具有独立法人资格的供应商。</w:t>
      </w:r>
    </w:p>
    <w:p>
      <w:pPr>
        <w:pStyle w:val="57"/>
        <w:numPr>
          <w:ilvl w:val="0"/>
          <w:numId w:val="3"/>
        </w:numPr>
        <w:spacing w:after="0" w:line="460" w:lineRule="exact"/>
        <w:ind w:left="1380" w:firstLineChars="0"/>
        <w:rPr>
          <w:rFonts w:ascii="仿宋" w:hAnsi="仿宋" w:eastAsia="仿宋"/>
          <w:sz w:val="24"/>
          <w:szCs w:val="24"/>
        </w:rPr>
      </w:pPr>
      <w:r>
        <w:rPr>
          <w:rFonts w:hint="eastAsia" w:ascii="仿宋" w:hAnsi="仿宋" w:eastAsia="仿宋"/>
          <w:sz w:val="24"/>
          <w:szCs w:val="24"/>
        </w:rPr>
        <w:t>参与人应具有提供跨境电商沙盘软件和服务的资格及能力。在广州或送货地范围有固定售后服务机构，具备相应的质量保证和维护能力。</w:t>
      </w:r>
    </w:p>
    <w:p>
      <w:pPr>
        <w:pStyle w:val="57"/>
        <w:numPr>
          <w:ilvl w:val="0"/>
          <w:numId w:val="3"/>
        </w:numPr>
        <w:spacing w:after="0" w:line="460" w:lineRule="exact"/>
        <w:ind w:left="1380" w:firstLineChars="0"/>
        <w:rPr>
          <w:rFonts w:ascii="仿宋" w:hAnsi="仿宋" w:eastAsia="仿宋"/>
          <w:sz w:val="24"/>
          <w:szCs w:val="24"/>
        </w:rPr>
      </w:pPr>
      <w:r>
        <w:rPr>
          <w:rFonts w:hint="eastAsia" w:ascii="仿宋" w:hAnsi="仿宋" w:eastAsia="仿宋"/>
          <w:sz w:val="24"/>
          <w:szCs w:val="24"/>
        </w:rPr>
        <w:t>参与人应遵守中国的有关法律、法规和规章的规定。参与人应遵守中国的有关法律、法规和规章的规定。</w:t>
      </w:r>
    </w:p>
    <w:p>
      <w:pPr>
        <w:pStyle w:val="57"/>
        <w:numPr>
          <w:ilvl w:val="0"/>
          <w:numId w:val="3"/>
        </w:numPr>
        <w:spacing w:after="0" w:line="460" w:lineRule="exact"/>
        <w:ind w:left="1380" w:firstLineChars="0"/>
        <w:rPr>
          <w:rFonts w:ascii="仿宋" w:hAnsi="仿宋" w:eastAsia="仿宋"/>
          <w:sz w:val="24"/>
          <w:szCs w:val="24"/>
        </w:rPr>
      </w:pPr>
      <w:r>
        <w:rPr>
          <w:rFonts w:hint="eastAsia" w:ascii="仿宋" w:hAnsi="仿宋" w:eastAsia="仿宋"/>
          <w:sz w:val="24"/>
          <w:szCs w:val="24"/>
        </w:rPr>
        <w:t>参与人须有良好的商业信誉和健全的财务制度。</w:t>
      </w:r>
    </w:p>
    <w:p>
      <w:pPr>
        <w:pStyle w:val="57"/>
        <w:numPr>
          <w:ilvl w:val="0"/>
          <w:numId w:val="3"/>
        </w:numPr>
        <w:spacing w:after="0" w:line="460" w:lineRule="exact"/>
        <w:ind w:left="1380" w:firstLineChars="0"/>
        <w:rPr>
          <w:rFonts w:ascii="仿宋" w:hAnsi="仿宋" w:eastAsia="仿宋"/>
          <w:sz w:val="24"/>
          <w:szCs w:val="24"/>
        </w:rPr>
      </w:pPr>
      <w:r>
        <w:rPr>
          <w:rFonts w:hint="eastAsia" w:ascii="仿宋" w:hAnsi="仿宋" w:eastAsia="仿宋"/>
          <w:sz w:val="24"/>
          <w:szCs w:val="24"/>
        </w:rPr>
        <w:t>参与人有依法缴纳税金和社会保障资金的良好记录。</w:t>
      </w:r>
    </w:p>
    <w:p>
      <w:pPr>
        <w:widowControl w:val="0"/>
        <w:numPr>
          <w:ilvl w:val="1"/>
          <w:numId w:val="2"/>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报价响应文件递交方式：密封报价，按规定时间送达可邮寄。</w:t>
      </w:r>
    </w:p>
    <w:p>
      <w:pPr>
        <w:widowControl w:val="0"/>
        <w:numPr>
          <w:ilvl w:val="1"/>
          <w:numId w:val="2"/>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报价响应文件递交截止时间</w:t>
      </w:r>
      <w:r>
        <w:rPr>
          <w:rFonts w:hint="eastAsia" w:ascii="仿宋" w:hAnsi="仿宋" w:eastAsia="仿宋"/>
          <w:color w:val="auto"/>
          <w:sz w:val="24"/>
          <w:szCs w:val="24"/>
          <w:shd w:val="clear" w:color="auto" w:fill="FFFFFF"/>
        </w:rPr>
        <w:t>：202</w:t>
      </w:r>
      <w:r>
        <w:rPr>
          <w:rFonts w:hint="eastAsia" w:ascii="仿宋" w:hAnsi="仿宋" w:eastAsia="仿宋"/>
          <w:color w:val="auto"/>
          <w:sz w:val="24"/>
          <w:szCs w:val="24"/>
          <w:shd w:val="clear" w:color="auto" w:fill="FFFFFF"/>
          <w:lang w:val="en-US" w:eastAsia="zh-CN"/>
        </w:rPr>
        <w:t>3</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03</w:t>
      </w:r>
      <w:r>
        <w:rPr>
          <w:rFonts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28</w:t>
      </w:r>
      <w:r>
        <w:rPr>
          <w:rFonts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lang w:val="en-US" w:eastAsia="zh-CN"/>
        </w:rPr>
        <w:t>上</w:t>
      </w:r>
      <w:r>
        <w:rPr>
          <w:rFonts w:hint="eastAsia" w:ascii="仿宋" w:hAnsi="仿宋" w:eastAsia="仿宋"/>
          <w:color w:val="auto"/>
          <w:sz w:val="24"/>
          <w:szCs w:val="24"/>
          <w:shd w:val="clear" w:color="auto" w:fill="FFFFFF"/>
        </w:rPr>
        <w:t>午</w:t>
      </w:r>
      <w:r>
        <w:rPr>
          <w:rFonts w:hint="eastAsia" w:ascii="仿宋" w:hAnsi="仿宋" w:eastAsia="仿宋"/>
          <w:color w:val="auto"/>
          <w:sz w:val="24"/>
          <w:szCs w:val="24"/>
          <w:shd w:val="clear" w:color="auto" w:fill="FFFFFF"/>
          <w:lang w:val="en-US" w:eastAsia="zh-CN"/>
        </w:rPr>
        <w:t>12</w:t>
      </w:r>
      <w:r>
        <w:rPr>
          <w:rFonts w:hint="eastAsia" w:ascii="仿宋" w:hAnsi="仿宋" w:eastAsia="仿宋"/>
          <w:color w:val="auto"/>
          <w:sz w:val="24"/>
          <w:szCs w:val="24"/>
          <w:shd w:val="clear" w:color="auto" w:fill="FFFFFF"/>
        </w:rPr>
        <w:t>:00前。</w:t>
      </w:r>
    </w:p>
    <w:p>
      <w:pPr>
        <w:pStyle w:val="57"/>
        <w:numPr>
          <w:ilvl w:val="1"/>
          <w:numId w:val="2"/>
        </w:numPr>
        <w:spacing w:after="0" w:line="500" w:lineRule="exact"/>
        <w:ind w:firstLineChars="0"/>
        <w:rPr>
          <w:rFonts w:ascii="仿宋" w:hAnsi="仿宋" w:eastAsia="仿宋"/>
          <w:sz w:val="24"/>
          <w:szCs w:val="24"/>
        </w:rPr>
      </w:pPr>
      <w:r>
        <w:rPr>
          <w:rFonts w:hint="eastAsia" w:ascii="仿宋" w:hAnsi="仿宋" w:eastAsia="仿宋"/>
          <w:sz w:val="24"/>
          <w:szCs w:val="24"/>
        </w:rPr>
        <w:t>报价响应文件递交地点：广州市白云区钟落潭镇九佛西路280号慎思苑5号负一</w:t>
      </w:r>
      <w:r>
        <w:rPr>
          <w:rFonts w:hint="eastAsia" w:ascii="仿宋" w:hAnsi="仿宋" w:eastAsia="仿宋"/>
          <w:sz w:val="24"/>
          <w:szCs w:val="24"/>
          <w:lang w:val="en-US" w:eastAsia="zh-CN"/>
        </w:rPr>
        <w:t>楼招标采购中心</w:t>
      </w:r>
      <w:r>
        <w:rPr>
          <w:rFonts w:hint="eastAsia" w:ascii="仿宋" w:hAnsi="仿宋" w:eastAsia="仿宋"/>
          <w:sz w:val="24"/>
          <w:szCs w:val="24"/>
        </w:rPr>
        <w:t>。</w:t>
      </w:r>
    </w:p>
    <w:p>
      <w:pPr>
        <w:pStyle w:val="57"/>
        <w:spacing w:after="0" w:line="500" w:lineRule="exact"/>
        <w:ind w:left="839" w:firstLine="0" w:firstLineChars="0"/>
        <w:rPr>
          <w:rFonts w:hint="default" w:ascii="仿宋" w:hAnsi="仿宋" w:eastAsia="仿宋"/>
          <w:sz w:val="24"/>
          <w:szCs w:val="24"/>
          <w:lang w:val="en-US" w:eastAsia="zh-CN"/>
        </w:rPr>
      </w:pPr>
      <w:r>
        <w:rPr>
          <w:rFonts w:hint="eastAsia" w:ascii="仿宋" w:hAnsi="仿宋" w:eastAsia="仿宋"/>
          <w:sz w:val="24"/>
          <w:szCs w:val="24"/>
        </w:rPr>
        <w:t>联系人：</w:t>
      </w:r>
      <w:r>
        <w:rPr>
          <w:rFonts w:hint="eastAsia" w:ascii="仿宋" w:hAnsi="仿宋" w:eastAsia="仿宋"/>
          <w:sz w:val="24"/>
          <w:szCs w:val="24"/>
          <w:lang w:val="en-US" w:eastAsia="zh-CN"/>
        </w:rPr>
        <w:t>余彩虹</w:t>
      </w:r>
      <w:r>
        <w:rPr>
          <w:rFonts w:hint="eastAsia" w:ascii="仿宋" w:hAnsi="仿宋" w:eastAsia="仿宋"/>
          <w:sz w:val="24"/>
          <w:szCs w:val="24"/>
        </w:rPr>
        <w:t>；联系电话：</w:t>
      </w:r>
      <w:r>
        <w:rPr>
          <w:rFonts w:hint="eastAsia" w:ascii="仿宋" w:hAnsi="仿宋" w:eastAsia="仿宋"/>
          <w:sz w:val="24"/>
          <w:szCs w:val="24"/>
          <w:lang w:val="en-US" w:eastAsia="zh-CN"/>
        </w:rPr>
        <w:t>13719285146</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参加本项目的参与人如对</w:t>
      </w:r>
      <w:r>
        <w:rPr>
          <w:rFonts w:hint="eastAsia" w:ascii="仿宋" w:hAnsi="仿宋" w:eastAsia="仿宋"/>
          <w:b/>
          <w:bCs/>
          <w:sz w:val="24"/>
          <w:szCs w:val="24"/>
        </w:rPr>
        <w:t>公开询价邀请函列示内容存有疑问的</w:t>
      </w:r>
      <w:r>
        <w:rPr>
          <w:rFonts w:hint="eastAsia" w:ascii="仿宋" w:hAnsi="仿宋" w:eastAsia="仿宋"/>
          <w:sz w:val="24"/>
          <w:szCs w:val="24"/>
        </w:rPr>
        <w:t>，请在报价响应文件递交截止之日前，将问题以书面形式（有效签署的原件并加盖公章）提交至学校业务对接人，联系人：</w:t>
      </w:r>
      <w:r>
        <w:rPr>
          <w:rFonts w:hint="eastAsia" w:ascii="仿宋" w:hAnsi="仿宋" w:eastAsia="仿宋"/>
          <w:sz w:val="24"/>
          <w:szCs w:val="24"/>
          <w:lang w:val="en-US" w:eastAsia="zh-CN"/>
        </w:rPr>
        <w:t>余彩虹</w:t>
      </w:r>
      <w:r>
        <w:rPr>
          <w:rFonts w:hint="eastAsia" w:ascii="仿宋" w:hAnsi="仿宋" w:eastAsia="仿宋"/>
          <w:sz w:val="24"/>
          <w:szCs w:val="24"/>
        </w:rPr>
        <w:t>，电话：</w:t>
      </w:r>
      <w:r>
        <w:rPr>
          <w:rFonts w:hint="eastAsia" w:ascii="仿宋" w:hAnsi="仿宋" w:eastAsia="仿宋"/>
          <w:sz w:val="24"/>
          <w:szCs w:val="24"/>
          <w:lang w:val="en-US" w:eastAsia="zh-CN"/>
        </w:rPr>
        <w:t>13719285146</w:t>
      </w:r>
      <w:r>
        <w:rPr>
          <w:rFonts w:hint="eastAsia" w:ascii="仿宋" w:hAnsi="仿宋" w:eastAsia="仿宋"/>
          <w:sz w:val="24"/>
          <w:szCs w:val="24"/>
        </w:rPr>
        <w:t>。采购人不对超时提交及未加盖公章的质疑文件进行回复。</w:t>
      </w:r>
    </w:p>
    <w:p>
      <w:pPr>
        <w:widowControl w:val="0"/>
        <w:numPr>
          <w:ilvl w:val="1"/>
          <w:numId w:val="2"/>
        </w:numPr>
        <w:spacing w:after="0" w:line="460" w:lineRule="exact"/>
        <w:rPr>
          <w:rFonts w:ascii="仿宋" w:hAnsi="仿宋" w:eastAsia="仿宋"/>
          <w:sz w:val="24"/>
          <w:szCs w:val="24"/>
        </w:rPr>
      </w:pPr>
      <w:bookmarkStart w:id="49" w:name="_Hlk97917519"/>
      <w:r>
        <w:rPr>
          <w:rFonts w:hint="eastAsia" w:ascii="仿宋" w:hAnsi="仿宋" w:eastAsia="仿宋"/>
          <w:sz w:val="24"/>
          <w:szCs w:val="24"/>
        </w:rPr>
        <w:t>参加本项目的参与人如对</w:t>
      </w:r>
      <w:r>
        <w:rPr>
          <w:rFonts w:hint="eastAsia" w:ascii="仿宋" w:hAnsi="仿宋" w:eastAsia="仿宋"/>
          <w:b/>
          <w:bCs/>
          <w:sz w:val="24"/>
          <w:szCs w:val="24"/>
        </w:rPr>
        <w:t>采购过程和成交结果有异议的，</w:t>
      </w:r>
      <w:bookmarkEnd w:id="49"/>
      <w:r>
        <w:rPr>
          <w:rFonts w:hint="eastAsia" w:ascii="仿宋" w:hAnsi="仿宋" w:eastAsia="仿宋"/>
          <w:sz w:val="24"/>
          <w:szCs w:val="24"/>
        </w:rPr>
        <w:t>请以书面形式（有效签署的原件并加盖公章），并附有相关的证据材料，提交至集团</w:t>
      </w:r>
      <w:r>
        <w:rPr>
          <w:rFonts w:hint="eastAsia" w:ascii="仿宋" w:hAnsi="仿宋" w:eastAsia="仿宋"/>
          <w:sz w:val="24"/>
          <w:szCs w:val="24"/>
          <w:lang w:val="en-US" w:eastAsia="zh-CN"/>
        </w:rPr>
        <w:t>监审</w:t>
      </w:r>
      <w:r>
        <w:rPr>
          <w:rFonts w:hint="eastAsia" w:ascii="仿宋" w:hAnsi="仿宋" w:eastAsia="仿宋"/>
          <w:sz w:val="24"/>
          <w:szCs w:val="24"/>
        </w:rPr>
        <w:t>部。</w:t>
      </w:r>
    </w:p>
    <w:p>
      <w:pPr>
        <w:widowControl w:val="0"/>
        <w:tabs>
          <w:tab w:val="left" w:pos="839"/>
        </w:tabs>
        <w:spacing w:after="0" w:line="460" w:lineRule="exact"/>
        <w:ind w:left="839"/>
        <w:rPr>
          <w:rFonts w:ascii="仿宋" w:hAnsi="仿宋" w:eastAsia="仿宋"/>
          <w:sz w:val="24"/>
          <w:szCs w:val="24"/>
        </w:rPr>
      </w:pPr>
      <w:r>
        <w:rPr>
          <w:rFonts w:hint="eastAsia" w:ascii="仿宋" w:hAnsi="仿宋" w:eastAsia="仿宋"/>
          <w:sz w:val="24"/>
          <w:szCs w:val="24"/>
        </w:rPr>
        <w:t>投诉受理部门：中教集团</w:t>
      </w:r>
      <w:r>
        <w:rPr>
          <w:rFonts w:hint="eastAsia" w:ascii="仿宋" w:hAnsi="仿宋" w:eastAsia="仿宋"/>
          <w:sz w:val="24"/>
          <w:szCs w:val="24"/>
          <w:lang w:val="en-US" w:eastAsia="zh-CN"/>
        </w:rPr>
        <w:t>监审部</w:t>
      </w:r>
      <w:r>
        <w:rPr>
          <w:rFonts w:hint="eastAsia" w:ascii="仿宋" w:hAnsi="仿宋" w:eastAsia="仿宋"/>
          <w:sz w:val="24"/>
          <w:szCs w:val="24"/>
        </w:rPr>
        <w:t>，投诉电话： 0791-88106510 /0791-88102608</w:t>
      </w:r>
    </w:p>
    <w:p>
      <w:pPr>
        <w:widowControl w:val="0"/>
        <w:tabs>
          <w:tab w:val="left" w:pos="839"/>
        </w:tabs>
        <w:spacing w:after="0" w:line="460" w:lineRule="exact"/>
        <w:ind w:left="420"/>
        <w:rPr>
          <w:rFonts w:ascii="仿宋" w:hAnsi="仿宋" w:eastAsia="仿宋"/>
          <w:b/>
          <w:bCs/>
          <w:sz w:val="24"/>
          <w:szCs w:val="24"/>
        </w:rPr>
      </w:pPr>
      <w:r>
        <w:rPr>
          <w:rFonts w:hint="eastAsia" w:ascii="仿宋" w:hAnsi="仿宋" w:eastAsia="仿宋"/>
          <w:sz w:val="24"/>
          <w:szCs w:val="24"/>
        </w:rPr>
        <w:t>二、参与人须知</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所有物品均以人民币报价。</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供方物品需配送到</w:t>
      </w:r>
      <w:r>
        <w:rPr>
          <w:rFonts w:hint="eastAsia" w:ascii="仿宋" w:hAnsi="仿宋" w:eastAsia="仿宋"/>
          <w:color w:val="auto"/>
          <w:sz w:val="24"/>
          <w:szCs w:val="24"/>
          <w:lang w:val="en-US" w:eastAsia="zh-CN"/>
        </w:rPr>
        <w:t>广州松田职业学院实训大楼s2-406</w:t>
      </w:r>
      <w:r>
        <w:rPr>
          <w:rFonts w:hint="eastAsia" w:ascii="仿宋" w:hAnsi="仿宋" w:eastAsia="仿宋"/>
          <w:color w:val="auto"/>
          <w:sz w:val="24"/>
          <w:szCs w:val="24"/>
        </w:rPr>
        <w:t>。</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numPr>
          <w:ilvl w:val="1"/>
          <w:numId w:val="4"/>
        </w:numPr>
        <w:spacing w:after="0" w:line="500" w:lineRule="exact"/>
        <w:rPr>
          <w:rFonts w:hint="default" w:eastAsia="仿宋"/>
          <w:lang w:val="en-US" w:eastAsia="zh-CN"/>
        </w:rPr>
      </w:pPr>
      <w:r>
        <w:rPr>
          <w:rFonts w:hint="eastAsia" w:ascii="仿宋" w:hAnsi="仿宋" w:eastAsia="仿宋"/>
          <w:sz w:val="24"/>
          <w:szCs w:val="24"/>
        </w:rPr>
        <w:t>报价响应文件用不退色墨水书写或打印，因字迹潦草或表达不清所引起的后果由参与人自负；</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报价响应文件提供正本：一份，副本：两份；响应文件封面应标明“正本”、“副本”字样。正本与副本如有不一致，则以正本为准。</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一个参与人只能提交一个报价响应文件。但如果参与人之间存在下列互为关联关系情形之一的，不得同时参加本项目报价：</w:t>
      </w:r>
    </w:p>
    <w:p>
      <w:pPr>
        <w:widowControl w:val="0"/>
        <w:numPr>
          <w:ilvl w:val="0"/>
          <w:numId w:val="5"/>
        </w:numPr>
        <w:spacing w:after="0" w:line="500" w:lineRule="exact"/>
        <w:ind w:left="770" w:leftChars="350"/>
        <w:rPr>
          <w:rFonts w:ascii="仿宋" w:hAnsi="仿宋" w:eastAsia="仿宋"/>
          <w:sz w:val="24"/>
          <w:szCs w:val="24"/>
        </w:rPr>
      </w:pPr>
      <w:r>
        <w:rPr>
          <w:rFonts w:hint="eastAsia" w:ascii="仿宋" w:hAnsi="仿宋" w:eastAsia="仿宋"/>
          <w:sz w:val="24"/>
          <w:szCs w:val="24"/>
        </w:rPr>
        <w:t>法定代表人为同一人的两个及两个以上法人；</w:t>
      </w:r>
    </w:p>
    <w:p>
      <w:pPr>
        <w:widowControl w:val="0"/>
        <w:numPr>
          <w:ilvl w:val="0"/>
          <w:numId w:val="5"/>
        </w:numPr>
        <w:spacing w:after="0" w:line="500" w:lineRule="exact"/>
        <w:ind w:left="770" w:leftChars="350"/>
        <w:rPr>
          <w:rFonts w:ascii="仿宋" w:hAnsi="仿宋" w:eastAsia="仿宋"/>
          <w:sz w:val="24"/>
          <w:szCs w:val="24"/>
        </w:rPr>
      </w:pPr>
      <w:r>
        <w:rPr>
          <w:rFonts w:hint="eastAsia" w:ascii="仿宋" w:hAnsi="仿宋" w:eastAsia="仿宋"/>
          <w:sz w:val="24"/>
          <w:szCs w:val="24"/>
        </w:rPr>
        <w:t>母公司、直接或间接持股50％及以上的被投资公司;</w:t>
      </w:r>
    </w:p>
    <w:p>
      <w:pPr>
        <w:widowControl w:val="0"/>
        <w:numPr>
          <w:ilvl w:val="0"/>
          <w:numId w:val="5"/>
        </w:numPr>
        <w:spacing w:after="0" w:line="500" w:lineRule="exact"/>
        <w:ind w:left="770" w:leftChars="350"/>
        <w:rPr>
          <w:rFonts w:ascii="仿宋" w:hAnsi="仿宋" w:eastAsia="仿宋"/>
          <w:sz w:val="24"/>
          <w:szCs w:val="24"/>
        </w:rPr>
      </w:pPr>
      <w:r>
        <w:rPr>
          <w:rFonts w:hint="eastAsia" w:ascii="仿宋" w:hAnsi="仿宋" w:eastAsia="仿宋"/>
          <w:sz w:val="24"/>
          <w:szCs w:val="24"/>
        </w:rPr>
        <w:t>均为同一家母公司直接或间接持股50％及以上的被投资公司。</w:t>
      </w:r>
    </w:p>
    <w:p>
      <w:pPr>
        <w:spacing w:after="0" w:line="500" w:lineRule="exact"/>
        <w:ind w:firstLine="364" w:firstLineChars="152"/>
        <w:jc w:val="left"/>
        <w:rPr>
          <w:rFonts w:ascii="仿宋" w:hAnsi="仿宋" w:eastAsia="仿宋"/>
          <w:sz w:val="24"/>
          <w:szCs w:val="24"/>
        </w:rPr>
      </w:pPr>
      <w:r>
        <w:rPr>
          <w:rFonts w:hint="eastAsia" w:ascii="仿宋" w:hAnsi="仿宋" w:eastAsia="仿宋"/>
          <w:sz w:val="24"/>
          <w:szCs w:val="24"/>
        </w:rPr>
        <w:t>三、质量及服务要求</w:t>
      </w:r>
    </w:p>
    <w:p>
      <w:pPr>
        <w:spacing w:after="0" w:line="500" w:lineRule="exact"/>
        <w:ind w:firstLine="364" w:firstLineChars="152"/>
        <w:jc w:val="left"/>
        <w:rPr>
          <w:rFonts w:ascii="仿宋" w:hAnsi="仿宋" w:eastAsia="仿宋"/>
          <w:sz w:val="24"/>
          <w:szCs w:val="24"/>
        </w:rPr>
      </w:pPr>
      <w:r>
        <w:rPr>
          <w:rFonts w:hint="eastAsia" w:ascii="仿宋" w:hAnsi="仿宋" w:eastAsia="仿宋"/>
          <w:sz w:val="24"/>
          <w:szCs w:val="24"/>
        </w:rPr>
        <w:t>1. 质保期不少于3年；</w:t>
      </w:r>
    </w:p>
    <w:p>
      <w:pPr>
        <w:widowControl w:val="0"/>
        <w:spacing w:after="0" w:line="500" w:lineRule="exact"/>
        <w:ind w:firstLine="360" w:firstLineChars="150"/>
        <w:rPr>
          <w:rFonts w:ascii="仿宋" w:hAnsi="仿宋" w:eastAsia="仿宋"/>
          <w:sz w:val="24"/>
          <w:szCs w:val="24"/>
        </w:rPr>
      </w:pPr>
      <w:r>
        <w:rPr>
          <w:rFonts w:hint="eastAsia" w:ascii="仿宋" w:hAnsi="仿宋" w:eastAsia="仿宋"/>
          <w:sz w:val="24"/>
          <w:szCs w:val="24"/>
        </w:rPr>
        <w:t>2. 要求对所提供的货物免费送货上门、搬运上楼、安装培训调试等；</w:t>
      </w:r>
    </w:p>
    <w:p>
      <w:pPr>
        <w:widowControl w:val="0"/>
        <w:spacing w:after="0" w:line="500" w:lineRule="exact"/>
        <w:ind w:firstLine="360" w:firstLineChars="150"/>
        <w:rPr>
          <w:rFonts w:ascii="仿宋" w:hAnsi="仿宋" w:eastAsia="仿宋"/>
          <w:sz w:val="24"/>
          <w:szCs w:val="24"/>
        </w:rPr>
      </w:pPr>
      <w:r>
        <w:rPr>
          <w:rFonts w:hint="eastAsia" w:ascii="仿宋" w:hAnsi="仿宋" w:eastAsia="仿宋"/>
          <w:sz w:val="24"/>
          <w:szCs w:val="24"/>
        </w:rPr>
        <w:t>3. 要求对所提供的物品质量承诺无理由退换；</w:t>
      </w:r>
    </w:p>
    <w:p>
      <w:pPr>
        <w:spacing w:after="0" w:line="500" w:lineRule="exact"/>
        <w:ind w:firstLine="364" w:firstLineChars="152"/>
        <w:jc w:val="left"/>
        <w:rPr>
          <w:rFonts w:ascii="仿宋" w:hAnsi="仿宋" w:eastAsia="仿宋"/>
          <w:sz w:val="24"/>
          <w:szCs w:val="24"/>
        </w:rPr>
      </w:pPr>
      <w:r>
        <w:rPr>
          <w:rFonts w:hint="eastAsia" w:ascii="仿宋" w:hAnsi="仿宋" w:eastAsia="仿宋"/>
          <w:sz w:val="24"/>
          <w:szCs w:val="24"/>
        </w:rPr>
        <w:t>四、确定成交参与人标准及原则</w:t>
      </w:r>
    </w:p>
    <w:p>
      <w:pPr>
        <w:pStyle w:val="57"/>
        <w:numPr>
          <w:ilvl w:val="0"/>
          <w:numId w:val="6"/>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本项目为自有资金而非财政性资金采购，采购人按企业内部规定的标准进行评定</w:t>
      </w:r>
      <w:r>
        <w:rPr>
          <w:rFonts w:ascii="仿宋" w:hAnsi="仿宋" w:eastAsia="仿宋"/>
          <w:sz w:val="24"/>
          <w:szCs w:val="24"/>
        </w:rPr>
        <w:t xml:space="preserve"> </w:t>
      </w:r>
      <w:r>
        <w:rPr>
          <w:rFonts w:hint="eastAsia" w:ascii="仿宋" w:hAnsi="仿宋" w:eastAsia="仿宋"/>
          <w:sz w:val="24"/>
          <w:szCs w:val="24"/>
        </w:rPr>
        <w:t>。</w:t>
      </w:r>
    </w:p>
    <w:p>
      <w:pPr>
        <w:pStyle w:val="57"/>
        <w:numPr>
          <w:ilvl w:val="0"/>
          <w:numId w:val="6"/>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参与人所投产品符合需求、质量和服务等的要求,经过磋商所报价格为合理价格的参与人为成交参与人。</w:t>
      </w:r>
    </w:p>
    <w:p>
      <w:pPr>
        <w:pStyle w:val="57"/>
        <w:numPr>
          <w:ilvl w:val="0"/>
          <w:numId w:val="6"/>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最低报价不作为成交的保证。</w:t>
      </w:r>
    </w:p>
    <w:p>
      <w:pPr>
        <w:pStyle w:val="57"/>
        <w:spacing w:after="0" w:line="500" w:lineRule="exact"/>
        <w:ind w:firstLine="480"/>
        <w:jc w:val="right"/>
        <w:rPr>
          <w:rFonts w:ascii="仿宋" w:hAnsi="仿宋" w:eastAsia="仿宋"/>
          <w:sz w:val="24"/>
          <w:szCs w:val="24"/>
        </w:rPr>
      </w:pPr>
      <w:r>
        <w:rPr>
          <w:rFonts w:hint="eastAsia" w:ascii="仿宋" w:hAnsi="仿宋" w:eastAsia="仿宋"/>
          <w:sz w:val="24"/>
          <w:szCs w:val="24"/>
        </w:rPr>
        <w:t>中教集团后勤部广东分部招标采购中心</w:t>
      </w:r>
    </w:p>
    <w:p>
      <w:pPr>
        <w:pStyle w:val="57"/>
        <w:spacing w:after="0" w:line="500" w:lineRule="exact"/>
        <w:ind w:left="7371" w:right="360" w:firstLine="0" w:firstLineChars="0"/>
        <w:jc w:val="right"/>
        <w:rPr>
          <w:rFonts w:ascii="仿宋" w:hAnsi="仿宋" w:eastAsia="仿宋"/>
          <w:color w:val="auto"/>
          <w:sz w:val="24"/>
          <w:szCs w:val="24"/>
        </w:rPr>
      </w:pPr>
      <w:r>
        <w:rPr>
          <w:rFonts w:hint="eastAsia" w:ascii="仿宋" w:hAnsi="仿宋" w:eastAsia="仿宋"/>
          <w:color w:val="auto"/>
          <w:sz w:val="24"/>
          <w:szCs w:val="24"/>
        </w:rPr>
        <w:t>202</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03</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17</w:t>
      </w:r>
      <w:r>
        <w:rPr>
          <w:rFonts w:hint="eastAsia" w:ascii="仿宋" w:hAnsi="仿宋" w:eastAsia="仿宋"/>
          <w:color w:val="auto"/>
          <w:sz w:val="24"/>
          <w:szCs w:val="24"/>
        </w:rPr>
        <w:t>日</w:t>
      </w:r>
    </w:p>
    <w:p>
      <w:pPr>
        <w:pStyle w:val="57"/>
        <w:spacing w:after="0" w:line="500" w:lineRule="exact"/>
        <w:ind w:left="851" w:firstLine="0" w:firstLineChars="0"/>
        <w:rPr>
          <w:rFonts w:ascii="仿宋" w:hAnsi="仿宋" w:eastAsia="仿宋"/>
          <w:b/>
          <w:sz w:val="44"/>
          <w:szCs w:val="44"/>
        </w:rPr>
      </w:pPr>
      <w:r>
        <w:rPr>
          <w:rFonts w:ascii="仿宋" w:hAnsi="仿宋" w:eastAsia="仿宋"/>
          <w:sz w:val="28"/>
          <w:szCs w:val="28"/>
        </w:rPr>
        <w:br w:type="page"/>
      </w:r>
      <w:r>
        <w:rPr>
          <w:rFonts w:hint="eastAsia" w:ascii="仿宋" w:hAnsi="仿宋" w:eastAsia="仿宋"/>
          <w:sz w:val="28"/>
          <w:szCs w:val="28"/>
        </w:rPr>
        <w:t xml:space="preserve">               </w:t>
      </w:r>
      <w:r>
        <w:rPr>
          <w:rFonts w:hint="eastAsia" w:ascii="仿宋" w:hAnsi="仿宋" w:eastAsia="仿宋"/>
          <w:b/>
          <w:sz w:val="44"/>
          <w:szCs w:val="44"/>
        </w:rPr>
        <w:t>公开询价货物一览表</w:t>
      </w:r>
      <w:bookmarkEnd w:id="0"/>
    </w:p>
    <w:p>
      <w:pPr>
        <w:pStyle w:val="57"/>
        <w:spacing w:after="0" w:line="240" w:lineRule="auto"/>
        <w:ind w:left="851" w:firstLine="0" w:firstLineChars="0"/>
        <w:jc w:val="right"/>
        <w:rPr>
          <w:rFonts w:asciiTheme="minorEastAsia" w:hAnsiTheme="minorEastAsia" w:cstheme="minorEastAsia"/>
          <w:b/>
          <w:sz w:val="24"/>
          <w:szCs w:val="24"/>
        </w:rPr>
      </w:pPr>
    </w:p>
    <w:tbl>
      <w:tblPr>
        <w:tblStyle w:val="25"/>
        <w:tblW w:w="48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1345"/>
        <w:gridCol w:w="3562"/>
        <w:gridCol w:w="585"/>
        <w:gridCol w:w="625"/>
        <w:gridCol w:w="847"/>
        <w:gridCol w:w="847"/>
        <w:gridCol w:w="843"/>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1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sz w:val="22"/>
                <w:szCs w:val="22"/>
              </w:rPr>
            </w:pPr>
            <w:r>
              <w:rPr>
                <w:rFonts w:hint="eastAsia" w:ascii="仿宋" w:hAnsi="仿宋" w:eastAsia="仿宋" w:cs="Tahoma"/>
                <w:b/>
                <w:bCs/>
                <w:color w:val="000000"/>
                <w:sz w:val="22"/>
                <w:szCs w:val="22"/>
              </w:rPr>
              <w:t>序号</w:t>
            </w:r>
          </w:p>
        </w:tc>
        <w:tc>
          <w:tcPr>
            <w:tcW w:w="687"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sz w:val="22"/>
                <w:szCs w:val="22"/>
              </w:rPr>
            </w:pPr>
            <w:r>
              <w:rPr>
                <w:rFonts w:hint="eastAsia" w:ascii="仿宋" w:hAnsi="仿宋" w:eastAsia="仿宋" w:cs="Tahoma"/>
                <w:b/>
                <w:bCs/>
                <w:color w:val="000000"/>
                <w:sz w:val="22"/>
                <w:szCs w:val="22"/>
              </w:rPr>
              <w:t>设备名称</w:t>
            </w:r>
          </w:p>
        </w:tc>
        <w:tc>
          <w:tcPr>
            <w:tcW w:w="182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sz w:val="22"/>
                <w:szCs w:val="22"/>
              </w:rPr>
            </w:pPr>
            <w:bookmarkStart w:id="50" w:name="_Hlk78721021"/>
            <w:r>
              <w:rPr>
                <w:rFonts w:hint="eastAsia" w:ascii="仿宋" w:hAnsi="仿宋" w:eastAsia="仿宋" w:cs="Tahoma"/>
                <w:b/>
                <w:bCs/>
                <w:color w:val="000000"/>
                <w:sz w:val="22"/>
                <w:szCs w:val="22"/>
              </w:rPr>
              <w:t>规格型号（技术参数）</w:t>
            </w:r>
            <w:bookmarkEnd w:id="50"/>
          </w:p>
        </w:tc>
        <w:tc>
          <w:tcPr>
            <w:tcW w:w="2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sz w:val="22"/>
                <w:szCs w:val="22"/>
              </w:rPr>
            </w:pPr>
            <w:r>
              <w:rPr>
                <w:rFonts w:hint="eastAsia" w:ascii="仿宋" w:hAnsi="仿宋" w:eastAsia="仿宋" w:cs="Tahoma"/>
                <w:b/>
                <w:bCs/>
                <w:color w:val="000000"/>
                <w:sz w:val="22"/>
                <w:szCs w:val="22"/>
              </w:rPr>
              <w:t>单位</w:t>
            </w:r>
          </w:p>
        </w:tc>
        <w:tc>
          <w:tcPr>
            <w:tcW w:w="31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sz w:val="22"/>
                <w:szCs w:val="22"/>
              </w:rPr>
            </w:pPr>
            <w:r>
              <w:rPr>
                <w:rFonts w:hint="eastAsia" w:ascii="仿宋" w:hAnsi="仿宋" w:eastAsia="仿宋" w:cs="Tahoma"/>
                <w:b/>
                <w:bCs/>
                <w:color w:val="000000"/>
                <w:sz w:val="22"/>
                <w:szCs w:val="22"/>
              </w:rPr>
              <w:t>数量</w:t>
            </w:r>
          </w:p>
        </w:tc>
        <w:tc>
          <w:tcPr>
            <w:tcW w:w="432"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sz w:val="22"/>
                <w:szCs w:val="22"/>
              </w:rPr>
            </w:pPr>
            <w:r>
              <w:rPr>
                <w:rFonts w:hint="eastAsia" w:ascii="仿宋" w:hAnsi="仿宋" w:eastAsia="仿宋" w:cs="Tahoma"/>
                <w:b/>
                <w:bCs/>
                <w:color w:val="000000"/>
                <w:sz w:val="22"/>
                <w:szCs w:val="22"/>
              </w:rPr>
              <w:t>单价（元）</w:t>
            </w:r>
          </w:p>
        </w:tc>
        <w:tc>
          <w:tcPr>
            <w:tcW w:w="432"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sz w:val="22"/>
                <w:szCs w:val="22"/>
              </w:rPr>
            </w:pPr>
            <w:r>
              <w:rPr>
                <w:rFonts w:hint="eastAsia" w:ascii="仿宋" w:hAnsi="仿宋" w:eastAsia="仿宋" w:cs="Tahoma"/>
                <w:b/>
                <w:bCs/>
                <w:color w:val="000000"/>
                <w:sz w:val="22"/>
                <w:szCs w:val="22"/>
              </w:rPr>
              <w:t>总价（元）</w:t>
            </w:r>
          </w:p>
        </w:tc>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themeColor="text1"/>
                <w:sz w:val="22"/>
                <w:szCs w:val="22"/>
                <w14:textFill>
                  <w14:solidFill>
                    <w14:schemeClr w14:val="tx1"/>
                  </w14:solidFill>
                </w14:textFill>
              </w:rPr>
            </w:pPr>
            <w:r>
              <w:rPr>
                <w:rFonts w:hint="eastAsia" w:ascii="仿宋" w:hAnsi="仿宋" w:eastAsia="仿宋" w:cs="Tahoma"/>
                <w:b/>
                <w:bCs/>
                <w:color w:val="000000" w:themeColor="text1"/>
                <w:sz w:val="22"/>
                <w:szCs w:val="22"/>
                <w14:textFill>
                  <w14:solidFill>
                    <w14:schemeClr w14:val="tx1"/>
                  </w14:solidFill>
                </w14:textFill>
              </w:rPr>
              <w:t>是否提供样品</w:t>
            </w:r>
          </w:p>
        </w:tc>
        <w:tc>
          <w:tcPr>
            <w:tcW w:w="36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themeColor="text1"/>
                <w:sz w:val="22"/>
                <w:szCs w:val="22"/>
                <w14:textFill>
                  <w14:solidFill>
                    <w14:schemeClr w14:val="tx1"/>
                  </w14:solidFill>
                </w14:textFill>
              </w:rPr>
            </w:pPr>
            <w:r>
              <w:rPr>
                <w:rFonts w:hint="eastAsia" w:ascii="仿宋" w:hAnsi="仿宋" w:eastAsia="仿宋" w:cs="Tahoma"/>
                <w:b/>
                <w:bCs/>
                <w:color w:val="000000" w:themeColor="text1"/>
                <w:sz w:val="22"/>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10" w:type="pct"/>
            <w:tcBorders>
              <w:tl2br w:val="nil"/>
              <w:tr2bl w:val="nil"/>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color w:val="000000"/>
                <w:sz w:val="22"/>
                <w:szCs w:val="22"/>
              </w:rPr>
            </w:pPr>
            <w:r>
              <w:rPr>
                <w:rFonts w:hint="eastAsia" w:ascii="仿宋" w:hAnsi="仿宋" w:eastAsia="仿宋" w:cs="Tahoma"/>
                <w:color w:val="000000"/>
                <w:sz w:val="22"/>
                <w:szCs w:val="22"/>
              </w:rPr>
              <w:t>1</w:t>
            </w:r>
          </w:p>
        </w:tc>
        <w:tc>
          <w:tcPr>
            <w:tcW w:w="687"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center"/>
              <w:rPr>
                <w:rFonts w:ascii="仿宋" w:hAnsi="仿宋" w:eastAsia="仿宋" w:cs="仿宋"/>
                <w:color w:val="000000"/>
                <w:sz w:val="22"/>
                <w:szCs w:val="22"/>
              </w:rPr>
            </w:pPr>
            <w:r>
              <w:rPr>
                <w:rFonts w:hint="eastAsia" w:ascii="仿宋" w:hAnsi="仿宋" w:eastAsia="仿宋" w:cs="仿宋"/>
                <w:color w:val="000000"/>
                <w:sz w:val="22"/>
                <w:szCs w:val="22"/>
              </w:rPr>
              <w:t>跨境电商沙盘软件</w:t>
            </w:r>
          </w:p>
        </w:tc>
        <w:tc>
          <w:tcPr>
            <w:tcW w:w="1820" w:type="pct"/>
            <w:tcBorders>
              <w:tl2br w:val="nil"/>
              <w:tr2bl w:val="nil"/>
            </w:tcBorders>
            <w:shd w:val="clear" w:color="000000" w:fill="FFFFFF"/>
            <w:vAlign w:val="center"/>
          </w:tcPr>
          <w:p>
            <w:pPr>
              <w:pStyle w:val="14"/>
              <w:keepNext w:val="0"/>
              <w:keepLines w:val="0"/>
              <w:pageBreakBefore w:val="0"/>
              <w:widowControl/>
              <w:numPr>
                <w:ilvl w:val="0"/>
                <w:numId w:val="7"/>
              </w:numPr>
              <w:kinsoku/>
              <w:wordWrap/>
              <w:overflowPunct/>
              <w:topLinePunct w:val="0"/>
              <w:autoSpaceDE/>
              <w:autoSpaceDN/>
              <w:bidi w:val="0"/>
              <w:adjustRightInd/>
              <w:snapToGrid/>
              <w:spacing w:after="0" w:line="360" w:lineRule="exact"/>
              <w:ind w:leftChars="0"/>
              <w:jc w:val="both"/>
              <w:textAlignment w:val="auto"/>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系统为B/S结构，同时满足不少于200人教学；</w:t>
            </w:r>
          </w:p>
          <w:p>
            <w:pPr>
              <w:pStyle w:val="14"/>
              <w:keepNext w:val="0"/>
              <w:keepLines w:val="0"/>
              <w:pageBreakBefore w:val="0"/>
              <w:widowControl/>
              <w:numPr>
                <w:ilvl w:val="0"/>
                <w:numId w:val="7"/>
              </w:numPr>
              <w:kinsoku/>
              <w:wordWrap/>
              <w:overflowPunct/>
              <w:topLinePunct w:val="0"/>
              <w:autoSpaceDE/>
              <w:autoSpaceDN/>
              <w:bidi w:val="0"/>
              <w:adjustRightInd/>
              <w:snapToGrid/>
              <w:spacing w:after="0" w:line="360" w:lineRule="exact"/>
              <w:ind w:leftChars="0"/>
              <w:jc w:val="both"/>
              <w:textAlignment w:val="auto"/>
              <w:rPr>
                <w:rFonts w:hint="default"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涵盖市场定位、选品、采购、营销、客服、支付、仓储配送、结汇、退税等环节，形成完整的跨境电商运营链路。</w:t>
            </w:r>
          </w:p>
        </w:tc>
        <w:tc>
          <w:tcPr>
            <w:tcW w:w="2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hint="default"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套</w:t>
            </w:r>
          </w:p>
        </w:tc>
        <w:tc>
          <w:tcPr>
            <w:tcW w:w="31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ascii="仿宋" w:hAnsi="仿宋" w:eastAsia="仿宋" w:cs="仿宋"/>
                <w:color w:val="000000"/>
                <w:sz w:val="22"/>
                <w:szCs w:val="22"/>
              </w:rPr>
            </w:pPr>
            <w:r>
              <w:rPr>
                <w:rFonts w:hint="eastAsia" w:ascii="仿宋" w:hAnsi="仿宋" w:eastAsia="仿宋" w:cs="仿宋"/>
                <w:color w:val="000000"/>
                <w:sz w:val="22"/>
                <w:szCs w:val="22"/>
                <w:lang w:bidi="ar"/>
              </w:rPr>
              <w:t>1</w:t>
            </w:r>
          </w:p>
        </w:tc>
        <w:tc>
          <w:tcPr>
            <w:tcW w:w="432"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color w:val="000000"/>
                <w:sz w:val="22"/>
                <w:szCs w:val="22"/>
              </w:rPr>
            </w:pPr>
          </w:p>
        </w:tc>
        <w:tc>
          <w:tcPr>
            <w:tcW w:w="432"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color w:val="000000"/>
                <w:sz w:val="22"/>
                <w:szCs w:val="22"/>
              </w:rPr>
            </w:pPr>
          </w:p>
        </w:tc>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hint="default" w:ascii="仿宋" w:hAnsi="仿宋" w:eastAsia="仿宋" w:cs="Tahoma"/>
                <w:color w:val="000000" w:themeColor="text1"/>
                <w:sz w:val="22"/>
                <w:szCs w:val="22"/>
                <w:lang w:val="en-US" w:eastAsia="zh-CN"/>
                <w14:textFill>
                  <w14:solidFill>
                    <w14:schemeClr w14:val="tx1"/>
                  </w14:solidFill>
                </w14:textFill>
              </w:rPr>
            </w:pPr>
            <w:r>
              <w:rPr>
                <w:rFonts w:hint="eastAsia" w:ascii="仿宋" w:hAnsi="仿宋" w:eastAsia="仿宋" w:cs="Tahoma"/>
                <w:color w:val="000000" w:themeColor="text1"/>
                <w:sz w:val="22"/>
                <w:szCs w:val="22"/>
                <w:lang w:val="en-US" w:eastAsia="zh-CN"/>
                <w14:textFill>
                  <w14:solidFill>
                    <w14:schemeClr w14:val="tx1"/>
                  </w14:solidFill>
                </w14:textFill>
              </w:rPr>
              <w:t>演示</w:t>
            </w:r>
            <w:bookmarkStart w:id="183" w:name="_GoBack"/>
            <w:bookmarkEnd w:id="183"/>
          </w:p>
        </w:tc>
        <w:tc>
          <w:tcPr>
            <w:tcW w:w="36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3337" w:type="pct"/>
            <w:gridSpan w:val="5"/>
            <w:tcBorders>
              <w:tl2br w:val="nil"/>
              <w:tr2bl w:val="nil"/>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color w:val="000000"/>
                <w:sz w:val="22"/>
                <w:szCs w:val="22"/>
              </w:rPr>
            </w:pPr>
            <w:r>
              <w:rPr>
                <w:rFonts w:hint="eastAsia" w:ascii="仿宋" w:hAnsi="仿宋" w:eastAsia="仿宋" w:cs="Tahoma"/>
                <w:b/>
                <w:bCs/>
                <w:color w:val="000000"/>
                <w:sz w:val="22"/>
                <w:szCs w:val="22"/>
              </w:rPr>
              <w:t>合计</w:t>
            </w:r>
          </w:p>
        </w:tc>
        <w:tc>
          <w:tcPr>
            <w:tcW w:w="1662" w:type="pct"/>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color w:val="000000"/>
                <w:sz w:val="22"/>
                <w:szCs w:val="22"/>
              </w:rPr>
            </w:pPr>
          </w:p>
        </w:tc>
      </w:tr>
    </w:tbl>
    <w:p>
      <w:pPr>
        <w:spacing w:after="0" w:line="440" w:lineRule="exact"/>
        <w:rPr>
          <w:rFonts w:ascii="仿宋" w:hAnsi="仿宋" w:eastAsia="仿宋"/>
          <w:bCs/>
          <w:sz w:val="24"/>
          <w:szCs w:val="24"/>
        </w:rPr>
      </w:pPr>
      <w:r>
        <w:rPr>
          <w:rFonts w:hint="eastAsia" w:ascii="仿宋" w:hAnsi="仿宋" w:eastAsia="仿宋"/>
          <w:bCs/>
          <w:sz w:val="24"/>
          <w:szCs w:val="24"/>
        </w:rPr>
        <w:t>注：</w:t>
      </w:r>
    </w:p>
    <w:p>
      <w:pPr>
        <w:spacing w:after="0" w:line="440" w:lineRule="exact"/>
        <w:rPr>
          <w:rFonts w:ascii="仿宋" w:hAnsi="仿宋" w:eastAsia="仿宋"/>
          <w:bCs/>
          <w:sz w:val="24"/>
          <w:szCs w:val="24"/>
        </w:rPr>
      </w:pPr>
      <w:r>
        <w:rPr>
          <w:rFonts w:hint="eastAsia" w:ascii="仿宋" w:hAnsi="仿宋" w:eastAsia="仿宋"/>
          <w:bCs/>
          <w:sz w:val="24"/>
          <w:szCs w:val="24"/>
        </w:rPr>
        <w:t>1）本项目采用“公开询价”方式进行，《公开询价货物一览表》中所描述的“项目名称”、“</w:t>
      </w:r>
      <w:r>
        <w:rPr>
          <w:rFonts w:hint="eastAsia" w:ascii="仿宋" w:hAnsi="仿宋" w:eastAsia="仿宋"/>
          <w:bCs/>
          <w:sz w:val="24"/>
          <w:szCs w:val="24"/>
          <w:lang w:val="en-US" w:eastAsia="zh-CN"/>
        </w:rPr>
        <w:t>规格参数</w:t>
      </w:r>
      <w:r>
        <w:rPr>
          <w:rFonts w:hint="eastAsia" w:ascii="仿宋" w:hAnsi="仿宋" w:eastAsia="仿宋"/>
          <w:bCs/>
          <w:sz w:val="24"/>
          <w:szCs w:val="24"/>
        </w:rPr>
        <w:t>”等信息均为采购人根据自身需求提供的参考数据，除采购人特殊要求外，参与人可根据以上信息在满足采购人要求基础上提供优化方案及所匹配产品，采购人将优先选择性价比高且符合要求的产品。</w:t>
      </w:r>
    </w:p>
    <w:p>
      <w:pPr>
        <w:spacing w:after="0" w:line="440" w:lineRule="exact"/>
        <w:rPr>
          <w:rFonts w:ascii="仿宋" w:hAnsi="仿宋" w:eastAsia="仿宋"/>
          <w:bCs/>
          <w:sz w:val="24"/>
          <w:szCs w:val="24"/>
        </w:rPr>
      </w:pPr>
      <w:r>
        <w:rPr>
          <w:rFonts w:hint="eastAsia" w:ascii="仿宋" w:hAnsi="仿宋" w:eastAsia="仿宋"/>
          <w:bCs/>
          <w:sz w:val="24"/>
          <w:szCs w:val="24"/>
        </w:rPr>
        <w:t>2）参与人需要提供相关材料的品牌、规格型号等真实详细信息，禁止复制采购人所提供的参考参数。</w:t>
      </w:r>
    </w:p>
    <w:p>
      <w:pPr>
        <w:spacing w:after="0" w:line="440" w:lineRule="exact"/>
        <w:rPr>
          <w:rFonts w:ascii="仿宋" w:hAnsi="仿宋" w:eastAsia="仿宋"/>
          <w:bCs/>
          <w:sz w:val="24"/>
          <w:szCs w:val="24"/>
        </w:rPr>
      </w:pPr>
      <w:r>
        <w:rPr>
          <w:rFonts w:hint="eastAsia" w:ascii="仿宋" w:hAnsi="仿宋" w:eastAsia="仿宋"/>
          <w:bCs/>
          <w:sz w:val="24"/>
          <w:szCs w:val="24"/>
          <w:lang w:val="en-US" w:eastAsia="zh-CN"/>
        </w:rPr>
        <w:t>3</w:t>
      </w:r>
      <w:r>
        <w:rPr>
          <w:rFonts w:hint="eastAsia" w:ascii="仿宋" w:hAnsi="仿宋" w:eastAsia="仿宋"/>
          <w:bCs/>
          <w:sz w:val="24"/>
          <w:szCs w:val="24"/>
        </w:rPr>
        <w:t>）参与人所投商品报价应包含税费、整体实施、安装调试费、</w:t>
      </w:r>
      <w:r>
        <w:rPr>
          <w:rFonts w:hint="eastAsia" w:ascii="仿宋" w:hAnsi="仿宋" w:eastAsia="仿宋"/>
          <w:bCs/>
          <w:sz w:val="24"/>
          <w:szCs w:val="24"/>
          <w:lang w:val="en-US" w:eastAsia="zh-CN"/>
        </w:rPr>
        <w:t>培训费、</w:t>
      </w:r>
      <w:r>
        <w:rPr>
          <w:rFonts w:hint="eastAsia" w:ascii="仿宋" w:hAnsi="仿宋" w:eastAsia="仿宋"/>
          <w:bCs/>
          <w:sz w:val="24"/>
          <w:szCs w:val="24"/>
        </w:rPr>
        <w:t>售后服务等一切费用，供方需开具全额增值发票。</w:t>
      </w:r>
    </w:p>
    <w:p>
      <w:pPr>
        <w:spacing w:after="0" w:line="440" w:lineRule="exact"/>
        <w:rPr>
          <w:rFonts w:hint="eastAsia" w:ascii="仿宋" w:hAnsi="仿宋" w:eastAsia="仿宋"/>
          <w:bCs/>
          <w:color w:val="000000" w:themeColor="text1"/>
          <w:sz w:val="24"/>
          <w:szCs w:val="24"/>
          <w14:textFill>
            <w14:solidFill>
              <w14:schemeClr w14:val="tx1"/>
            </w14:solidFill>
          </w14:textFill>
        </w:rPr>
      </w:pPr>
      <w:r>
        <w:rPr>
          <w:rFonts w:hint="eastAsia" w:ascii="仿宋" w:hAnsi="仿宋" w:eastAsia="仿宋"/>
          <w:bCs/>
          <w:sz w:val="24"/>
          <w:szCs w:val="24"/>
          <w:lang w:val="en-US" w:eastAsia="zh-CN"/>
        </w:rPr>
        <w:t>4</w:t>
      </w:r>
      <w:r>
        <w:rPr>
          <w:rFonts w:hint="eastAsia" w:ascii="仿宋" w:hAnsi="仿宋" w:eastAsia="仿宋"/>
          <w:bCs/>
          <w:sz w:val="24"/>
          <w:szCs w:val="24"/>
        </w:rPr>
        <w:t>）供方须对所供的产品质量问题承诺无理由退换，报价注明产品质保期。</w:t>
      </w:r>
    </w:p>
    <w:p>
      <w:pPr>
        <w:spacing w:after="0" w:line="440" w:lineRule="exact"/>
        <w:rPr>
          <w:rFonts w:hint="eastAsia"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lang w:val="en-US" w:eastAsia="zh-CN"/>
          <w14:textFill>
            <w14:solidFill>
              <w14:schemeClr w14:val="tx1"/>
            </w14:solidFill>
          </w14:textFill>
        </w:rPr>
        <w:t>5</w:t>
      </w:r>
      <w:r>
        <w:rPr>
          <w:rFonts w:hint="eastAsia" w:ascii="仿宋" w:hAnsi="仿宋" w:eastAsia="仿宋"/>
          <w:bCs/>
          <w:color w:val="000000" w:themeColor="text1"/>
          <w:sz w:val="24"/>
          <w:szCs w:val="24"/>
          <w14:textFill>
            <w14:solidFill>
              <w14:schemeClr w14:val="tx1"/>
            </w14:solidFill>
          </w14:textFill>
        </w:rPr>
        <w:t>)</w:t>
      </w:r>
      <w:r>
        <w:rPr>
          <w:rFonts w:hint="eastAsia" w:ascii="仿宋" w:hAnsi="仿宋" w:eastAsia="仿宋"/>
          <w:bCs/>
          <w:color w:val="000000" w:themeColor="text1"/>
          <w:sz w:val="24"/>
          <w:szCs w:val="24"/>
          <w:lang w:val="en-US" w:eastAsia="zh-CN"/>
          <w14:textFill>
            <w14:solidFill>
              <w14:schemeClr w14:val="tx1"/>
            </w14:solidFill>
          </w14:textFill>
        </w:rPr>
        <w:t xml:space="preserve"> </w:t>
      </w:r>
      <w:r>
        <w:rPr>
          <w:rFonts w:hint="eastAsia" w:ascii="仿宋" w:hAnsi="仿宋" w:eastAsia="仿宋"/>
          <w:bCs/>
          <w:color w:val="000000" w:themeColor="text1"/>
          <w:sz w:val="24"/>
          <w:szCs w:val="24"/>
          <w14:textFill>
            <w14:solidFill>
              <w14:schemeClr w14:val="tx1"/>
            </w14:solidFill>
          </w14:textFill>
        </w:rPr>
        <w:t>付款方式：</w:t>
      </w:r>
      <w:r>
        <w:rPr>
          <w:rFonts w:hint="eastAsia" w:ascii="仿宋" w:hAnsi="仿宋" w:eastAsia="仿宋"/>
          <w:bCs/>
          <w:color w:val="000000" w:themeColor="text1"/>
          <w:sz w:val="24"/>
          <w:szCs w:val="24"/>
          <w:lang w:val="en-US" w:eastAsia="zh-CN"/>
          <w14:textFill>
            <w14:solidFill>
              <w14:schemeClr w14:val="tx1"/>
            </w14:solidFill>
          </w14:textFill>
        </w:rPr>
        <w:t>平台</w:t>
      </w:r>
      <w:r>
        <w:rPr>
          <w:rFonts w:hint="eastAsia" w:ascii="仿宋" w:hAnsi="仿宋" w:eastAsia="仿宋"/>
          <w:bCs/>
          <w:color w:val="000000" w:themeColor="text1"/>
          <w:sz w:val="24"/>
          <w:szCs w:val="24"/>
          <w14:textFill>
            <w14:solidFill>
              <w14:schemeClr w14:val="tx1"/>
            </w14:solidFill>
          </w14:textFill>
        </w:rPr>
        <w:t>安装完成正常使用一个月后进行验收，验收合格并收到全额发票后二十个工作日内支付合同金额95% ，余款5%作为质保金在验收合格日算起一年后经二次验收合格后无息支付。</w:t>
      </w:r>
    </w:p>
    <w:p>
      <w:pPr>
        <w:spacing w:after="0" w:line="440" w:lineRule="exact"/>
        <w:rPr>
          <w:rFonts w:hint="eastAsia" w:ascii="仿宋" w:hAnsi="仿宋" w:eastAsia="仿宋"/>
          <w:bCs/>
          <w:color w:val="000000" w:themeColor="text1"/>
          <w:sz w:val="24"/>
          <w:szCs w:val="24"/>
          <w:lang w:val="en-US" w:eastAsia="zh-CN"/>
          <w14:textFill>
            <w14:solidFill>
              <w14:schemeClr w14:val="tx1"/>
            </w14:solidFill>
          </w14:textFill>
        </w:rPr>
      </w:pPr>
      <w:r>
        <w:rPr>
          <w:rFonts w:hint="eastAsia" w:ascii="仿宋" w:hAnsi="仿宋" w:eastAsia="仿宋"/>
          <w:bCs/>
          <w:color w:val="000000" w:themeColor="text1"/>
          <w:sz w:val="24"/>
          <w:szCs w:val="24"/>
          <w:lang w:val="en-US" w:eastAsia="zh-CN"/>
          <w14:textFill>
            <w14:solidFill>
              <w14:schemeClr w14:val="tx1"/>
            </w14:solidFill>
          </w14:textFill>
        </w:rPr>
        <w:t>6）</w:t>
      </w:r>
      <w:r>
        <w:rPr>
          <w:rFonts w:hint="eastAsia" w:ascii="仿宋" w:hAnsi="仿宋" w:eastAsia="仿宋"/>
          <w:bCs/>
          <w:color w:val="FF0000"/>
          <w:sz w:val="24"/>
          <w:szCs w:val="24"/>
        </w:rPr>
        <w:t>参与人须提供平台演示及试用</w:t>
      </w:r>
      <w:r>
        <w:rPr>
          <w:rFonts w:hint="eastAsia" w:ascii="仿宋" w:hAnsi="仿宋" w:eastAsia="仿宋"/>
          <w:bCs/>
          <w:color w:val="FF0000"/>
          <w:sz w:val="24"/>
          <w:szCs w:val="24"/>
          <w:lang w:eastAsia="zh-CN"/>
        </w:rPr>
        <w:t>。</w:t>
      </w:r>
    </w:p>
    <w:p>
      <w:pPr>
        <w:rPr>
          <w:rFonts w:ascii="仿宋" w:hAnsi="仿宋" w:eastAsia="仿宋"/>
          <w:b/>
          <w:sz w:val="36"/>
          <w:szCs w:val="36"/>
        </w:rPr>
        <w:sectPr>
          <w:footerReference r:id="rId7" w:type="first"/>
          <w:headerReference r:id="rId5" w:type="default"/>
          <w:footerReference r:id="rId6" w:type="default"/>
          <w:pgSz w:w="11906" w:h="16838"/>
          <w:pgMar w:top="1440" w:right="1133" w:bottom="1440" w:left="993" w:header="851" w:footer="227" w:gutter="0"/>
          <w:pgBorders>
            <w:top w:val="none" w:sz="0" w:space="0"/>
            <w:left w:val="none" w:sz="0" w:space="0"/>
            <w:bottom w:val="none" w:sz="0" w:space="0"/>
            <w:right w:val="none" w:sz="0" w:space="0"/>
          </w:pgBorders>
          <w:cols w:space="425" w:num="1"/>
          <w:titlePg/>
          <w:docGrid w:type="lines" w:linePitch="312" w:charSpace="0"/>
        </w:sectPr>
      </w:pPr>
      <w:r>
        <w:rPr>
          <w:rFonts w:ascii="仿宋" w:hAnsi="仿宋" w:eastAsia="仿宋"/>
          <w:b/>
          <w:sz w:val="36"/>
          <w:szCs w:val="36"/>
        </w:rPr>
        <w:br w:type="page"/>
      </w:r>
    </w:p>
    <w:p>
      <w:pPr>
        <w:spacing w:line="1000" w:lineRule="exact"/>
        <w:rPr>
          <w:rFonts w:ascii="仿宋" w:hAnsi="仿宋" w:eastAsia="仿宋"/>
          <w:b/>
          <w:sz w:val="72"/>
          <w:szCs w:val="72"/>
        </w:rPr>
      </w:pPr>
      <w:r>
        <w:drawing>
          <wp:anchor distT="0" distB="0" distL="114300" distR="114300" simplePos="0" relativeHeight="251661312" behindDoc="1" locked="0" layoutInCell="1" allowOverlap="1">
            <wp:simplePos x="0" y="0"/>
            <wp:positionH relativeFrom="page">
              <wp:posOffset>2026920</wp:posOffset>
            </wp:positionH>
            <wp:positionV relativeFrom="page">
              <wp:posOffset>808990</wp:posOffset>
            </wp:positionV>
            <wp:extent cx="3252470" cy="70485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hint="eastAsia" w:ascii="仿宋" w:hAnsi="仿宋" w:eastAsia="仿宋"/>
          <w:b/>
          <w:sz w:val="32"/>
          <w:szCs w:val="32"/>
          <w:lang w:val="en-US" w:eastAsia="zh-CN"/>
        </w:rPr>
      </w:pPr>
      <w:r>
        <w:rPr>
          <w:rFonts w:hint="eastAsia" w:ascii="仿宋" w:hAnsi="仿宋" w:eastAsia="仿宋"/>
          <w:b/>
          <w:sz w:val="32"/>
          <w:szCs w:val="32"/>
        </w:rPr>
        <w:t>广州松田职业学院跨境电商沙盘软件</w:t>
      </w:r>
      <w:r>
        <w:rPr>
          <w:rFonts w:hint="eastAsia" w:ascii="仿宋" w:hAnsi="仿宋" w:eastAsia="仿宋"/>
          <w:b/>
          <w:sz w:val="32"/>
          <w:szCs w:val="32"/>
          <w:lang w:val="en-US" w:eastAsia="zh-CN"/>
        </w:rPr>
        <w:t>采购项目</w:t>
      </w:r>
    </w:p>
    <w:p>
      <w:pPr>
        <w:spacing w:line="580" w:lineRule="exact"/>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参与人授权代表：X</w:t>
      </w:r>
      <w:r>
        <w:rPr>
          <w:rFonts w:ascii="仿宋" w:hAnsi="仿宋" w:eastAsia="仿宋"/>
          <w:b/>
          <w:sz w:val="36"/>
          <w:szCs w:val="36"/>
        </w:rPr>
        <w:t>XXX</w:t>
      </w:r>
    </w:p>
    <w:p>
      <w:pPr>
        <w:ind w:firstLine="2331" w:firstLineChars="645"/>
        <w:rPr>
          <w:rFonts w:ascii="仿宋" w:hAnsi="仿宋" w:eastAsia="仿宋"/>
          <w:b/>
          <w:sz w:val="36"/>
          <w:szCs w:val="36"/>
        </w:rPr>
      </w:pPr>
      <w:r>
        <w:rPr>
          <w:rFonts w:hint="eastAsia" w:ascii="仿宋" w:hAnsi="仿宋" w:eastAsia="仿宋"/>
          <w:b/>
          <w:sz w:val="36"/>
          <w:szCs w:val="36"/>
        </w:rPr>
        <w:t>参与人手机号码：X</w:t>
      </w:r>
      <w:r>
        <w:rPr>
          <w:rFonts w:ascii="仿宋" w:hAnsi="仿宋" w:eastAsia="仿宋"/>
          <w:b/>
          <w:sz w:val="36"/>
          <w:szCs w:val="36"/>
        </w:rPr>
        <w:t>XXX</w:t>
      </w: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227" w:gutter="0"/>
          <w:pgBorders>
            <w:top w:val="none" w:sz="0" w:space="0"/>
            <w:left w:val="none" w:sz="0" w:space="0"/>
            <w:bottom w:val="none" w:sz="0" w:space="0"/>
            <w:right w:val="none" w:sz="0" w:space="0"/>
          </w:pgBorders>
          <w:cols w:space="425" w:num="1"/>
          <w:titlePg/>
          <w:docGrid w:type="lines" w:linePitch="312" w:charSpace="0"/>
        </w:sectPr>
      </w:pPr>
    </w:p>
    <w:p>
      <w:pPr>
        <w:jc w:val="center"/>
        <w:outlineLvl w:val="1"/>
        <w:rPr>
          <w:rFonts w:ascii="仿宋" w:hAnsi="仿宋" w:eastAsia="仿宋"/>
          <w:b/>
          <w:bCs/>
          <w:sz w:val="24"/>
          <w:szCs w:val="24"/>
        </w:rPr>
      </w:pPr>
      <w:bookmarkStart w:id="51" w:name="_Toc213208766"/>
      <w:bookmarkStart w:id="52" w:name="_Toc213756051"/>
      <w:bookmarkStart w:id="53" w:name="_Toc267060068"/>
      <w:bookmarkStart w:id="54" w:name="_Toc267059181"/>
      <w:bookmarkStart w:id="55" w:name="_Toc181436461"/>
      <w:bookmarkStart w:id="56" w:name="_Toc267059030"/>
      <w:bookmarkStart w:id="57" w:name="_Toc192664153"/>
      <w:bookmarkStart w:id="58" w:name="_Toc267059919"/>
      <w:bookmarkStart w:id="59" w:name="_Toc266868937"/>
      <w:bookmarkStart w:id="60" w:name="_Toc259520865"/>
      <w:bookmarkStart w:id="61" w:name="_Toc232302115"/>
      <w:bookmarkStart w:id="62" w:name="_Toc169332838"/>
      <w:bookmarkStart w:id="63" w:name="_Toc254790899"/>
      <w:bookmarkStart w:id="64" w:name="_Toc267060453"/>
      <w:bookmarkStart w:id="65" w:name="_Toc259692740"/>
      <w:bookmarkStart w:id="66" w:name="_Toc219800243"/>
      <w:bookmarkStart w:id="67" w:name="_Toc160880529"/>
      <w:bookmarkStart w:id="68" w:name="_Toc267059806"/>
      <w:bookmarkStart w:id="69" w:name="_Toc180302913"/>
      <w:bookmarkStart w:id="70" w:name="_Toc266868670"/>
      <w:bookmarkStart w:id="71" w:name="_Toc160880160"/>
      <w:bookmarkStart w:id="72" w:name="_Toc236021449"/>
      <w:bookmarkStart w:id="73" w:name="_Toc192663835"/>
      <w:bookmarkStart w:id="74" w:name="_Toc249325711"/>
      <w:bookmarkStart w:id="75" w:name="_Toc273178698"/>
      <w:bookmarkStart w:id="76" w:name="_Toc182372782"/>
      <w:bookmarkStart w:id="77" w:name="_Toc235438274"/>
      <w:bookmarkStart w:id="78" w:name="_Toc169332949"/>
      <w:bookmarkStart w:id="79" w:name="_Toc235437991"/>
      <w:bookmarkStart w:id="80" w:name="_Toc230071147"/>
      <w:bookmarkStart w:id="81" w:name="_Toc192996446"/>
      <w:bookmarkStart w:id="82" w:name="_Toc213755995"/>
      <w:bookmarkStart w:id="83" w:name="_Toc253066614"/>
      <w:bookmarkStart w:id="84" w:name="_Toc181436565"/>
      <w:bookmarkStart w:id="85" w:name="_Toc170798793"/>
      <w:bookmarkStart w:id="86" w:name="_Toc267060321"/>
      <w:bookmarkStart w:id="87" w:name="_Toc192996338"/>
      <w:bookmarkStart w:id="88" w:name="_Toc266870907"/>
      <w:bookmarkStart w:id="89" w:name="_Toc193160448"/>
      <w:bookmarkStart w:id="90" w:name="_Toc203355733"/>
      <w:bookmarkStart w:id="91" w:name="_Toc217891402"/>
      <w:bookmarkStart w:id="92" w:name="_Toc191783222"/>
      <w:bookmarkStart w:id="93" w:name="_Toc258401256"/>
      <w:bookmarkStart w:id="94" w:name="_Toc227058530"/>
      <w:bookmarkStart w:id="95" w:name="_Toc191802690"/>
      <w:bookmarkStart w:id="96" w:name="_Toc235438344"/>
      <w:bookmarkStart w:id="97" w:name="_Toc191803626"/>
      <w:bookmarkStart w:id="98" w:name="_Toc255975007"/>
      <w:bookmarkStart w:id="99" w:name="_Toc225669322"/>
      <w:bookmarkStart w:id="100" w:name="_Toc251586231"/>
      <w:bookmarkStart w:id="101" w:name="_Toc193165734"/>
      <w:bookmarkStart w:id="102" w:name="_Toc213755858"/>
      <w:bookmarkStart w:id="103" w:name="_Toc267060208"/>
      <w:bookmarkStart w:id="104" w:name="_Toc177985469"/>
      <w:bookmarkStart w:id="105" w:name="_Toc211917116"/>
      <w:bookmarkStart w:id="106" w:name="_Toc266870833"/>
      <w:bookmarkStart w:id="107" w:name="_Toc223146608"/>
      <w:bookmarkStart w:id="108" w:name="_Toc182805217"/>
      <w:bookmarkStart w:id="109" w:name="_Toc192663686"/>
      <w:bookmarkStart w:id="110" w:name="_Toc259692647"/>
      <w:bookmarkStart w:id="111" w:name="_Toc267059653"/>
      <w:bookmarkStart w:id="112" w:name="_Toc266870432"/>
      <w:bookmarkStart w:id="113" w:name="_Toc191789329"/>
      <w:bookmarkStart w:id="114" w:name="_Toc213755939"/>
      <w:bookmarkStart w:id="115" w:name="_Toc267059539"/>
      <w:bookmarkStart w:id="116" w:name="_Toc251613829"/>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r>
        <w:rPr>
          <w:rFonts w:hint="eastAsia" w:ascii="仿宋" w:hAnsi="仿宋" w:eastAsia="仿宋"/>
          <w:b/>
          <w:bCs/>
          <w:sz w:val="24"/>
          <w:szCs w:val="24"/>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b/>
          <w:bCs/>
          <w:sz w:val="24"/>
          <w:szCs w:val="24"/>
        </w:rPr>
        <w:t>询价响应函</w:t>
      </w:r>
    </w:p>
    <w:p>
      <w:pPr>
        <w:spacing w:after="0" w:line="480" w:lineRule="exact"/>
        <w:rPr>
          <w:rFonts w:ascii="仿宋" w:hAnsi="仿宋" w:eastAsia="仿宋"/>
          <w:sz w:val="24"/>
          <w:szCs w:val="24"/>
          <w:highlight w:val="yellow"/>
        </w:rPr>
      </w:pPr>
      <w:r>
        <w:rPr>
          <w:rFonts w:hint="eastAsia" w:ascii="仿宋" w:hAnsi="仿宋" w:eastAsia="仿宋"/>
          <w:sz w:val="24"/>
          <w:szCs w:val="24"/>
        </w:rPr>
        <w:t>致：中教集团后勤部广东分部招标采购中心</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9"/>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spacing w:line="380" w:lineRule="exact"/>
        <w:ind w:left="147" w:leftChars="67"/>
        <w:rPr>
          <w:rFonts w:ascii="仿宋" w:hAnsi="仿宋" w:eastAsia="仿宋"/>
          <w:sz w:val="24"/>
          <w:szCs w:val="24"/>
          <w:highlight w:val="red"/>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货币单位：元</w:t>
      </w:r>
    </w:p>
    <w:tbl>
      <w:tblPr>
        <w:tblStyle w:val="25"/>
        <w:tblW w:w="4960" w:type="pct"/>
        <w:tblInd w:w="-176" w:type="dxa"/>
        <w:tblLayout w:type="fixed"/>
        <w:tblCellMar>
          <w:top w:w="0" w:type="dxa"/>
          <w:left w:w="108" w:type="dxa"/>
          <w:bottom w:w="0" w:type="dxa"/>
          <w:right w:w="108" w:type="dxa"/>
        </w:tblCellMar>
      </w:tblPr>
      <w:tblGrid>
        <w:gridCol w:w="540"/>
        <w:gridCol w:w="809"/>
        <w:gridCol w:w="3895"/>
        <w:gridCol w:w="473"/>
        <w:gridCol w:w="494"/>
        <w:gridCol w:w="805"/>
        <w:gridCol w:w="805"/>
        <w:gridCol w:w="908"/>
        <w:gridCol w:w="767"/>
      </w:tblGrid>
      <w:tr>
        <w:tblPrEx>
          <w:tblCellMar>
            <w:top w:w="0" w:type="dxa"/>
            <w:left w:w="108" w:type="dxa"/>
            <w:bottom w:w="0" w:type="dxa"/>
            <w:right w:w="108" w:type="dxa"/>
          </w:tblCellMar>
        </w:tblPrEx>
        <w:trPr>
          <w:trHeight w:val="186" w:hRule="atLeast"/>
        </w:trPr>
        <w:tc>
          <w:tcPr>
            <w:tcW w:w="28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序号</w:t>
            </w:r>
          </w:p>
        </w:tc>
        <w:tc>
          <w:tcPr>
            <w:tcW w:w="42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设备 名称</w:t>
            </w:r>
          </w:p>
        </w:tc>
        <w:tc>
          <w:tcPr>
            <w:tcW w:w="205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规格型号（技术参数）</w:t>
            </w: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单位</w:t>
            </w: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数量</w:t>
            </w: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单价（元）</w:t>
            </w: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总价（元）</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是否提供样品</w:t>
            </w:r>
          </w:p>
        </w:tc>
        <w:tc>
          <w:tcPr>
            <w:tcW w:w="40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备注</w:t>
            </w:r>
          </w:p>
        </w:tc>
      </w:tr>
      <w:tr>
        <w:tblPrEx>
          <w:tblCellMar>
            <w:top w:w="0" w:type="dxa"/>
            <w:left w:w="108" w:type="dxa"/>
            <w:bottom w:w="0" w:type="dxa"/>
            <w:right w:w="108" w:type="dxa"/>
          </w:tblCellMar>
        </w:tblPrEx>
        <w:trPr>
          <w:trHeight w:val="186" w:hRule="atLeast"/>
        </w:trPr>
        <w:tc>
          <w:tcPr>
            <w:tcW w:w="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0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c>
          <w:tcPr>
            <w:tcW w:w="40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86" w:hRule="atLeast"/>
        </w:trPr>
        <w:tc>
          <w:tcPr>
            <w:tcW w:w="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0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c>
          <w:tcPr>
            <w:tcW w:w="40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86" w:hRule="atLeast"/>
        </w:trPr>
        <w:tc>
          <w:tcPr>
            <w:tcW w:w="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0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c>
          <w:tcPr>
            <w:tcW w:w="40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86" w:hRule="atLeast"/>
        </w:trPr>
        <w:tc>
          <w:tcPr>
            <w:tcW w:w="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0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c>
          <w:tcPr>
            <w:tcW w:w="40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86" w:hRule="atLeast"/>
        </w:trPr>
        <w:tc>
          <w:tcPr>
            <w:tcW w:w="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0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c>
          <w:tcPr>
            <w:tcW w:w="40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r>
      <w:tr>
        <w:trPr>
          <w:trHeight w:val="90" w:hRule="atLeast"/>
        </w:trPr>
        <w:tc>
          <w:tcPr>
            <w:tcW w:w="327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b/>
                <w:bCs/>
                <w:color w:val="000000"/>
                <w:sz w:val="20"/>
                <w:szCs w:val="20"/>
              </w:rPr>
              <w:t>合计</w:t>
            </w:r>
          </w:p>
        </w:tc>
        <w:tc>
          <w:tcPr>
            <w:tcW w:w="1729"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after="0" w:line="300" w:lineRule="exact"/>
        <w:ind w:firstLine="480" w:firstLineChars="20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1" w:type="first"/>
          <w:headerReference r:id="rId10" w:type="default"/>
          <w:footerReference r:id="rId12" w:type="default"/>
          <w:type w:val="continuous"/>
          <w:pgSz w:w="11906" w:h="16838"/>
          <w:pgMar w:top="1440" w:right="1416" w:bottom="1440" w:left="1134" w:header="851" w:footer="227" w:gutter="0"/>
          <w:pgBorders>
            <w:top w:val="none" w:sz="0" w:space="0"/>
            <w:left w:val="none" w:sz="0" w:space="0"/>
            <w:bottom w:val="none" w:sz="0" w:space="0"/>
            <w:right w:val="none" w:sz="0" w:space="0"/>
          </w:pgBorders>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7" w:name="_Toc203355738"/>
      <w:bookmarkStart w:id="118" w:name="_Toc267059186"/>
      <w:bookmarkStart w:id="119" w:name="_Toc191789334"/>
      <w:bookmarkStart w:id="120" w:name="_Toc180302918"/>
      <w:bookmarkStart w:id="121" w:name="_Toc160880534"/>
      <w:bookmarkStart w:id="122" w:name="_Toc255975016"/>
      <w:bookmarkStart w:id="123" w:name="_Toc232302122"/>
      <w:bookmarkStart w:id="124" w:name="_Toc266868679"/>
      <w:bookmarkStart w:id="125" w:name="_Toc213756001"/>
      <w:bookmarkStart w:id="126" w:name="_Toc273178703"/>
      <w:bookmarkStart w:id="127" w:name="_Toc177985474"/>
      <w:bookmarkStart w:id="128" w:name="_Toc253066624"/>
      <w:bookmarkStart w:id="129" w:name="_Toc182372787"/>
      <w:bookmarkStart w:id="130" w:name="_Toc254790909"/>
      <w:bookmarkStart w:id="131" w:name="_Toc169332843"/>
      <w:bookmarkStart w:id="132" w:name="_Toc259692656"/>
      <w:bookmarkStart w:id="133" w:name="_Toc259692749"/>
      <w:bookmarkStart w:id="134" w:name="_Toc191802695"/>
      <w:bookmarkStart w:id="135" w:name="_Toc193165739"/>
      <w:bookmarkStart w:id="136" w:name="_Toc235438281"/>
      <w:bookmarkStart w:id="137" w:name="_Toc267059924"/>
      <w:bookmarkStart w:id="138" w:name="_Toc267060461"/>
      <w:bookmarkStart w:id="139" w:name="_Toc213208771"/>
      <w:bookmarkStart w:id="140" w:name="_Toc213756057"/>
      <w:bookmarkStart w:id="141" w:name="_Toc235437998"/>
      <w:bookmarkStart w:id="142" w:name="_Toc267059035"/>
      <w:bookmarkStart w:id="143" w:name="_Toc235438352"/>
      <w:bookmarkStart w:id="144" w:name="_Toc230071153"/>
      <w:bookmarkStart w:id="145" w:name="_Toc192663691"/>
      <w:bookmarkStart w:id="146" w:name="_Toc182805222"/>
      <w:bookmarkStart w:id="147" w:name="_Toc192996451"/>
      <w:bookmarkStart w:id="148" w:name="_Toc192996343"/>
      <w:bookmarkStart w:id="149" w:name="_Toc192663840"/>
      <w:bookmarkStart w:id="150" w:name="_Toc223146614"/>
      <w:bookmarkStart w:id="151" w:name="_Toc225669328"/>
      <w:bookmarkStart w:id="152" w:name="_Toc267060326"/>
      <w:bookmarkStart w:id="153" w:name="_Toc258401265"/>
      <w:bookmarkStart w:id="154" w:name="_Toc266870441"/>
      <w:bookmarkStart w:id="155" w:name="_Toc259520874"/>
      <w:bookmarkStart w:id="156" w:name="_Toc251613839"/>
      <w:bookmarkStart w:id="157" w:name="_Toc217891408"/>
      <w:bookmarkStart w:id="158" w:name="_Toc219800249"/>
      <w:bookmarkStart w:id="159" w:name="_Toc267060216"/>
      <w:bookmarkStart w:id="160" w:name="_Toc192664158"/>
      <w:bookmarkStart w:id="161" w:name="_Toc227058536"/>
      <w:bookmarkStart w:id="162" w:name="_Toc191803631"/>
      <w:bookmarkStart w:id="163" w:name="_Toc266870916"/>
      <w:bookmarkStart w:id="164" w:name="_Toc191783227"/>
      <w:bookmarkStart w:id="165" w:name="_Toc249325720"/>
      <w:bookmarkStart w:id="166" w:name="_Toc160880165"/>
      <w:bookmarkStart w:id="167" w:name="_Toc266870839"/>
      <w:bookmarkStart w:id="168" w:name="_Toc266868943"/>
      <w:bookmarkStart w:id="169" w:name="_Toc170798798"/>
      <w:bookmarkStart w:id="170" w:name="_Toc251586241"/>
      <w:bookmarkStart w:id="171" w:name="_Toc193160453"/>
      <w:bookmarkStart w:id="172" w:name="_Toc169332954"/>
      <w:bookmarkStart w:id="173" w:name="_Toc267060076"/>
      <w:bookmarkStart w:id="174" w:name="_Toc267059811"/>
      <w:bookmarkStart w:id="175" w:name="_Toc236021457"/>
      <w:bookmarkStart w:id="176" w:name="_Toc213755864"/>
      <w:bookmarkStart w:id="177" w:name="_Toc211917121"/>
      <w:bookmarkStart w:id="178" w:name="_Toc181436466"/>
      <w:bookmarkStart w:id="179" w:name="_Toc267059658"/>
      <w:bookmarkStart w:id="180" w:name="_Toc213755945"/>
      <w:bookmarkStart w:id="181" w:name="_Toc181436570"/>
      <w:bookmarkStart w:id="182" w:name="_Toc267059544"/>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hint="eastAsia" w:ascii="仿宋" w:hAnsi="仿宋" w:eastAsia="仿宋"/>
          <w:b/>
          <w:bCs/>
          <w:sz w:val="24"/>
          <w:szCs w:val="24"/>
        </w:rPr>
        <w:t>参与人资质材料</w:t>
      </w: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7"/>
        <w:numPr>
          <w:ilvl w:val="0"/>
          <w:numId w:val="8"/>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57"/>
        <w:numPr>
          <w:ilvl w:val="0"/>
          <w:numId w:val="8"/>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57"/>
        <w:numPr>
          <w:ilvl w:val="0"/>
          <w:numId w:val="8"/>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sectPr>
      <w:pgSz w:w="11906" w:h="16838"/>
      <w:pgMar w:top="1440" w:right="1416" w:bottom="1440" w:left="1134"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5</w:t>
                          </w:r>
                          <w:r>
                            <w:fldChar w:fldCharType="end"/>
                          </w:r>
                          <w:r>
                            <w:t xml:space="preserve"> / </w:t>
                          </w:r>
                          <w:r>
                            <w:fldChar w:fldCharType="begin"/>
                          </w:r>
                          <w:r>
                            <w:instrText xml:space="preserve"> NUMPAGES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5</w:t>
                    </w:r>
                    <w:r>
                      <w:fldChar w:fldCharType="end"/>
                    </w:r>
                    <w:r>
                      <w:t xml:space="preserve"> / </w:t>
                    </w:r>
                    <w:r>
                      <w:fldChar w:fldCharType="begin"/>
                    </w:r>
                    <w:r>
                      <w:instrText xml:space="preserve"> NUMPAGES  \* MERGEFORMAT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jc w:val="center"/>
                          </w:pPr>
                          <w:r>
                            <w:fldChar w:fldCharType="begin"/>
                          </w:r>
                          <w:r>
                            <w:instrText xml:space="preserve"> PAGE  \* MERGEFORMAT </w:instrText>
                          </w:r>
                          <w:r>
                            <w:fldChar w:fldCharType="separate"/>
                          </w:r>
                          <w:r>
                            <w:t>9</w:t>
                          </w:r>
                          <w:r>
                            <w:fldChar w:fldCharType="end"/>
                          </w:r>
                          <w:r>
                            <w:t xml:space="preserve"> / </w:t>
                          </w:r>
                          <w:r>
                            <w:fldChar w:fldCharType="begin"/>
                          </w:r>
                          <w:r>
                            <w:instrText xml:space="preserve"> NUMPAGES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8"/>
                      <w:jc w:val="center"/>
                    </w:pPr>
                    <w:r>
                      <w:fldChar w:fldCharType="begin"/>
                    </w:r>
                    <w:r>
                      <w:instrText xml:space="preserve"> PAGE  \* MERGEFORMAT </w:instrText>
                    </w:r>
                    <w:r>
                      <w:fldChar w:fldCharType="separate"/>
                    </w:r>
                    <w:r>
                      <w:t>9</w:t>
                    </w:r>
                    <w:r>
                      <w:fldChar w:fldCharType="end"/>
                    </w:r>
                    <w:r>
                      <w:t xml:space="preserve"> / </w:t>
                    </w:r>
                    <w:r>
                      <w:fldChar w:fldCharType="begin"/>
                    </w:r>
                    <w:r>
                      <w:instrText xml:space="preserve"> NUMPAGES  \* MERGEFORMAT </w:instrText>
                    </w:r>
                    <w:r>
                      <w:fldChar w:fldCharType="separate"/>
                    </w:r>
                    <w:r>
                      <w:t>10</w:t>
                    </w:r>
                    <w:r>
                      <w:fldChar w:fldCharType="end"/>
                    </w:r>
                  </w:p>
                </w:txbxContent>
              </v:textbox>
            </v:shape>
          </w:pict>
        </mc:Fallback>
      </mc:AlternateContent>
    </w:r>
  </w:p>
  <w:sdt>
    <w:sdtPr>
      <w:id w:val="-467357217"/>
    </w:sdtPr>
    <w:sdtContent>
      <w:sdt>
        <w:sdtPr>
          <w:id w:val="455225834"/>
        </w:sdtPr>
        <w:sdtContent>
          <w:p>
            <w:pPr>
              <w:pStyle w:val="18"/>
              <w:jc w:val="center"/>
              <w:rPr>
                <w:b/>
                <w:bCs/>
                <w:sz w:val="24"/>
                <w:szCs w:val="24"/>
              </w:rPr>
            </w:pPr>
          </w:p>
          <w:p>
            <w:pPr>
              <w:pStyle w:val="18"/>
              <w:jc w:val="both"/>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anchor distT="0" distB="0" distL="114300" distR="114300" simplePos="0" relativeHeight="251662336" behindDoc="1" locked="0" layoutInCell="1" allowOverlap="1">
          <wp:simplePos x="0" y="0"/>
          <wp:positionH relativeFrom="page">
            <wp:posOffset>2233295</wp:posOffset>
          </wp:positionH>
          <wp:positionV relativeFrom="page">
            <wp:posOffset>228600</wp:posOffset>
          </wp:positionV>
          <wp:extent cx="3070225" cy="45910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70225" cy="459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88571"/>
    <w:multiLevelType w:val="singleLevel"/>
    <w:tmpl w:val="81D88571"/>
    <w:lvl w:ilvl="0" w:tentative="0">
      <w:start w:val="1"/>
      <w:numFmt w:val="decimal"/>
      <w:lvlText w:val="(%1)"/>
      <w:lvlJc w:val="left"/>
      <w:pPr>
        <w:ind w:left="425" w:hanging="425"/>
      </w:pPr>
      <w:rPr>
        <w:rFonts w:hint="default"/>
      </w:r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C86CE9B"/>
    <w:multiLevelType w:val="singleLevel"/>
    <w:tmpl w:val="2C86CE9B"/>
    <w:lvl w:ilvl="0" w:tentative="0">
      <w:start w:val="1"/>
      <w:numFmt w:val="decimal"/>
      <w:lvlText w:val="%1."/>
      <w:lvlJc w:val="left"/>
      <w:pPr>
        <w:tabs>
          <w:tab w:val="left" w:pos="312"/>
        </w:tabs>
      </w:pPr>
    </w:lvl>
  </w:abstractNum>
  <w:abstractNum w:abstractNumId="3">
    <w:nsid w:val="332602AC"/>
    <w:multiLevelType w:val="multilevel"/>
    <w:tmpl w:val="332602AC"/>
    <w:lvl w:ilvl="0" w:tentative="0">
      <w:start w:val="1"/>
      <w:numFmt w:val="decimal"/>
      <w:lvlText w:val="（%1）"/>
      <w:lvlJc w:val="left"/>
      <w:pPr>
        <w:ind w:left="1532" w:hanging="720"/>
      </w:pPr>
      <w:rPr>
        <w:rFonts w:hint="default"/>
      </w:rPr>
    </w:lvl>
    <w:lvl w:ilvl="1" w:tentative="0">
      <w:start w:val="1"/>
      <w:numFmt w:val="lowerLetter"/>
      <w:lvlText w:val="%2)"/>
      <w:lvlJc w:val="left"/>
      <w:pPr>
        <w:ind w:left="1652" w:hanging="420"/>
      </w:pPr>
    </w:lvl>
    <w:lvl w:ilvl="2" w:tentative="0">
      <w:start w:val="1"/>
      <w:numFmt w:val="lowerRoman"/>
      <w:lvlText w:val="%3."/>
      <w:lvlJc w:val="right"/>
      <w:pPr>
        <w:ind w:left="2072" w:hanging="420"/>
      </w:pPr>
    </w:lvl>
    <w:lvl w:ilvl="3" w:tentative="0">
      <w:start w:val="1"/>
      <w:numFmt w:val="decimal"/>
      <w:lvlText w:val="%4."/>
      <w:lvlJc w:val="left"/>
      <w:pPr>
        <w:ind w:left="2492" w:hanging="420"/>
      </w:pPr>
    </w:lvl>
    <w:lvl w:ilvl="4" w:tentative="0">
      <w:start w:val="1"/>
      <w:numFmt w:val="lowerLetter"/>
      <w:lvlText w:val="%5)"/>
      <w:lvlJc w:val="left"/>
      <w:pPr>
        <w:ind w:left="2912" w:hanging="420"/>
      </w:pPr>
    </w:lvl>
    <w:lvl w:ilvl="5" w:tentative="0">
      <w:start w:val="1"/>
      <w:numFmt w:val="lowerRoman"/>
      <w:lvlText w:val="%6."/>
      <w:lvlJc w:val="right"/>
      <w:pPr>
        <w:ind w:left="3332" w:hanging="420"/>
      </w:pPr>
    </w:lvl>
    <w:lvl w:ilvl="6" w:tentative="0">
      <w:start w:val="1"/>
      <w:numFmt w:val="decimal"/>
      <w:lvlText w:val="%7."/>
      <w:lvlJc w:val="left"/>
      <w:pPr>
        <w:ind w:left="3752" w:hanging="420"/>
      </w:pPr>
    </w:lvl>
    <w:lvl w:ilvl="7" w:tentative="0">
      <w:start w:val="1"/>
      <w:numFmt w:val="lowerLetter"/>
      <w:lvlText w:val="%8)"/>
      <w:lvlJc w:val="left"/>
      <w:pPr>
        <w:ind w:left="4172" w:hanging="420"/>
      </w:pPr>
    </w:lvl>
    <w:lvl w:ilvl="8" w:tentative="0">
      <w:start w:val="1"/>
      <w:numFmt w:val="lowerRoman"/>
      <w:lvlText w:val="%9."/>
      <w:lvlJc w:val="right"/>
      <w:pPr>
        <w:ind w:left="4592" w:hanging="420"/>
      </w:pPr>
    </w:lvl>
  </w:abstractNum>
  <w:abstractNum w:abstractNumId="4">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5">
    <w:nsid w:val="56960C9E"/>
    <w:multiLevelType w:val="multilevel"/>
    <w:tmpl w:val="56960C9E"/>
    <w:lvl w:ilvl="0" w:tentative="0">
      <w:start w:val="1"/>
      <w:numFmt w:val="japaneseCounting"/>
      <w:lvlText w:val="%1、"/>
      <w:lvlJc w:val="left"/>
      <w:pPr>
        <w:ind w:left="930" w:hanging="930"/>
      </w:pPr>
      <w:rPr>
        <w:rFonts w:hint="default"/>
        <w:b/>
        <w:color w:val="auto"/>
        <w:sz w:val="4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5"/>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1ZTYyNDRkZjI0YzU2YTJjYzY2NzhhNTdhMjJlYzUifQ=="/>
  </w:docVars>
  <w:rsids>
    <w:rsidRoot w:val="007B0F09"/>
    <w:rsid w:val="0000490C"/>
    <w:rsid w:val="000569E1"/>
    <w:rsid w:val="00074B20"/>
    <w:rsid w:val="00082572"/>
    <w:rsid w:val="000934D4"/>
    <w:rsid w:val="000A40B7"/>
    <w:rsid w:val="000C3E2B"/>
    <w:rsid w:val="000F4F45"/>
    <w:rsid w:val="001037BF"/>
    <w:rsid w:val="001135FD"/>
    <w:rsid w:val="0013118F"/>
    <w:rsid w:val="001561E9"/>
    <w:rsid w:val="00176CD4"/>
    <w:rsid w:val="001772BC"/>
    <w:rsid w:val="00182C6E"/>
    <w:rsid w:val="001A5B43"/>
    <w:rsid w:val="001B719E"/>
    <w:rsid w:val="001C6943"/>
    <w:rsid w:val="002135D3"/>
    <w:rsid w:val="00235C32"/>
    <w:rsid w:val="00244E90"/>
    <w:rsid w:val="002657F7"/>
    <w:rsid w:val="002772BB"/>
    <w:rsid w:val="002A0474"/>
    <w:rsid w:val="002A633A"/>
    <w:rsid w:val="002C2C3D"/>
    <w:rsid w:val="002C4297"/>
    <w:rsid w:val="00320C30"/>
    <w:rsid w:val="00334E6F"/>
    <w:rsid w:val="003570A0"/>
    <w:rsid w:val="00392964"/>
    <w:rsid w:val="003C60EF"/>
    <w:rsid w:val="003E6439"/>
    <w:rsid w:val="003F20A6"/>
    <w:rsid w:val="00404FA2"/>
    <w:rsid w:val="004242F4"/>
    <w:rsid w:val="0043243C"/>
    <w:rsid w:val="004343C9"/>
    <w:rsid w:val="00441955"/>
    <w:rsid w:val="00447890"/>
    <w:rsid w:val="004B66B1"/>
    <w:rsid w:val="004F6AE0"/>
    <w:rsid w:val="00502F52"/>
    <w:rsid w:val="00582530"/>
    <w:rsid w:val="00590957"/>
    <w:rsid w:val="005914DC"/>
    <w:rsid w:val="005A5A4D"/>
    <w:rsid w:val="005F125A"/>
    <w:rsid w:val="005F1FC8"/>
    <w:rsid w:val="00630374"/>
    <w:rsid w:val="0069669C"/>
    <w:rsid w:val="006C35AA"/>
    <w:rsid w:val="006D2FCE"/>
    <w:rsid w:val="006F3C71"/>
    <w:rsid w:val="006F5FBA"/>
    <w:rsid w:val="00754818"/>
    <w:rsid w:val="007B0F09"/>
    <w:rsid w:val="007B2319"/>
    <w:rsid w:val="00820908"/>
    <w:rsid w:val="00820F76"/>
    <w:rsid w:val="00865B30"/>
    <w:rsid w:val="00874219"/>
    <w:rsid w:val="00874C1F"/>
    <w:rsid w:val="0087518C"/>
    <w:rsid w:val="008902DC"/>
    <w:rsid w:val="008943FF"/>
    <w:rsid w:val="009123D7"/>
    <w:rsid w:val="00916532"/>
    <w:rsid w:val="00923C7E"/>
    <w:rsid w:val="00936704"/>
    <w:rsid w:val="0094170D"/>
    <w:rsid w:val="00952FDA"/>
    <w:rsid w:val="009606BC"/>
    <w:rsid w:val="00967E57"/>
    <w:rsid w:val="00994E59"/>
    <w:rsid w:val="009B7DAD"/>
    <w:rsid w:val="00A148CE"/>
    <w:rsid w:val="00A24465"/>
    <w:rsid w:val="00A40610"/>
    <w:rsid w:val="00A4220E"/>
    <w:rsid w:val="00A44A63"/>
    <w:rsid w:val="00A45704"/>
    <w:rsid w:val="00A64A5B"/>
    <w:rsid w:val="00A85E7D"/>
    <w:rsid w:val="00AD29A3"/>
    <w:rsid w:val="00AF3C2A"/>
    <w:rsid w:val="00B14C37"/>
    <w:rsid w:val="00B501AB"/>
    <w:rsid w:val="00B51EE9"/>
    <w:rsid w:val="00B54440"/>
    <w:rsid w:val="00B554E7"/>
    <w:rsid w:val="00B556FC"/>
    <w:rsid w:val="00B7278F"/>
    <w:rsid w:val="00B83714"/>
    <w:rsid w:val="00BA411C"/>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352B8"/>
    <w:rsid w:val="00E47041"/>
    <w:rsid w:val="00E77225"/>
    <w:rsid w:val="00E91632"/>
    <w:rsid w:val="00E95973"/>
    <w:rsid w:val="00ED2437"/>
    <w:rsid w:val="00ED6F2D"/>
    <w:rsid w:val="00EE3803"/>
    <w:rsid w:val="00F0149B"/>
    <w:rsid w:val="00F21640"/>
    <w:rsid w:val="00F51DDB"/>
    <w:rsid w:val="00F8646A"/>
    <w:rsid w:val="00F876DE"/>
    <w:rsid w:val="00FF1750"/>
    <w:rsid w:val="00FF655F"/>
    <w:rsid w:val="016F2003"/>
    <w:rsid w:val="01FB7224"/>
    <w:rsid w:val="02B2310E"/>
    <w:rsid w:val="02FF7BF3"/>
    <w:rsid w:val="031429B1"/>
    <w:rsid w:val="04CB58F1"/>
    <w:rsid w:val="068F60BA"/>
    <w:rsid w:val="06B875FC"/>
    <w:rsid w:val="0A3B3C06"/>
    <w:rsid w:val="0B5673CD"/>
    <w:rsid w:val="0CB931D5"/>
    <w:rsid w:val="0D9F26FE"/>
    <w:rsid w:val="0DEF76F9"/>
    <w:rsid w:val="0F0D4537"/>
    <w:rsid w:val="0F4A10AC"/>
    <w:rsid w:val="0F916077"/>
    <w:rsid w:val="109D5687"/>
    <w:rsid w:val="10E350AF"/>
    <w:rsid w:val="11B41341"/>
    <w:rsid w:val="11DF65C3"/>
    <w:rsid w:val="1236418A"/>
    <w:rsid w:val="128A531A"/>
    <w:rsid w:val="12957C2C"/>
    <w:rsid w:val="13170F3E"/>
    <w:rsid w:val="155D6B7D"/>
    <w:rsid w:val="157A1400"/>
    <w:rsid w:val="15E6076C"/>
    <w:rsid w:val="16414F46"/>
    <w:rsid w:val="18130109"/>
    <w:rsid w:val="18ED2BFD"/>
    <w:rsid w:val="18F2771C"/>
    <w:rsid w:val="192B12EA"/>
    <w:rsid w:val="198A4D5C"/>
    <w:rsid w:val="19E971DB"/>
    <w:rsid w:val="1C121B7E"/>
    <w:rsid w:val="1C4E6F91"/>
    <w:rsid w:val="1CF64DEA"/>
    <w:rsid w:val="1D060A74"/>
    <w:rsid w:val="1E6E73D9"/>
    <w:rsid w:val="1EA36CFC"/>
    <w:rsid w:val="1F243022"/>
    <w:rsid w:val="211865F8"/>
    <w:rsid w:val="21B225A8"/>
    <w:rsid w:val="220D3D13"/>
    <w:rsid w:val="221B0A3F"/>
    <w:rsid w:val="22397964"/>
    <w:rsid w:val="226A4499"/>
    <w:rsid w:val="23992B83"/>
    <w:rsid w:val="25B430BA"/>
    <w:rsid w:val="26F32C6C"/>
    <w:rsid w:val="287C6E02"/>
    <w:rsid w:val="29D60DFE"/>
    <w:rsid w:val="2BD70E05"/>
    <w:rsid w:val="2DEE17F9"/>
    <w:rsid w:val="33276C55"/>
    <w:rsid w:val="34951048"/>
    <w:rsid w:val="35B92089"/>
    <w:rsid w:val="36C834F0"/>
    <w:rsid w:val="370955AE"/>
    <w:rsid w:val="38E12299"/>
    <w:rsid w:val="39DA61C2"/>
    <w:rsid w:val="3B895CD0"/>
    <w:rsid w:val="3C9F3A90"/>
    <w:rsid w:val="3DA201F6"/>
    <w:rsid w:val="408C289A"/>
    <w:rsid w:val="40AB130E"/>
    <w:rsid w:val="4199369A"/>
    <w:rsid w:val="42B802EF"/>
    <w:rsid w:val="436037BB"/>
    <w:rsid w:val="43DE6DD5"/>
    <w:rsid w:val="44794BB8"/>
    <w:rsid w:val="467460B6"/>
    <w:rsid w:val="47B14966"/>
    <w:rsid w:val="489107C4"/>
    <w:rsid w:val="493824EE"/>
    <w:rsid w:val="4A8E6133"/>
    <w:rsid w:val="4AD52225"/>
    <w:rsid w:val="4AF00F7F"/>
    <w:rsid w:val="4B5A20A6"/>
    <w:rsid w:val="4B7A2A12"/>
    <w:rsid w:val="4B801406"/>
    <w:rsid w:val="4E191136"/>
    <w:rsid w:val="4E4F5D47"/>
    <w:rsid w:val="4F2705FD"/>
    <w:rsid w:val="4F98759B"/>
    <w:rsid w:val="4FCD2233"/>
    <w:rsid w:val="4FE5319E"/>
    <w:rsid w:val="523529AA"/>
    <w:rsid w:val="531620E8"/>
    <w:rsid w:val="53C13FAE"/>
    <w:rsid w:val="568E3335"/>
    <w:rsid w:val="56A77204"/>
    <w:rsid w:val="573676E7"/>
    <w:rsid w:val="57CA278D"/>
    <w:rsid w:val="593E4431"/>
    <w:rsid w:val="59403789"/>
    <w:rsid w:val="5A596AB9"/>
    <w:rsid w:val="5A6951F3"/>
    <w:rsid w:val="5D327B1E"/>
    <w:rsid w:val="5E002415"/>
    <w:rsid w:val="604B44B1"/>
    <w:rsid w:val="60D459E0"/>
    <w:rsid w:val="61432BF3"/>
    <w:rsid w:val="61DF62F2"/>
    <w:rsid w:val="62201B8F"/>
    <w:rsid w:val="63183A98"/>
    <w:rsid w:val="64260F18"/>
    <w:rsid w:val="67DC54F9"/>
    <w:rsid w:val="68052947"/>
    <w:rsid w:val="69867B41"/>
    <w:rsid w:val="6A991648"/>
    <w:rsid w:val="6AE60108"/>
    <w:rsid w:val="6B3579E3"/>
    <w:rsid w:val="6B4522E6"/>
    <w:rsid w:val="6B924093"/>
    <w:rsid w:val="6D412EE4"/>
    <w:rsid w:val="6D415B5B"/>
    <w:rsid w:val="6E2555C3"/>
    <w:rsid w:val="70955E58"/>
    <w:rsid w:val="71970440"/>
    <w:rsid w:val="744F0B5E"/>
    <w:rsid w:val="746A02B4"/>
    <w:rsid w:val="768467FD"/>
    <w:rsid w:val="7725078A"/>
    <w:rsid w:val="77ED6B4E"/>
    <w:rsid w:val="77F96C2B"/>
    <w:rsid w:val="7A2428EA"/>
    <w:rsid w:val="7ACE4F64"/>
    <w:rsid w:val="7BD2653F"/>
    <w:rsid w:val="7C596B31"/>
    <w:rsid w:val="7C9C3293"/>
    <w:rsid w:val="7CEE0931"/>
    <w:rsid w:val="7DD95F34"/>
    <w:rsid w:val="7E1D67B4"/>
    <w:rsid w:val="7E660767"/>
    <w:rsid w:val="7E7A6B45"/>
    <w:rsid w:val="7E853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1"/>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2"/>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3"/>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4"/>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5"/>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6"/>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37"/>
    <w:semiHidden/>
    <w:unhideWhenUsed/>
    <w:qFormat/>
    <w:uiPriority w:val="9"/>
    <w:pPr>
      <w:keepNext/>
      <w:keepLines/>
      <w:spacing w:before="120" w:after="0"/>
      <w:outlineLvl w:val="6"/>
    </w:pPr>
    <w:rPr>
      <w:i/>
      <w:iCs/>
    </w:rPr>
  </w:style>
  <w:style w:type="paragraph" w:styleId="10">
    <w:name w:val="heading 8"/>
    <w:basedOn w:val="1"/>
    <w:next w:val="1"/>
    <w:link w:val="38"/>
    <w:semiHidden/>
    <w:unhideWhenUsed/>
    <w:qFormat/>
    <w:uiPriority w:val="9"/>
    <w:pPr>
      <w:keepNext/>
      <w:keepLines/>
      <w:spacing w:before="120" w:after="0"/>
      <w:outlineLvl w:val="7"/>
    </w:pPr>
    <w:rPr>
      <w:b/>
      <w:bCs/>
    </w:rPr>
  </w:style>
  <w:style w:type="paragraph" w:styleId="11">
    <w:name w:val="heading 9"/>
    <w:basedOn w:val="1"/>
    <w:next w:val="1"/>
    <w:link w:val="39"/>
    <w:semiHidden/>
    <w:unhideWhenUsed/>
    <w:qFormat/>
    <w:uiPriority w:val="9"/>
    <w:pPr>
      <w:keepNext/>
      <w:keepLines/>
      <w:spacing w:before="120" w:after="0"/>
      <w:outlineLvl w:val="8"/>
    </w:pPr>
    <w:rPr>
      <w:i/>
      <w:iCs/>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360" w:lineRule="auto"/>
    </w:pPr>
    <w:rPr>
      <w:rFonts w:eastAsia="微软雅黑" w:cs="Times New Roman"/>
    </w:r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Body Text"/>
    <w:basedOn w:val="1"/>
    <w:link w:val="61"/>
    <w:semiHidden/>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60"/>
    <w:unhideWhenUsed/>
    <w:qFormat/>
    <w:uiPriority w:val="0"/>
    <w:rPr>
      <w:rFonts w:hAnsi="Courier New" w:cs="Courier New" w:asciiTheme="minorEastAsia"/>
    </w:rPr>
  </w:style>
  <w:style w:type="paragraph" w:styleId="17">
    <w:name w:val="Balloon Text"/>
    <w:basedOn w:val="1"/>
    <w:link w:val="67"/>
    <w:semiHidden/>
    <w:unhideWhenUsed/>
    <w:qFormat/>
    <w:uiPriority w:val="99"/>
    <w:pPr>
      <w:spacing w:after="0" w:line="240" w:lineRule="auto"/>
    </w:pPr>
    <w:rPr>
      <w:sz w:val="18"/>
      <w:szCs w:val="18"/>
    </w:rPr>
  </w:style>
  <w:style w:type="paragraph" w:styleId="18">
    <w:name w:val="footer"/>
    <w:basedOn w:val="1"/>
    <w:link w:val="56"/>
    <w:unhideWhenUsed/>
    <w:qFormat/>
    <w:uiPriority w:val="99"/>
    <w:pPr>
      <w:tabs>
        <w:tab w:val="center" w:pos="4153"/>
        <w:tab w:val="right" w:pos="8306"/>
      </w:tabs>
      <w:snapToGrid w:val="0"/>
      <w:spacing w:line="240" w:lineRule="auto"/>
      <w:jc w:val="left"/>
    </w:pPr>
    <w:rPr>
      <w:sz w:val="18"/>
      <w:szCs w:val="18"/>
    </w:rPr>
  </w:style>
  <w:style w:type="paragraph" w:styleId="19">
    <w:name w:val="header"/>
    <w:basedOn w:val="1"/>
    <w:link w:val="5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unhideWhenUsed/>
    <w:qFormat/>
    <w:uiPriority w:val="39"/>
    <w:pPr>
      <w:spacing w:after="100" w:line="259" w:lineRule="auto"/>
      <w:jc w:val="left"/>
    </w:pPr>
    <w:rPr>
      <w:rFonts w:cs="Times New Roman"/>
    </w:rPr>
  </w:style>
  <w:style w:type="paragraph" w:styleId="21">
    <w:name w:val="Subtitle"/>
    <w:basedOn w:val="1"/>
    <w:next w:val="1"/>
    <w:link w:val="41"/>
    <w:qFormat/>
    <w:uiPriority w:val="11"/>
    <w:pPr>
      <w:spacing w:after="240"/>
      <w:jc w:val="center"/>
    </w:pPr>
    <w:rPr>
      <w:rFonts w:asciiTheme="majorHAnsi" w:hAnsiTheme="majorHAnsi" w:eastAsiaTheme="majorEastAsia" w:cstheme="majorBidi"/>
      <w:sz w:val="24"/>
      <w:szCs w:val="24"/>
    </w:rPr>
  </w:style>
  <w:style w:type="paragraph" w:styleId="22">
    <w:name w:val="Body Text Indent 3"/>
    <w:basedOn w:val="1"/>
    <w:link w:val="58"/>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3">
    <w:name w:val="toc 2"/>
    <w:basedOn w:val="1"/>
    <w:next w:val="1"/>
    <w:unhideWhenUsed/>
    <w:qFormat/>
    <w:uiPriority w:val="39"/>
    <w:pPr>
      <w:spacing w:after="100" w:line="259" w:lineRule="auto"/>
      <w:ind w:left="220"/>
      <w:jc w:val="left"/>
    </w:pPr>
    <w:rPr>
      <w:rFonts w:cs="Times New Roman"/>
    </w:rPr>
  </w:style>
  <w:style w:type="paragraph" w:styleId="24">
    <w:name w:val="Title"/>
    <w:basedOn w:val="1"/>
    <w:next w:val="1"/>
    <w:link w:val="40"/>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b/>
      <w:bCs/>
      <w:color w:val="auto"/>
    </w:rPr>
  </w:style>
  <w:style w:type="character" w:styleId="29">
    <w:name w:val="Emphasis"/>
    <w:basedOn w:val="27"/>
    <w:qFormat/>
    <w:uiPriority w:val="20"/>
    <w:rPr>
      <w:i/>
      <w:iCs/>
      <w:color w:val="auto"/>
    </w:rPr>
  </w:style>
  <w:style w:type="character" w:styleId="30">
    <w:name w:val="Hyperlink"/>
    <w:basedOn w:val="27"/>
    <w:unhideWhenUsed/>
    <w:qFormat/>
    <w:uiPriority w:val="99"/>
    <w:rPr>
      <w:color w:val="F49100" w:themeColor="hyperlink"/>
      <w:u w:val="single"/>
      <w14:textFill>
        <w14:solidFill>
          <w14:schemeClr w14:val="hlink"/>
        </w14:solidFill>
      </w14:textFill>
    </w:rPr>
  </w:style>
  <w:style w:type="character" w:customStyle="1" w:styleId="31">
    <w:name w:val="标题 1 Char"/>
    <w:basedOn w:val="27"/>
    <w:link w:val="3"/>
    <w:qFormat/>
    <w:uiPriority w:val="9"/>
    <w:rPr>
      <w:rFonts w:asciiTheme="majorHAnsi" w:hAnsiTheme="majorHAnsi" w:eastAsiaTheme="majorEastAsia" w:cstheme="majorBidi"/>
      <w:b/>
      <w:bCs/>
      <w:caps/>
      <w:spacing w:val="4"/>
      <w:sz w:val="28"/>
      <w:szCs w:val="28"/>
    </w:rPr>
  </w:style>
  <w:style w:type="character" w:customStyle="1" w:styleId="32">
    <w:name w:val="标题 2 Char"/>
    <w:basedOn w:val="27"/>
    <w:link w:val="4"/>
    <w:semiHidden/>
    <w:qFormat/>
    <w:uiPriority w:val="9"/>
    <w:rPr>
      <w:rFonts w:asciiTheme="majorHAnsi" w:hAnsiTheme="majorHAnsi" w:eastAsiaTheme="majorEastAsia" w:cstheme="majorBidi"/>
      <w:b/>
      <w:bCs/>
      <w:sz w:val="28"/>
      <w:szCs w:val="28"/>
    </w:rPr>
  </w:style>
  <w:style w:type="character" w:customStyle="1" w:styleId="33">
    <w:name w:val="标题 3 Char"/>
    <w:basedOn w:val="27"/>
    <w:link w:val="5"/>
    <w:semiHidden/>
    <w:qFormat/>
    <w:uiPriority w:val="9"/>
    <w:rPr>
      <w:rFonts w:asciiTheme="majorHAnsi" w:hAnsiTheme="majorHAnsi" w:eastAsiaTheme="majorEastAsia" w:cstheme="majorBidi"/>
      <w:spacing w:val="4"/>
      <w:sz w:val="24"/>
      <w:szCs w:val="24"/>
    </w:rPr>
  </w:style>
  <w:style w:type="character" w:customStyle="1" w:styleId="34">
    <w:name w:val="标题 4 Char"/>
    <w:basedOn w:val="27"/>
    <w:link w:val="6"/>
    <w:semiHidden/>
    <w:qFormat/>
    <w:uiPriority w:val="9"/>
    <w:rPr>
      <w:rFonts w:asciiTheme="majorHAnsi" w:hAnsiTheme="majorHAnsi" w:eastAsiaTheme="majorEastAsia" w:cstheme="majorBidi"/>
      <w:i/>
      <w:iCs/>
      <w:sz w:val="24"/>
      <w:szCs w:val="24"/>
    </w:rPr>
  </w:style>
  <w:style w:type="character" w:customStyle="1" w:styleId="35">
    <w:name w:val="标题 5 Char"/>
    <w:basedOn w:val="27"/>
    <w:link w:val="7"/>
    <w:semiHidden/>
    <w:qFormat/>
    <w:uiPriority w:val="9"/>
    <w:rPr>
      <w:rFonts w:asciiTheme="majorHAnsi" w:hAnsiTheme="majorHAnsi" w:eastAsiaTheme="majorEastAsia" w:cstheme="majorBidi"/>
      <w:b/>
      <w:bCs/>
    </w:rPr>
  </w:style>
  <w:style w:type="character" w:customStyle="1" w:styleId="36">
    <w:name w:val="标题 6 Char"/>
    <w:basedOn w:val="27"/>
    <w:link w:val="8"/>
    <w:semiHidden/>
    <w:qFormat/>
    <w:uiPriority w:val="9"/>
    <w:rPr>
      <w:rFonts w:asciiTheme="majorHAnsi" w:hAnsiTheme="majorHAnsi" w:eastAsiaTheme="majorEastAsia" w:cstheme="majorBidi"/>
      <w:b/>
      <w:bCs/>
      <w:i/>
      <w:iCs/>
    </w:rPr>
  </w:style>
  <w:style w:type="character" w:customStyle="1" w:styleId="37">
    <w:name w:val="标题 7 Char"/>
    <w:basedOn w:val="27"/>
    <w:link w:val="9"/>
    <w:semiHidden/>
    <w:qFormat/>
    <w:uiPriority w:val="9"/>
    <w:rPr>
      <w:i/>
      <w:iCs/>
    </w:rPr>
  </w:style>
  <w:style w:type="character" w:customStyle="1" w:styleId="38">
    <w:name w:val="标题 8 Char"/>
    <w:basedOn w:val="27"/>
    <w:link w:val="10"/>
    <w:semiHidden/>
    <w:qFormat/>
    <w:uiPriority w:val="9"/>
    <w:rPr>
      <w:b/>
      <w:bCs/>
    </w:rPr>
  </w:style>
  <w:style w:type="character" w:customStyle="1" w:styleId="39">
    <w:name w:val="标题 9 Char"/>
    <w:basedOn w:val="27"/>
    <w:link w:val="11"/>
    <w:semiHidden/>
    <w:qFormat/>
    <w:uiPriority w:val="9"/>
    <w:rPr>
      <w:i/>
      <w:iCs/>
    </w:rPr>
  </w:style>
  <w:style w:type="character" w:customStyle="1" w:styleId="40">
    <w:name w:val="标题 Char"/>
    <w:basedOn w:val="27"/>
    <w:link w:val="24"/>
    <w:qFormat/>
    <w:uiPriority w:val="10"/>
    <w:rPr>
      <w:rFonts w:asciiTheme="majorHAnsi" w:hAnsiTheme="majorHAnsi" w:eastAsiaTheme="majorEastAsia" w:cstheme="majorBidi"/>
      <w:b/>
      <w:bCs/>
      <w:spacing w:val="-7"/>
      <w:sz w:val="48"/>
      <w:szCs w:val="48"/>
    </w:rPr>
  </w:style>
  <w:style w:type="character" w:customStyle="1" w:styleId="41">
    <w:name w:val="副标题 Char"/>
    <w:basedOn w:val="27"/>
    <w:link w:val="21"/>
    <w:qFormat/>
    <w:uiPriority w:val="11"/>
    <w:rPr>
      <w:rFonts w:asciiTheme="majorHAnsi" w:hAnsiTheme="majorHAnsi" w:eastAsiaTheme="majorEastAsia" w:cstheme="majorBidi"/>
      <w:sz w:val="24"/>
      <w:szCs w:val="24"/>
    </w:rPr>
  </w:style>
  <w:style w:type="paragraph" w:styleId="42">
    <w:name w:val="No Spacing"/>
    <w:link w:val="53"/>
    <w:qFormat/>
    <w:uiPriority w:val="1"/>
    <w:pPr>
      <w:jc w:val="both"/>
    </w:pPr>
    <w:rPr>
      <w:rFonts w:asciiTheme="minorHAnsi" w:hAnsiTheme="minorHAnsi" w:eastAsiaTheme="minorEastAsia" w:cstheme="minorBidi"/>
      <w:sz w:val="22"/>
      <w:szCs w:val="22"/>
      <w:lang w:val="en-US" w:eastAsia="zh-CN" w:bidi="ar-SA"/>
    </w:rPr>
  </w:style>
  <w:style w:type="paragraph" w:styleId="43">
    <w:name w:val="Quote"/>
    <w:basedOn w:val="1"/>
    <w:next w:val="1"/>
    <w:link w:val="44"/>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4">
    <w:name w:val="引用 Char"/>
    <w:basedOn w:val="27"/>
    <w:link w:val="43"/>
    <w:qFormat/>
    <w:uiPriority w:val="29"/>
    <w:rPr>
      <w:rFonts w:asciiTheme="majorHAnsi" w:hAnsiTheme="majorHAnsi" w:eastAsiaTheme="majorEastAsia" w:cstheme="majorBidi"/>
      <w:i/>
      <w:iCs/>
      <w:sz w:val="24"/>
      <w:szCs w:val="24"/>
    </w:rPr>
  </w:style>
  <w:style w:type="paragraph" w:styleId="45">
    <w:name w:val="Intense Quote"/>
    <w:basedOn w:val="1"/>
    <w:next w:val="1"/>
    <w:link w:val="46"/>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6">
    <w:name w:val="明显引用 Char"/>
    <w:basedOn w:val="27"/>
    <w:link w:val="45"/>
    <w:qFormat/>
    <w:uiPriority w:val="30"/>
    <w:rPr>
      <w:rFonts w:asciiTheme="majorHAnsi" w:hAnsiTheme="majorHAnsi" w:eastAsiaTheme="majorEastAsia" w:cstheme="majorBidi"/>
      <w:sz w:val="26"/>
      <w:szCs w:val="26"/>
    </w:rPr>
  </w:style>
  <w:style w:type="character" w:customStyle="1" w:styleId="47">
    <w:name w:val="不明显强调1"/>
    <w:basedOn w:val="27"/>
    <w:qFormat/>
    <w:uiPriority w:val="19"/>
    <w:rPr>
      <w:i/>
      <w:iCs/>
      <w:color w:val="auto"/>
    </w:rPr>
  </w:style>
  <w:style w:type="character" w:customStyle="1" w:styleId="48">
    <w:name w:val="明显强调1"/>
    <w:basedOn w:val="27"/>
    <w:qFormat/>
    <w:uiPriority w:val="21"/>
    <w:rPr>
      <w:b/>
      <w:bCs/>
      <w:i/>
      <w:iCs/>
      <w:color w:val="auto"/>
    </w:rPr>
  </w:style>
  <w:style w:type="character" w:customStyle="1" w:styleId="49">
    <w:name w:val="不明显参考1"/>
    <w:basedOn w:val="27"/>
    <w:qFormat/>
    <w:uiPriority w:val="31"/>
    <w:rPr>
      <w:smallCaps/>
      <w:color w:val="auto"/>
      <w:u w:val="single" w:color="7E7E7E" w:themeColor="text1" w:themeTint="80"/>
    </w:rPr>
  </w:style>
  <w:style w:type="character" w:customStyle="1" w:styleId="50">
    <w:name w:val="明显参考1"/>
    <w:basedOn w:val="27"/>
    <w:qFormat/>
    <w:uiPriority w:val="32"/>
    <w:rPr>
      <w:b/>
      <w:bCs/>
      <w:smallCaps/>
      <w:color w:val="auto"/>
      <w:u w:val="single"/>
    </w:rPr>
  </w:style>
  <w:style w:type="character" w:customStyle="1" w:styleId="51">
    <w:name w:val="书籍标题1"/>
    <w:basedOn w:val="27"/>
    <w:qFormat/>
    <w:uiPriority w:val="33"/>
    <w:rPr>
      <w:b/>
      <w:bCs/>
      <w:smallCaps/>
      <w:color w:val="auto"/>
    </w:rPr>
  </w:style>
  <w:style w:type="paragraph" w:customStyle="1" w:styleId="52">
    <w:name w:val="TOC 标题1"/>
    <w:basedOn w:val="3"/>
    <w:next w:val="1"/>
    <w:unhideWhenUsed/>
    <w:qFormat/>
    <w:uiPriority w:val="39"/>
    <w:pPr>
      <w:outlineLvl w:val="9"/>
    </w:pPr>
  </w:style>
  <w:style w:type="character" w:customStyle="1" w:styleId="53">
    <w:name w:val="无间隔 Char"/>
    <w:basedOn w:val="27"/>
    <w:link w:val="42"/>
    <w:qFormat/>
    <w:uiPriority w:val="1"/>
  </w:style>
  <w:style w:type="paragraph" w:customStyle="1" w:styleId="54">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5">
    <w:name w:val="页眉 Char"/>
    <w:basedOn w:val="27"/>
    <w:link w:val="19"/>
    <w:qFormat/>
    <w:uiPriority w:val="99"/>
    <w:rPr>
      <w:sz w:val="18"/>
      <w:szCs w:val="18"/>
    </w:rPr>
  </w:style>
  <w:style w:type="character" w:customStyle="1" w:styleId="56">
    <w:name w:val="页脚 Char"/>
    <w:basedOn w:val="27"/>
    <w:link w:val="18"/>
    <w:qFormat/>
    <w:uiPriority w:val="99"/>
    <w:rPr>
      <w:sz w:val="18"/>
      <w:szCs w:val="18"/>
    </w:rPr>
  </w:style>
  <w:style w:type="paragraph" w:styleId="57">
    <w:name w:val="List Paragraph"/>
    <w:basedOn w:val="1"/>
    <w:qFormat/>
    <w:uiPriority w:val="34"/>
    <w:pPr>
      <w:ind w:firstLine="420" w:firstLineChars="200"/>
    </w:pPr>
  </w:style>
  <w:style w:type="character" w:customStyle="1" w:styleId="58">
    <w:name w:val="正文文本缩进 3 Char"/>
    <w:basedOn w:val="27"/>
    <w:link w:val="22"/>
    <w:qFormat/>
    <w:uiPriority w:val="0"/>
    <w:rPr>
      <w:rFonts w:ascii="Times New Roman" w:hAnsi="Times New Roman" w:eastAsia="宋体" w:cs="Times New Roman"/>
      <w:kern w:val="2"/>
      <w:sz w:val="16"/>
      <w:szCs w:val="16"/>
    </w:rPr>
  </w:style>
  <w:style w:type="paragraph" w:customStyle="1" w:styleId="59">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60">
    <w:name w:val="纯文本 Char1"/>
    <w:basedOn w:val="27"/>
    <w:link w:val="16"/>
    <w:semiHidden/>
    <w:qFormat/>
    <w:uiPriority w:val="99"/>
    <w:rPr>
      <w:rFonts w:hAnsi="Courier New" w:cs="Courier New" w:asciiTheme="minorEastAsia"/>
    </w:rPr>
  </w:style>
  <w:style w:type="character" w:customStyle="1" w:styleId="61">
    <w:name w:val="正文文本 Char"/>
    <w:basedOn w:val="27"/>
    <w:link w:val="14"/>
    <w:semiHidden/>
    <w:qFormat/>
    <w:uiPriority w:val="99"/>
  </w:style>
  <w:style w:type="character" w:customStyle="1" w:styleId="62">
    <w:name w:val="纯文本 Char"/>
    <w:qFormat/>
    <w:uiPriority w:val="0"/>
    <w:rPr>
      <w:rFonts w:ascii="宋体" w:hAnsi="Courier New" w:eastAsia="宋体"/>
      <w:kern w:val="2"/>
      <w:sz w:val="21"/>
      <w:lang w:val="en-US" w:eastAsia="zh-CN" w:bidi="ar-SA"/>
    </w:rPr>
  </w:style>
  <w:style w:type="character" w:customStyle="1" w:styleId="63">
    <w:name w:val="font21"/>
    <w:basedOn w:val="27"/>
    <w:qFormat/>
    <w:uiPriority w:val="0"/>
    <w:rPr>
      <w:rFonts w:hint="eastAsia" w:ascii="宋体" w:hAnsi="宋体" w:eastAsia="宋体" w:cs="宋体"/>
      <w:color w:val="000000"/>
      <w:sz w:val="20"/>
      <w:szCs w:val="20"/>
      <w:u w:val="none"/>
    </w:rPr>
  </w:style>
  <w:style w:type="character" w:customStyle="1" w:styleId="64">
    <w:name w:val="font31"/>
    <w:basedOn w:val="27"/>
    <w:qFormat/>
    <w:uiPriority w:val="0"/>
    <w:rPr>
      <w:rFonts w:ascii="宋体" w:hAnsi="宋体" w:eastAsia="宋体" w:cs="宋体"/>
      <w:color w:val="000000"/>
      <w:sz w:val="20"/>
      <w:szCs w:val="20"/>
      <w:u w:val="none"/>
    </w:rPr>
  </w:style>
  <w:style w:type="character" w:customStyle="1" w:styleId="65">
    <w:name w:val="font51"/>
    <w:basedOn w:val="27"/>
    <w:qFormat/>
    <w:uiPriority w:val="0"/>
    <w:rPr>
      <w:rFonts w:hint="eastAsia" w:ascii="宋体" w:hAnsi="宋体" w:eastAsia="宋体" w:cs="宋体"/>
      <w:color w:val="000000"/>
      <w:sz w:val="20"/>
      <w:szCs w:val="20"/>
      <w:u w:val="none"/>
    </w:rPr>
  </w:style>
  <w:style w:type="character" w:customStyle="1" w:styleId="66">
    <w:name w:val="font81"/>
    <w:basedOn w:val="27"/>
    <w:qFormat/>
    <w:uiPriority w:val="0"/>
    <w:rPr>
      <w:rFonts w:ascii="宋体" w:hAnsi="宋体" w:eastAsia="宋体" w:cs="宋体"/>
      <w:color w:val="000000"/>
      <w:sz w:val="20"/>
      <w:szCs w:val="20"/>
      <w:u w:val="none"/>
    </w:rPr>
  </w:style>
  <w:style w:type="character" w:customStyle="1" w:styleId="67">
    <w:name w:val="批注框文本 Char"/>
    <w:basedOn w:val="27"/>
    <w:link w:val="17"/>
    <w:semiHidden/>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4831A4-5AD1-4811-BFD5-82A8657BF51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2597</Words>
  <Characters>2739</Characters>
  <Lines>40</Lines>
  <Paragraphs>11</Paragraphs>
  <TotalTime>98</TotalTime>
  <ScaleCrop>false</ScaleCrop>
  <LinksUpToDate>false</LinksUpToDate>
  <CharactersWithSpaces>2987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V1...</cp:lastModifiedBy>
  <dcterms:modified xsi:type="dcterms:W3CDTF">2023-03-16T10:10:41Z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EFC349C232074708B1FC10CBC1E72A91</vt:lpwstr>
  </property>
</Properties>
</file>