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bookmarkStart w:id="0" w:name="_Toc5424"/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广西汇沣招标代理有限公司</w:t>
      </w:r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  <w:t>4G全网通无线路由器采购</w:t>
      </w:r>
      <w:r>
        <w:rPr>
          <w:rFonts w:hint="eastAsia" w:ascii="宋体" w:hAnsi="宋体" w:cs="宋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重</w:t>
      </w:r>
      <w:r>
        <w:rPr>
          <w:rFonts w:hint="eastAsia" w:ascii="宋体" w:hAnsi="宋体" w:cs="宋体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（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  <w:t>GXHF2020-C1-1002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）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  <w:t>公告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1" w:name="_Toc35393823"/>
      <w:bookmarkStart w:id="2" w:name="_Toc35393654"/>
      <w:bookmarkStart w:id="3" w:name="_Toc28359111"/>
      <w:bookmarkStart w:id="4" w:name="_Toc2835903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23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采购项目编号：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GXHF2020-C1-1002</w:t>
      </w:r>
      <w:r>
        <w:rPr>
          <w:rFonts w:hint="eastAsia" w:ascii="宋体" w:hAnsi="宋体" w:eastAsia="宋体" w:cs="宋体"/>
          <w:sz w:val="21"/>
          <w:szCs w:val="21"/>
          <w:u w:val="none"/>
        </w:rPr>
        <w:t>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采购项目名称：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4G全网通无线路由器采购（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重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采购需求：4G全网通无线路由器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55台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；如需进一步了解详细内容，详见竞争性磋商文件。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4.采购公告媒体及日期：于2020年1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日发布于中国政府采购网（www.ccgp.gov.cn）、广西招标网（ http://guangxi.bidchance.com）、广西防震减灾网（http://www.gxdzj.gov.cn/）。</w:t>
      </w:r>
      <w:r>
        <w:rPr>
          <w:rFonts w:hint="eastAsia" w:ascii="宋体" w:hAnsi="宋体" w:eastAsia="宋体" w:cs="宋体"/>
          <w:sz w:val="21"/>
          <w:szCs w:val="21"/>
          <w:u w:val="none"/>
        </w:rPr>
        <w:t>　　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  <w:lang w:val="en-US" w:eastAsia="zh-CN"/>
        </w:rPr>
      </w:pPr>
      <w:bookmarkStart w:id="5" w:name="_Toc35393824"/>
      <w:bookmarkStart w:id="6" w:name="_Toc35393655"/>
      <w:bookmarkStart w:id="7" w:name="_Toc28359035"/>
      <w:bookmarkStart w:id="8" w:name="_Toc28359112"/>
      <w: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</w:rPr>
        <w:t>二、</w:t>
      </w:r>
      <w:bookmarkEnd w:id="5"/>
      <w:bookmarkEnd w:id="6"/>
      <w:bookmarkEnd w:id="7"/>
      <w:bookmarkEnd w:id="8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采购结果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因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实质性响应竞争性磋商文件的供应商不足3家，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故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本项目废标。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  <w:bookmarkStart w:id="9" w:name="_Toc35393825"/>
      <w:bookmarkStart w:id="10" w:name="_Toc35393656"/>
      <w:r>
        <w:rPr>
          <w:rFonts w:hint="eastAsia" w:ascii="宋体" w:hAnsi="宋体" w:eastAsia="宋体" w:cs="宋体"/>
          <w:b/>
          <w:bCs/>
          <w:sz w:val="21"/>
          <w:szCs w:val="21"/>
        </w:rPr>
        <w:t>三、其他补充事宜</w:t>
      </w:r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网上公告媒体查询：中国政府采购网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www.ccgp.gov.cn）、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广西招标网（http://guangxi.bidchance.com）、广西防震减灾网（http://www.gxdzj.gov.cn/）。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2.结果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公告期限：自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结果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公告发布之日起一个工作日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供应商认为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结果使自己的权益受到损害的，可以在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结果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公告期限届满之日起七个工作日内以书面形式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采购人或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代理机构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提出质疑，逾期将不再受理。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11" w:name="_Toc35393826"/>
      <w:bookmarkStart w:id="12" w:name="_Toc28359036"/>
      <w:bookmarkStart w:id="13" w:name="_Toc35393657"/>
      <w:bookmarkStart w:id="14" w:name="_Toc28359113"/>
      <w:r>
        <w:rPr>
          <w:rFonts w:hint="eastAsia" w:ascii="宋体" w:hAnsi="宋体" w:eastAsia="宋体" w:cs="宋体"/>
          <w:b/>
          <w:bCs/>
          <w:sz w:val="21"/>
          <w:szCs w:val="21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  <w:bookmarkStart w:id="15" w:name="_Toc35393827"/>
      <w:bookmarkStart w:id="16" w:name="_Toc28359037"/>
      <w:bookmarkStart w:id="17" w:name="_Toc28359114"/>
      <w:bookmarkStart w:id="18" w:name="_Toc35393658"/>
      <w:r>
        <w:rPr>
          <w:rFonts w:hint="eastAsia" w:ascii="宋体" w:hAnsi="宋体" w:eastAsia="宋体" w:cs="宋体"/>
          <w:b w:val="0"/>
          <w:sz w:val="21"/>
          <w:szCs w:val="21"/>
        </w:rPr>
        <w:t>1.采购人信息</w:t>
      </w:r>
      <w:bookmarkEnd w:id="15"/>
      <w:bookmarkEnd w:id="16"/>
      <w:bookmarkEnd w:id="17"/>
      <w:bookmarkEnd w:id="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   称：</w:t>
      </w:r>
      <w:r>
        <w:rPr>
          <w:rFonts w:hint="eastAsia" w:ascii="宋体" w:hAnsi="宋体" w:eastAsia="宋体" w:cs="宋体"/>
          <w:sz w:val="21"/>
          <w:szCs w:val="21"/>
          <w:u w:val="none"/>
        </w:rPr>
        <w:t>广西壮族自治区地震局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    址：</w:t>
      </w:r>
      <w:r>
        <w:rPr>
          <w:rFonts w:hint="eastAsia" w:ascii="宋体" w:hAnsi="宋体" w:eastAsia="宋体" w:cs="宋体"/>
          <w:sz w:val="21"/>
          <w:szCs w:val="21"/>
          <w:u w:val="none"/>
        </w:rPr>
        <w:t>广西南宁市青秀区古城路33号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联系方式：</w:t>
      </w:r>
      <w:r>
        <w:rPr>
          <w:rFonts w:hint="eastAsia" w:ascii="宋体" w:hAnsi="宋体" w:eastAsia="宋体" w:cs="宋体"/>
          <w:sz w:val="21"/>
          <w:szCs w:val="21"/>
          <w:u w:val="none"/>
        </w:rPr>
        <w:t>0771-2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819583</w:t>
      </w:r>
      <w:r>
        <w:rPr>
          <w:rFonts w:hint="eastAsia" w:ascii="宋体" w:hAnsi="宋体" w:eastAsia="宋体" w:cs="宋体"/>
          <w:sz w:val="21"/>
          <w:szCs w:val="21"/>
          <w:u w:val="non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  <w:bookmarkStart w:id="19" w:name="_Toc28359115"/>
      <w:bookmarkStart w:id="20" w:name="_Toc35393828"/>
      <w:bookmarkStart w:id="21" w:name="_Toc35393659"/>
      <w:bookmarkStart w:id="22" w:name="_Toc28359038"/>
      <w:r>
        <w:rPr>
          <w:rFonts w:hint="eastAsia" w:ascii="宋体" w:hAnsi="宋体" w:eastAsia="宋体" w:cs="宋体"/>
          <w:b w:val="0"/>
          <w:sz w:val="21"/>
          <w:szCs w:val="21"/>
        </w:rPr>
        <w:t>2.采购代理机构信息</w:t>
      </w:r>
      <w:bookmarkEnd w:id="19"/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   称：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u w:val="none"/>
        </w:rPr>
        <w:t>广西汇沣招标代理有限公司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    址：</w:t>
      </w:r>
      <w:r>
        <w:rPr>
          <w:rFonts w:hint="eastAsia" w:ascii="宋体" w:hAnsi="宋体" w:eastAsia="宋体" w:cs="宋体"/>
          <w:sz w:val="21"/>
          <w:szCs w:val="21"/>
          <w:u w:val="none"/>
        </w:rPr>
        <w:t>广西南宁市青秀区竹溪路73号领东尚层1602号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项目联系人：</w:t>
      </w:r>
      <w:r>
        <w:rPr>
          <w:rFonts w:hint="eastAsia" w:ascii="宋体" w:hAnsi="宋体" w:eastAsia="宋体" w:cs="宋体"/>
          <w:sz w:val="21"/>
          <w:szCs w:val="21"/>
          <w:u w:val="none"/>
        </w:rPr>
        <w:t>杨超南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联系方式：</w:t>
      </w:r>
      <w:r>
        <w:rPr>
          <w:rFonts w:hint="eastAsia" w:ascii="宋体" w:hAnsi="宋体" w:eastAsia="宋体" w:cs="宋体"/>
          <w:sz w:val="21"/>
          <w:szCs w:val="21"/>
          <w:u w:val="none"/>
        </w:rPr>
        <w:t>0771-2855737　</w:t>
      </w:r>
    </w:p>
    <w:bookmarkEnd w:id="23"/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1"/>
          <w:szCs w:val="21"/>
        </w:rPr>
        <w:t>广西汇沣招标代理有限公司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1"/>
          <w:szCs w:val="21"/>
        </w:rPr>
        <w:t>2020年</w:t>
      </w:r>
      <w:r>
        <w:rPr>
          <w:rFonts w:hint="eastAsia" w:ascii="宋体" w:hAnsi="宋体" w:eastAsia="宋体" w:cs="宋体"/>
          <w:b w:val="0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sz w:val="21"/>
          <w:szCs w:val="21"/>
        </w:rPr>
        <w:t>月</w:t>
      </w:r>
      <w:r>
        <w:rPr>
          <w:rFonts w:hint="eastAsia" w:ascii="宋体" w:hAnsi="宋体" w:cs="宋体"/>
          <w:b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sz w:val="21"/>
          <w:szCs w:val="21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67DD"/>
    <w:rsid w:val="0B1C3203"/>
    <w:rsid w:val="0DA524AC"/>
    <w:rsid w:val="10412EC1"/>
    <w:rsid w:val="19E44D9D"/>
    <w:rsid w:val="1E8F1B36"/>
    <w:rsid w:val="2B773608"/>
    <w:rsid w:val="2D9B5403"/>
    <w:rsid w:val="38B77AA3"/>
    <w:rsid w:val="41AF0006"/>
    <w:rsid w:val="4A5837B3"/>
    <w:rsid w:val="4E1C780E"/>
    <w:rsid w:val="50D17646"/>
    <w:rsid w:val="52952295"/>
    <w:rsid w:val="536167DD"/>
    <w:rsid w:val="60910B77"/>
    <w:rsid w:val="637D5793"/>
    <w:rsid w:val="67C626BC"/>
    <w:rsid w:val="790547AF"/>
    <w:rsid w:val="792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宋体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2020-11-06T07:27:00Z</dcterms:created>
  <dc:creator>刘</dc:creator>
  <cp:lastModifiedBy>Administrator</cp:lastModifiedBy>
  <dcterms:modified xsi:type="dcterms:W3CDTF">2020-11-20T07:12:17Z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