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center"/>
      </w:pPr>
      <w:r>
        <w:rPr>
          <w:rFonts w:ascii="微软雅黑" w:hAnsi="微软雅黑" w:eastAsia="微软雅黑" w:cs="微软雅黑"/>
          <w:b/>
          <w:bCs/>
          <w:color w:val="000000"/>
          <w:sz w:val="40"/>
          <w:szCs w:val="40"/>
        </w:rPr>
        <w:t>优化共青城市人民医院绩效方案服务要求</w:t>
      </w:r>
    </w:p>
    <w:p>
      <w:pPr>
        <w:keepNext w:val="0"/>
        <w:keepLines w:val="0"/>
        <w:widowControl/>
        <w:numPr>
          <w:ilvl w:val="0"/>
          <w:numId w:val="1"/>
        </w:numPr>
        <w:suppressLineNumbers w:val="0"/>
        <w:spacing w:before="0" w:beforeAutospacing="1" w:after="0" w:afterAutospacing="1"/>
        <w:ind w:left="1440" w:hanging="360"/>
      </w:pPr>
    </w:p>
    <w:p>
      <w:pPr>
        <w:pStyle w:val="2"/>
        <w:keepNext/>
        <w:keepLines/>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425"/>
        </w:tabs>
        <w:spacing w:before="120" w:beforeAutospacing="0" w:after="120" w:afterAutospacing="0"/>
        <w:ind w:left="1146"/>
        <w:jc w:val="both"/>
      </w:pPr>
      <w:r>
        <w:rPr>
          <w:rFonts w:hint="eastAsia" w:ascii="宋体" w:hAnsi="宋体" w:eastAsia="宋体" w:cs="宋体"/>
          <w:b/>
          <w:bCs/>
          <w:color w:val="000000"/>
          <w:sz w:val="32"/>
          <w:szCs w:val="32"/>
        </w:rPr>
        <w:t>功能要求</w:t>
      </w:r>
    </w:p>
    <w:p>
      <w:pPr>
        <w:keepNext w:val="0"/>
        <w:keepLines w:val="0"/>
        <w:widowControl/>
        <w:numPr>
          <w:ilvl w:val="0"/>
          <w:numId w:val="1"/>
        </w:numPr>
        <w:suppressLineNumbers w:val="0"/>
        <w:spacing w:before="0" w:beforeAutospacing="1" w:after="0" w:afterAutospacing="1"/>
        <w:ind w:left="1440" w:hanging="360"/>
      </w:pP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540"/>
      </w:pPr>
      <w:r>
        <w:rPr>
          <w:rFonts w:hint="eastAsia" w:ascii="宋体" w:hAnsi="宋体" w:eastAsia="宋体" w:cs="宋体"/>
          <w:b/>
          <w:bCs/>
          <w:color w:val="000000"/>
          <w:sz w:val="27"/>
          <w:szCs w:val="27"/>
        </w:rPr>
        <w:t>1.1 绩效管理建设要求</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40"/>
        <w:jc w:val="both"/>
      </w:pPr>
      <w:r>
        <w:rPr>
          <w:rFonts w:ascii="仿宋" w:hAnsi="仿宋" w:eastAsia="仿宋" w:cs="仿宋"/>
          <w:color w:val="000000"/>
          <w:sz w:val="28"/>
          <w:szCs w:val="28"/>
        </w:rPr>
        <w:t>1</w:t>
      </w:r>
      <w:r>
        <w:rPr>
          <w:rFonts w:hint="eastAsia" w:ascii="仿宋" w:hAnsi="仿宋" w:eastAsia="仿宋" w:cs="仿宋"/>
          <w:color w:val="000000"/>
          <w:sz w:val="28"/>
          <w:szCs w:val="28"/>
        </w:rPr>
        <w:t>.1.1符合主管部门要求，体现多劳多得，优绩优酬，满足医院制定的绩效管理目标。方案整体的框架应当具有灵活性，可以由医院针对医保定额结算、限额结算进行调整。实行绩效工资总量控制，建立动态调整机制。在充分考虑医院实际运营的情况下，根据“两个允许”要求合理确定薪酬总量。按照国家、省、市、区关于公立医院薪酬制度改革的政策要求预算医院人员支出比例和绩效工资比例，锁定规范医务人员绩效工资总量。</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40"/>
        <w:jc w:val="both"/>
      </w:pPr>
      <w:r>
        <w:rPr>
          <w:rFonts w:hint="eastAsia" w:ascii="仿宋" w:hAnsi="仿宋" w:eastAsia="仿宋" w:cs="仿宋"/>
          <w:color w:val="000000"/>
          <w:sz w:val="28"/>
          <w:szCs w:val="28"/>
        </w:rPr>
        <w:t>结合绩效指标体系，制定以工作量评价为基础，以CCHI、DRG/DIP等为工作量评价工具，以医院战略目标（扩大服务量、提高效率、优化病种结构和收入结构）为导向，统筹效率、质量、成本、科研教学（若有）等方面，提供基于CCHI的医疗、护理、医技、药学等人员的绩效考核与分配方案，合理设置中层干部绩效分配方式，并能按月、季、年开展绩效分配。绩效方案要具有灵活性和可操作性，充分调动员工的工作积极性。</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40"/>
        <w:jc w:val="both"/>
      </w:pPr>
      <w:r>
        <w:rPr>
          <w:rFonts w:hint="eastAsia" w:ascii="仿宋" w:hAnsi="仿宋" w:eastAsia="仿宋" w:cs="仿宋"/>
          <w:color w:val="000000"/>
          <w:sz w:val="28"/>
          <w:szCs w:val="28"/>
        </w:rPr>
        <w:t>1.1.2建立“以医院发展目标为导向，以工作量评价为基础，以质量和成本控制为支撑”，实行临床、医技、护理可执行项的核算单元分别进行绩效工资核算。方案中应当设计体现医护分开后仍能保持医、护之间合作的方法，方法具有可操作性和公平性。临床、医技、行政后勤科室以科室为核算单元，护理以病区护理单元为核算单元。</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40"/>
        <w:jc w:val="both"/>
      </w:pPr>
      <w:r>
        <w:rPr>
          <w:rFonts w:hint="eastAsia" w:ascii="仿宋" w:hAnsi="仿宋" w:eastAsia="仿宋" w:cs="仿宋"/>
          <w:color w:val="000000"/>
          <w:sz w:val="28"/>
          <w:szCs w:val="28"/>
        </w:rPr>
        <w:t>1.1.3各核算单元实行“院科两级分配制度”，科室两级分配由科主任、护士长负责，科内分配至个人，上报绩效管理部门核准，再由财务科发放到个人。</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40"/>
        <w:jc w:val="both"/>
      </w:pPr>
      <w:r>
        <w:rPr>
          <w:rFonts w:hint="eastAsia" w:ascii="仿宋" w:hAnsi="仿宋" w:eastAsia="仿宋" w:cs="仿宋"/>
          <w:color w:val="000000"/>
          <w:sz w:val="28"/>
          <w:szCs w:val="28"/>
        </w:rPr>
        <w:t>1.1.4（★）中标方能依据CCHI把医院医疗服务项目价格转换为绩效点数，作为衡量医师、护理、医技人员的工作量的基准。同时方案中应当体现服务量因素，把门诊人次、出院人次、手术人次、占床日数、检查化验人次等量化为绩效点数，服务量的绩效点数应当可以对应医保政策进行调整。实行临床、医技、护理等可执行CCHI的核算单元分别进行绩效工资核算，同时依据岗位体现行政后勤的绩效差异。</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40"/>
        <w:jc w:val="both"/>
      </w:pPr>
      <w:r>
        <w:rPr>
          <w:rFonts w:hint="eastAsia" w:ascii="仿宋" w:hAnsi="仿宋" w:eastAsia="仿宋" w:cs="仿宋"/>
          <w:color w:val="000000"/>
          <w:sz w:val="28"/>
          <w:szCs w:val="28"/>
        </w:rPr>
        <w:t>（★）方案中应当体现临床医生在研判分析检查、检验结果的劳动付出，但是不能以检查和检验项目的收入衡量医务人员的劳动付出。</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40"/>
        <w:jc w:val="both"/>
      </w:pPr>
      <w:r>
        <w:rPr>
          <w:rFonts w:hint="eastAsia" w:ascii="仿宋" w:hAnsi="仿宋" w:eastAsia="仿宋" w:cs="仿宋"/>
          <w:color w:val="000000"/>
          <w:sz w:val="28"/>
          <w:szCs w:val="28"/>
        </w:rPr>
        <w:t>1.1.5根据绩效评价结果和绩效分配方案，设定分配模式，实现核算与分配的一级考核与薪酬分配，并可按照医院要求进行查询、调整和数据导出。该核算构架未来可以依据国家相关政策改变进行调整，无需重新改变绩效核算方案。</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40"/>
        <w:jc w:val="both"/>
      </w:pPr>
      <w:r>
        <w:rPr>
          <w:rFonts w:hint="eastAsia" w:ascii="仿宋" w:hAnsi="仿宋" w:eastAsia="仿宋" w:cs="仿宋"/>
          <w:color w:val="000000"/>
          <w:sz w:val="28"/>
          <w:szCs w:val="28"/>
        </w:rPr>
        <w:t>1.1.6中标方应当协助医院在国家考核任务要求及医院内部管理指标中，提取关键业绩指标，作为新方案中的关键业绩指标。</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40"/>
        <w:jc w:val="both"/>
      </w:pPr>
      <w:r>
        <w:rPr>
          <w:rFonts w:hint="eastAsia" w:ascii="仿宋" w:hAnsi="仿宋" w:eastAsia="仿宋" w:cs="仿宋"/>
          <w:color w:val="000000"/>
          <w:sz w:val="28"/>
          <w:szCs w:val="28"/>
        </w:rPr>
        <w:t>1.1.7指导并协助方案实施，确保预期效果实现。方案设计完成后，须组织与相关绩效管理人员进行解读和讨论，并根据讨论的结果对方案进行修订和完善；方案经双方确认后，咨询团队进行相关项目培训和指导，直至熟练掌握核算流程和方法；进行方案的试运行，并对试运行情况进行评估和总结，必要时召开相关人员的座谈会和交流会，对不完善和不可操作部分进行再次调整和修订完善。</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40"/>
        <w:jc w:val="both"/>
      </w:pPr>
      <w:r>
        <w:rPr>
          <w:rFonts w:hint="eastAsia" w:ascii="仿宋" w:hAnsi="仿宋" w:eastAsia="仿宋" w:cs="仿宋"/>
          <w:color w:val="000000"/>
          <w:sz w:val="28"/>
          <w:szCs w:val="28"/>
        </w:rPr>
        <w:t>1.1.8中标方负责整个绩效软件前期的数据测算，协助医院对历史数据进行前期准备、从相关科室提取绩效数据，依据历史数据通过数学建模方法测算出参数，使测算结果符合院方的要求，并出具科室管理报表。</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40"/>
        <w:jc w:val="both"/>
      </w:pPr>
      <w:r>
        <w:rPr>
          <w:rFonts w:hint="eastAsia" w:ascii="仿宋" w:hAnsi="仿宋" w:eastAsia="仿宋" w:cs="仿宋"/>
          <w:color w:val="000000"/>
          <w:sz w:val="28"/>
          <w:szCs w:val="28"/>
        </w:rPr>
        <w:t>1.1.9 对于绩效数据的测算结果，中标方应配合对我院做好解释沟通工作，确保绩效软件正常运行。</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40"/>
        <w:jc w:val="both"/>
      </w:pPr>
      <w:r>
        <w:rPr>
          <w:rFonts w:hint="eastAsia" w:ascii="仿宋" w:hAnsi="仿宋" w:eastAsia="仿宋" w:cs="仿宋"/>
          <w:color w:val="000000"/>
          <w:sz w:val="28"/>
          <w:szCs w:val="28"/>
        </w:rPr>
        <w:t>（★）1.1.10绩效实施效果反馈。绩效方案运行后一年内每季度对每个科室数据跟踪分析。分析内容包含工作量与绩效工资是否匹配，收入和成本与绩效工资是否匹配，异常项目的提示，并提供合理化建议。项目运行半年后进行运营与实施成效分析。</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540"/>
      </w:pPr>
      <w:r>
        <w:rPr>
          <w:rFonts w:hint="eastAsia" w:ascii="宋体" w:hAnsi="宋体" w:eastAsia="宋体" w:cs="宋体"/>
          <w:b/>
          <w:bCs/>
          <w:color w:val="000000"/>
          <w:sz w:val="27"/>
          <w:szCs w:val="27"/>
        </w:rPr>
        <w:t>1.2软件技术功能要求</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562"/>
      </w:pPr>
      <w:r>
        <w:rPr>
          <w:rFonts w:hint="eastAsia" w:ascii="宋体" w:hAnsi="宋体" w:eastAsia="宋体" w:cs="宋体"/>
          <w:b/>
          <w:bCs/>
          <w:color w:val="000000"/>
          <w:sz w:val="28"/>
          <w:szCs w:val="28"/>
        </w:rPr>
        <w:t>1.2.1绩效管理软件技术功能要求</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60" w:lineRule="auto"/>
        <w:ind w:left="0" w:firstLine="440"/>
        <w:jc w:val="both"/>
      </w:pPr>
      <w:r>
        <w:rPr>
          <w:rFonts w:hint="eastAsia" w:ascii="仿宋" w:hAnsi="仿宋" w:eastAsia="仿宋" w:cs="仿宋"/>
          <w:color w:val="000000"/>
          <w:sz w:val="28"/>
          <w:szCs w:val="28"/>
        </w:rPr>
        <w:t>（1）根据采购人要求，提供医疗、护理、医技、教学（若有）、行政管理、工勤、专项等不同岗位绩效咨询方案，建立一套绩效考核和分配管理信息化系统，与咨询成果无缝对接，实现咨询成果的信息化。</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60" w:lineRule="auto"/>
        <w:ind w:left="0" w:firstLine="440"/>
        <w:jc w:val="both"/>
      </w:pPr>
      <w:r>
        <w:rPr>
          <w:rFonts w:hint="eastAsia" w:ascii="仿宋" w:hAnsi="仿宋" w:eastAsia="仿宋" w:cs="仿宋"/>
          <w:color w:val="000000"/>
          <w:sz w:val="28"/>
          <w:szCs w:val="28"/>
        </w:rPr>
        <w:t>（2）结合采购人管理经验，实现医院全面绩效管理综合考评指标信息化、模块化，并与科室绩效、个人绩效更好联系起来，把考评结果运用到绩效分配中。所有统计、考核、绩效数据均可层层追溯、验证，直至原始台账。各类数据均可用图表进行对比分析、趋势分析。</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60" w:lineRule="auto"/>
        <w:ind w:left="0" w:firstLine="440"/>
        <w:jc w:val="both"/>
      </w:pPr>
      <w:r>
        <w:rPr>
          <w:rFonts w:hint="eastAsia" w:ascii="仿宋" w:hAnsi="仿宋" w:eastAsia="仿宋" w:cs="仿宋"/>
          <w:color w:val="000000"/>
          <w:sz w:val="28"/>
          <w:szCs w:val="28"/>
        </w:rPr>
        <w:t>（3）按工作岗位的细化核算单位，区分医师、护理、医技、教学（若有）、实验研究（若有）、行政管理、工勤等不同岗位。通过工作量计算及分配，建立个人、医疗组、科室工作量数据和绩效细化数据。先核算到科室，再核算到组或个人，实现二次分配，充分体现风险、技术、质量的综合价值，向临床一线倾斜。</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60" w:lineRule="auto"/>
        <w:ind w:left="0" w:firstLine="440"/>
        <w:jc w:val="both"/>
      </w:pPr>
      <w:r>
        <w:rPr>
          <w:rFonts w:hint="eastAsia" w:ascii="仿宋" w:hAnsi="仿宋" w:eastAsia="仿宋" w:cs="仿宋"/>
          <w:color w:val="000000"/>
          <w:sz w:val="28"/>
          <w:szCs w:val="28"/>
        </w:rPr>
        <w:t>（4）运用CCHI工具，对医院的临床服务项目做难度和强度系数界定，并满足医疗服务项目代码与CCHI对照关系。</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60" w:lineRule="auto"/>
        <w:ind w:left="0" w:firstLine="440"/>
        <w:jc w:val="both"/>
      </w:pPr>
      <w:r>
        <w:rPr>
          <w:rFonts w:hint="eastAsia" w:ascii="仿宋" w:hAnsi="仿宋" w:eastAsia="仿宋" w:cs="仿宋"/>
          <w:color w:val="000000"/>
          <w:sz w:val="28"/>
          <w:szCs w:val="28"/>
        </w:rPr>
        <w:t>（5）架构基于B/S，无需安装客户端软件，使用浏览器即可使用系统。与医院HIS、病案、财务等系统相结合，在数据仓库基础之上进行绩效考核与绩效工资分配，以绩效考核数据为基础，计算每个核算单元的绩效工资。</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60" w:lineRule="auto"/>
        <w:ind w:left="0" w:firstLine="440"/>
        <w:jc w:val="both"/>
      </w:pPr>
      <w:r>
        <w:rPr>
          <w:rFonts w:hint="eastAsia" w:ascii="仿宋" w:hAnsi="仿宋" w:eastAsia="仿宋" w:cs="仿宋"/>
          <w:color w:val="000000"/>
          <w:sz w:val="28"/>
          <w:szCs w:val="28"/>
        </w:rPr>
        <w:t>（6）软件系统需满足各级管理者查询功能。</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60" w:lineRule="auto"/>
        <w:ind w:left="0" w:firstLine="440"/>
        <w:jc w:val="both"/>
      </w:pPr>
      <w:r>
        <w:rPr>
          <w:rFonts w:hint="eastAsia" w:ascii="仿宋" w:hAnsi="仿宋" w:eastAsia="仿宋" w:cs="仿宋"/>
          <w:color w:val="000000"/>
          <w:sz w:val="28"/>
          <w:szCs w:val="28"/>
        </w:rPr>
        <w:t>（7）根据绩效方案在绩效软件中设定分配方式及计算公式。</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60" w:lineRule="auto"/>
        <w:ind w:left="0" w:firstLine="440"/>
        <w:jc w:val="both"/>
      </w:pPr>
      <w:r>
        <w:rPr>
          <w:rFonts w:hint="eastAsia" w:ascii="仿宋" w:hAnsi="仿宋" w:eastAsia="仿宋" w:cs="仿宋"/>
          <w:color w:val="000000"/>
          <w:sz w:val="28"/>
          <w:szCs w:val="28"/>
        </w:rPr>
        <w:t>（8）系统能自动生成报表。</w:t>
      </w:r>
    </w:p>
    <w:p>
      <w:pPr>
        <w:keepNext w:val="0"/>
        <w:keepLines w:val="0"/>
        <w:widowControl/>
        <w:numPr>
          <w:ilvl w:val="0"/>
          <w:numId w:val="2"/>
        </w:numPr>
        <w:suppressLineNumbers w:val="0"/>
        <w:spacing w:before="0" w:beforeAutospacing="1" w:after="0" w:afterAutospacing="1"/>
        <w:ind w:left="1440" w:hanging="360"/>
      </w:pPr>
    </w:p>
    <w:p>
      <w:pPr>
        <w:pStyle w:val="2"/>
        <w:keepNext/>
        <w:keepLines/>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425"/>
        </w:tabs>
        <w:spacing w:before="120" w:beforeAutospacing="0" w:after="120" w:afterAutospacing="0"/>
        <w:ind w:left="1146"/>
        <w:jc w:val="both"/>
      </w:pPr>
      <w:r>
        <w:rPr>
          <w:rFonts w:hint="eastAsia" w:ascii="宋体" w:hAnsi="宋体" w:eastAsia="宋体" w:cs="宋体"/>
          <w:b/>
          <w:bCs/>
          <w:color w:val="000000"/>
          <w:sz w:val="32"/>
          <w:szCs w:val="32"/>
        </w:rPr>
        <w:t>管理要求</w:t>
      </w:r>
    </w:p>
    <w:p>
      <w:pPr>
        <w:keepNext w:val="0"/>
        <w:keepLines w:val="0"/>
        <w:widowControl/>
        <w:numPr>
          <w:ilvl w:val="0"/>
          <w:numId w:val="2"/>
        </w:numPr>
        <w:suppressLineNumbers w:val="0"/>
        <w:spacing w:before="0" w:beforeAutospacing="1" w:after="0" w:afterAutospacing="1"/>
        <w:ind w:left="1440" w:hanging="360"/>
      </w:pP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540"/>
      </w:pPr>
      <w:bookmarkStart w:id="0" w:name="_Toc128561711"/>
      <w:r>
        <w:rPr>
          <w:rFonts w:hint="eastAsia" w:ascii="宋体" w:hAnsi="宋体" w:eastAsia="宋体" w:cs="宋体"/>
          <w:b/>
          <w:bCs/>
          <w:color w:val="000000"/>
          <w:sz w:val="27"/>
          <w:szCs w:val="27"/>
        </w:rPr>
        <w:t>2.1 软件开发要求</w:t>
      </w:r>
      <w:bookmarkEnd w:id="0"/>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60" w:lineRule="auto"/>
        <w:ind w:left="0" w:firstLine="440"/>
        <w:jc w:val="both"/>
      </w:pPr>
      <w:r>
        <w:rPr>
          <w:rFonts w:hint="eastAsia" w:ascii="仿宋" w:hAnsi="仿宋" w:eastAsia="仿宋" w:cs="仿宋"/>
          <w:color w:val="000000"/>
          <w:sz w:val="28"/>
          <w:szCs w:val="28"/>
        </w:rPr>
        <w:t>（1）（★）投标人应提供接口方案和接口文档，提供与医院第三方系统的接口，系统开发接口应具有规范性和通用性，并具有与采购人现有或将来扩展的业务系统（如HIS系统、LIS系统、手麻系统、病案、财务、人力资源系统等）自动数据集成的功能，兼容不同的软件、硬件平台系统。</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60" w:lineRule="auto"/>
        <w:ind w:left="0" w:firstLine="440"/>
        <w:jc w:val="both"/>
      </w:pPr>
      <w:r>
        <w:rPr>
          <w:rFonts w:hint="eastAsia" w:ascii="仿宋" w:hAnsi="仿宋" w:eastAsia="仿宋" w:cs="仿宋"/>
          <w:color w:val="000000"/>
          <w:sz w:val="28"/>
          <w:szCs w:val="28"/>
        </w:rPr>
        <w:t>（2）操作简便。人机界面设计简洁美观、风格统一，利于基层业务人员简单操作。从本院信息系统源头采集数据，能自动复合、分摊、统计和计算，无需人工干预和人工操作。</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60" w:lineRule="auto"/>
        <w:ind w:left="0" w:firstLine="440"/>
        <w:jc w:val="both"/>
      </w:pPr>
      <w:r>
        <w:rPr>
          <w:rFonts w:hint="eastAsia" w:ascii="仿宋" w:hAnsi="仿宋" w:eastAsia="仿宋" w:cs="仿宋"/>
          <w:color w:val="000000"/>
          <w:sz w:val="28"/>
          <w:szCs w:val="28"/>
        </w:rPr>
        <w:t>（3）系统应提供高可靠性，可靠性达到99.99%，保证每周7*24小时不间断正常运行，工作日期间不能宕机，年平均宕机时间应小于8小时。</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60" w:lineRule="auto"/>
        <w:ind w:left="0" w:firstLine="440"/>
        <w:jc w:val="both"/>
      </w:pPr>
      <w:r>
        <w:rPr>
          <w:rFonts w:hint="eastAsia" w:ascii="仿宋" w:hAnsi="仿宋" w:eastAsia="仿宋" w:cs="仿宋"/>
          <w:color w:val="000000"/>
          <w:sz w:val="28"/>
          <w:szCs w:val="28"/>
        </w:rPr>
        <w:t>（4）系统安全：数据库设计能够保证系统安全，有能力解决数据库崩溃后的数据恢复，有良好的数据备份方案。系统具有抵御外界环境和人为操作失误的能力，程序中对已知的各种可能的攻击行为进行预防；有严密的身份验证、访问控制等保密手段措施；有操作人员登录系统日志。兼容卡巴斯基、瑞星、金山、360等主流杀毒软件。</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60" w:lineRule="auto"/>
        <w:ind w:left="0" w:firstLine="440"/>
        <w:jc w:val="both"/>
      </w:pPr>
      <w:r>
        <w:rPr>
          <w:rFonts w:hint="eastAsia" w:ascii="仿宋" w:hAnsi="仿宋" w:eastAsia="仿宋" w:cs="仿宋"/>
          <w:color w:val="000000"/>
          <w:sz w:val="28"/>
          <w:szCs w:val="28"/>
        </w:rPr>
        <w:t>（5）保证数据一致性。各类统计、考核周期可由用户设定。各类考核、统计流程可由用户自行开启、关闭。可依据历史数据测算新方案，用户可根据需要确定测试周期。保证系统有较强的数据校验能力。</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60" w:lineRule="auto"/>
        <w:ind w:left="0" w:firstLine="440"/>
        <w:jc w:val="both"/>
      </w:pPr>
      <w:r>
        <w:rPr>
          <w:rFonts w:hint="eastAsia" w:ascii="仿宋" w:hAnsi="仿宋" w:eastAsia="仿宋" w:cs="仿宋"/>
          <w:color w:val="000000"/>
          <w:sz w:val="28"/>
          <w:szCs w:val="28"/>
        </w:rPr>
        <w:t>（6）进行业务层面、操作层面、系统维护层面多个层次的讲解和培训，使本系统得到实际应用，并满足绩效考核方案调整、优化的需要。</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60" w:lineRule="auto"/>
        <w:ind w:left="0" w:firstLine="440"/>
        <w:jc w:val="both"/>
      </w:pPr>
      <w:r>
        <w:rPr>
          <w:rFonts w:hint="eastAsia" w:ascii="仿宋" w:hAnsi="仿宋" w:eastAsia="仿宋" w:cs="仿宋"/>
          <w:color w:val="000000"/>
          <w:sz w:val="28"/>
          <w:szCs w:val="28"/>
        </w:rPr>
        <w:t>（7）涉及咨询及维护服务。每年根据政策变更、医院体量变更等各种变数，每年微调或整体调整方案设计与实施，包含软件的无缝对接。</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60" w:lineRule="auto"/>
        <w:ind w:left="0" w:firstLine="440"/>
        <w:jc w:val="both"/>
      </w:pPr>
      <w:r>
        <w:rPr>
          <w:rFonts w:hint="eastAsia" w:ascii="仿宋" w:hAnsi="仿宋" w:eastAsia="仿宋" w:cs="仿宋"/>
          <w:color w:val="000000"/>
          <w:sz w:val="28"/>
          <w:szCs w:val="28"/>
        </w:rPr>
        <w:t>（8）满足各级管理者查询功能。系统能自动生成绩效报表。根据采购人需求，内设部分报表可自定义，可以用于绩效考核和绩效工资发放的数据提取和分析，也可以支持运营分析、战略分析。</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540"/>
      </w:pPr>
      <w:r>
        <w:rPr>
          <w:rFonts w:hint="eastAsia" w:ascii="宋体" w:hAnsi="宋体" w:eastAsia="宋体" w:cs="宋体"/>
          <w:b/>
          <w:bCs/>
          <w:color w:val="000000"/>
          <w:sz w:val="27"/>
          <w:szCs w:val="27"/>
        </w:rPr>
        <w:t>2.2产品质量保证期</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60" w:lineRule="auto"/>
        <w:ind w:left="0" w:firstLine="440"/>
        <w:jc w:val="both"/>
      </w:pPr>
      <w:r>
        <w:rPr>
          <w:rFonts w:hint="eastAsia" w:ascii="仿宋" w:hAnsi="仿宋" w:eastAsia="仿宋" w:cs="仿宋"/>
          <w:color w:val="000000"/>
          <w:sz w:val="28"/>
          <w:szCs w:val="28"/>
        </w:rPr>
        <w:t>本项目质量保证期为招标人全部实施完成并验收通过之日起一年内，质量保证期内提供免费咨询与软件免费维护服务。本项目软件免费维护期满后，项目维护费的收取不超过合同总价款的8％，服务的内容及方式同质保期内保持一致。</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540"/>
      </w:pPr>
      <w:r>
        <w:rPr>
          <w:rFonts w:hint="eastAsia" w:ascii="宋体" w:hAnsi="宋体" w:eastAsia="宋体" w:cs="宋体"/>
          <w:b/>
          <w:bCs/>
          <w:color w:val="000000"/>
          <w:sz w:val="27"/>
          <w:szCs w:val="27"/>
        </w:rPr>
        <w:t>2.3售后服务内容</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60" w:lineRule="auto"/>
        <w:ind w:left="0" w:firstLine="440"/>
        <w:jc w:val="both"/>
      </w:pPr>
      <w:r>
        <w:rPr>
          <w:rFonts w:hint="eastAsia" w:ascii="仿宋" w:hAnsi="仿宋" w:eastAsia="仿宋" w:cs="仿宋"/>
          <w:color w:val="000000"/>
          <w:sz w:val="28"/>
          <w:szCs w:val="28"/>
        </w:rPr>
        <w:t>（1）每季进行数据库优化调校，确保数据来源正确。每季进行系统的例行更新。每季进行系统的效能调整，确保系统运行速度。</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60" w:lineRule="auto"/>
        <w:ind w:left="0" w:firstLine="440"/>
        <w:jc w:val="both"/>
      </w:pPr>
      <w:r>
        <w:rPr>
          <w:rFonts w:hint="eastAsia" w:ascii="仿宋" w:hAnsi="仿宋" w:eastAsia="仿宋" w:cs="仿宋"/>
          <w:color w:val="000000"/>
          <w:sz w:val="28"/>
          <w:szCs w:val="28"/>
        </w:rPr>
        <w:t>（2）根据招标人需要提供免费服务期内二次绩效政策咨询管理和软件调整服务。提供科室意见反馈的咨询管理服务。新增或变动核算单元、诊疗项目以及绩效考核指标时应随时提供咨询管理和软件调整服务。</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60" w:lineRule="auto"/>
        <w:ind w:left="0" w:firstLine="440"/>
        <w:jc w:val="both"/>
      </w:pPr>
      <w:r>
        <w:rPr>
          <w:rFonts w:hint="eastAsia" w:ascii="仿宋" w:hAnsi="仿宋" w:eastAsia="仿宋" w:cs="仿宋"/>
          <w:color w:val="000000"/>
          <w:sz w:val="28"/>
          <w:szCs w:val="28"/>
        </w:rPr>
        <w:t>（3）质保期内免费将软件升级到投标人最新版本，软件升级产生的一切费用（含软件、实施、培训、测试、接口等）均免费（不含差旅费），并保证软件升级后正常使用。</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60" w:lineRule="auto"/>
        <w:ind w:left="0" w:firstLine="440"/>
        <w:jc w:val="both"/>
      </w:pPr>
      <w:r>
        <w:rPr>
          <w:rFonts w:hint="eastAsia" w:ascii="仿宋" w:hAnsi="仿宋" w:eastAsia="仿宋" w:cs="仿宋"/>
          <w:color w:val="000000"/>
          <w:sz w:val="28"/>
          <w:szCs w:val="28"/>
        </w:rPr>
        <w:t>（4）在质保期内提供至少1名专门售后服务人员（须为前期开发和实施团队中的成员）。成交供应商售后服务人员因服务态度差、响应不及时，采购人有权进行投诉，经双方确认投诉有效，每次扣除质保金200元；成交供应商售后服务人员电话无法接通或未接电话、迟到或早退，经双方确认后，每次扣除质保金100元。</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60" w:lineRule="auto"/>
        <w:ind w:left="0" w:firstLine="440"/>
        <w:jc w:val="both"/>
      </w:pPr>
      <w:r>
        <w:rPr>
          <w:rFonts w:hint="eastAsia" w:ascii="仿宋" w:hAnsi="仿宋" w:eastAsia="仿宋" w:cs="仿宋"/>
          <w:color w:val="000000"/>
          <w:sz w:val="28"/>
          <w:szCs w:val="28"/>
        </w:rPr>
        <w:t>（5）在质保期内，采购人新建、更换、修改相关信息系统时，成交供应商相应进行绩效管理系统及相关接口的调整调适，不得收取任何费用。</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60" w:lineRule="auto"/>
        <w:ind w:left="0" w:firstLine="440"/>
        <w:jc w:val="both"/>
      </w:pPr>
      <w:r>
        <w:rPr>
          <w:rFonts w:hint="eastAsia" w:ascii="仿宋" w:hAnsi="仿宋" w:eastAsia="仿宋" w:cs="仿宋"/>
          <w:color w:val="000000"/>
          <w:sz w:val="28"/>
          <w:szCs w:val="28"/>
        </w:rPr>
        <w:t>（6）成交供应商须提供7×24小时技术支持。软件发生故障，须在2小时内响应，4小时内恢复。不能远程处理的缺陷或障碍等，应在24小时内派员到达现场处理，并在到达现场后8小时内恢复。如故障无法在规定时间内恢复，投标人除全额赔偿采购人损失外，还应每天额外支付合同金额的0.5‰作为违约金。</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60" w:lineRule="auto"/>
        <w:ind w:left="0" w:firstLine="440"/>
        <w:jc w:val="both"/>
      </w:pPr>
      <w:r>
        <w:rPr>
          <w:rFonts w:hint="eastAsia" w:ascii="仿宋" w:hAnsi="仿宋" w:eastAsia="仿宋" w:cs="仿宋"/>
          <w:color w:val="000000"/>
          <w:sz w:val="28"/>
          <w:szCs w:val="28"/>
        </w:rPr>
        <w:t>（7）售后服务期提供技术支持的方式：电话支持服务、邮件回复服务、远程协助、客户回访、现场技术支持等。</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540"/>
      </w:pPr>
      <w:r>
        <w:rPr>
          <w:rFonts w:hint="eastAsia" w:ascii="宋体" w:hAnsi="宋体" w:eastAsia="宋体" w:cs="宋体"/>
          <w:b/>
          <w:bCs/>
          <w:color w:val="000000"/>
          <w:sz w:val="27"/>
          <w:szCs w:val="27"/>
        </w:rPr>
        <w:t>2.4培训服务要求</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60" w:lineRule="auto"/>
        <w:ind w:left="0" w:firstLine="440"/>
        <w:jc w:val="both"/>
      </w:pPr>
      <w:r>
        <w:rPr>
          <w:rFonts w:hint="eastAsia" w:ascii="仿宋" w:hAnsi="仿宋" w:eastAsia="仿宋" w:cs="仿宋"/>
          <w:color w:val="000000"/>
          <w:sz w:val="28"/>
          <w:szCs w:val="28"/>
        </w:rPr>
        <w:t>人员培训，在本项目实施周期内，完成行政后勤、临床、医技、护理、医辅等不少于1-2次的免费专场培训。另外，系统试运行期间，中标人负责为院方免费培训1-2名系统维护人员，通过培训，使维护人员能熟练规范的进行操作，对一般故障能进行处理和日常维护。</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540"/>
      </w:pPr>
      <w:r>
        <w:rPr>
          <w:rFonts w:hint="eastAsia" w:ascii="宋体" w:hAnsi="宋体" w:eastAsia="宋体" w:cs="宋体"/>
          <w:b/>
          <w:bCs/>
          <w:color w:val="000000"/>
          <w:sz w:val="27"/>
          <w:szCs w:val="27"/>
        </w:rPr>
        <w:t>2.5团队人员要求</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60" w:lineRule="auto"/>
        <w:ind w:left="0" w:firstLine="440"/>
        <w:jc w:val="both"/>
      </w:pPr>
      <w:r>
        <w:rPr>
          <w:rFonts w:hint="eastAsia" w:ascii="仿宋" w:hAnsi="仿宋" w:eastAsia="仿宋" w:cs="仿宋"/>
          <w:color w:val="000000"/>
          <w:sz w:val="28"/>
          <w:szCs w:val="28"/>
        </w:rPr>
        <w:t>（1）项目总顾问至少1人：负责项目实施过程中关键节点的把控；具备高级经济师或高级会计师资格。</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60" w:lineRule="auto"/>
        <w:ind w:left="0" w:firstLine="440"/>
        <w:jc w:val="both"/>
      </w:pPr>
      <w:r>
        <w:rPr>
          <w:rFonts w:hint="eastAsia" w:ascii="仿宋" w:hAnsi="仿宋" w:eastAsia="仿宋" w:cs="仿宋"/>
          <w:color w:val="000000"/>
          <w:sz w:val="28"/>
          <w:szCs w:val="28"/>
        </w:rPr>
        <w:t>（2）项目总负责人1人：负责项目进度把控、业务调研、核算单元划分、历史预算、绩效的分析、数据处理、答疑、分析等工作；项目总负责人需要有丰富的医院管理咨询服务经验，有人力资源方面的专业资质或项目经验；响应供应商拟派的项目负责人具备相关经验，承担过：①绩效管理；②成本管理；③定岗定编；④医共体咨询等类似项目工作。</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60" w:lineRule="auto"/>
        <w:ind w:left="0" w:firstLine="440"/>
        <w:jc w:val="both"/>
      </w:pPr>
      <w:r>
        <w:rPr>
          <w:rFonts w:hint="eastAsia" w:ascii="仿宋" w:hAnsi="仿宋" w:eastAsia="仿宋" w:cs="仿宋"/>
          <w:color w:val="000000"/>
          <w:sz w:val="28"/>
          <w:szCs w:val="28"/>
        </w:rPr>
        <w:t>（3）项目实施工程师至少1人：负责项目软件建设，具备丰富的大中小型医院的信息系统实施经验。</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60" w:lineRule="auto"/>
        <w:ind w:left="0" w:firstLine="440"/>
        <w:jc w:val="both"/>
      </w:pPr>
      <w:r>
        <w:rPr>
          <w:rFonts w:hint="eastAsia" w:ascii="仿宋" w:hAnsi="仿宋" w:eastAsia="仿宋" w:cs="仿宋"/>
          <w:color w:val="000000"/>
          <w:sz w:val="28"/>
          <w:szCs w:val="28"/>
        </w:rPr>
        <w:t>（4）项目团队成员需具备以下专业技术资格：</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60" w:lineRule="auto"/>
        <w:ind w:left="0" w:firstLine="440"/>
        <w:jc w:val="both"/>
      </w:pPr>
      <w:r>
        <w:rPr>
          <w:rFonts w:hint="eastAsia" w:ascii="仿宋" w:hAnsi="仿宋" w:eastAsia="仿宋" w:cs="仿宋"/>
          <w:color w:val="000000"/>
          <w:sz w:val="28"/>
          <w:szCs w:val="28"/>
        </w:rPr>
        <w:t>具备高级经济师资格；</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60" w:lineRule="auto"/>
        <w:ind w:left="0" w:firstLine="440"/>
        <w:jc w:val="both"/>
      </w:pPr>
      <w:r>
        <w:rPr>
          <w:rFonts w:hint="eastAsia" w:ascii="仿宋" w:hAnsi="仿宋" w:eastAsia="仿宋" w:cs="仿宋"/>
          <w:color w:val="000000"/>
          <w:sz w:val="28"/>
          <w:szCs w:val="28"/>
        </w:rPr>
        <w:t>具备高级（一级）人力资源管理师资格。</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60" w:lineRule="auto"/>
        <w:ind w:left="0" w:firstLine="440"/>
        <w:jc w:val="both"/>
      </w:pPr>
      <w:r>
        <w:rPr>
          <w:rFonts w:hint="eastAsia" w:ascii="仿宋" w:hAnsi="仿宋" w:eastAsia="仿宋" w:cs="仿宋"/>
          <w:color w:val="000000"/>
          <w:sz w:val="28"/>
          <w:szCs w:val="28"/>
        </w:rPr>
        <w:t>（5）项目组成员，有出版或发表过成本或薪酬绩效管理相关论文论著。</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540"/>
      </w:pPr>
      <w:r>
        <w:rPr>
          <w:rFonts w:hint="eastAsia" w:ascii="宋体" w:hAnsi="宋体" w:eastAsia="宋体" w:cs="宋体"/>
          <w:b/>
          <w:bCs/>
          <w:color w:val="000000"/>
          <w:sz w:val="27"/>
          <w:szCs w:val="27"/>
        </w:rPr>
        <w:t>2.6实施时间</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60" w:lineRule="auto"/>
        <w:ind w:left="0" w:firstLine="440"/>
        <w:jc w:val="both"/>
      </w:pPr>
      <w:r>
        <w:rPr>
          <w:rFonts w:hint="eastAsia" w:ascii="仿宋" w:hAnsi="仿宋" w:eastAsia="仿宋" w:cs="仿宋"/>
          <w:color w:val="000000"/>
          <w:sz w:val="28"/>
          <w:szCs w:val="28"/>
        </w:rPr>
        <w:t>中标人应在签订合同后180个工作日内完成交货及全部安装调试、培训等。</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540"/>
      </w:pPr>
      <w:r>
        <w:rPr>
          <w:rFonts w:hint="eastAsia" w:ascii="宋体" w:hAnsi="宋体" w:eastAsia="宋体" w:cs="宋体"/>
          <w:b/>
          <w:bCs/>
          <w:color w:val="000000"/>
          <w:sz w:val="27"/>
          <w:szCs w:val="27"/>
        </w:rPr>
        <w:t>2.7实施地点</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60" w:lineRule="auto"/>
        <w:ind w:left="0" w:firstLine="440"/>
        <w:jc w:val="both"/>
      </w:pPr>
      <w:r>
        <w:rPr>
          <w:rFonts w:hint="eastAsia" w:ascii="仿宋" w:hAnsi="仿宋" w:eastAsia="仿宋" w:cs="仿宋"/>
          <w:color w:val="000000"/>
          <w:sz w:val="28"/>
          <w:szCs w:val="28"/>
        </w:rPr>
        <w:t>实施地点：采购单位指定地点。</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ascii="黑体" w:hAnsi="宋体" w:eastAsia="黑体" w:cs="黑体"/>
          <w:b/>
          <w:bCs/>
          <w:color w:val="000000"/>
          <w:sz w:val="72"/>
          <w:szCs w:val="72"/>
        </w:rPr>
        <w:t>资格审查文件</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pPr>
      <w:r>
        <w:rPr>
          <w:rFonts w:ascii="Calibri" w:hAnsi="Calibri" w:cs="Calibri"/>
          <w:color w:val="000000"/>
          <w:sz w:val="32"/>
          <w:szCs w:val="32"/>
        </w:rPr>
        <w:t>采购编号：</w:t>
      </w:r>
      <w:r>
        <w:rPr>
          <w:rFonts w:hint="default" w:ascii="Calibri" w:hAnsi="Calibri" w:cs="Calibri"/>
          <w:color w:val="000000"/>
          <w:sz w:val="32"/>
          <w:szCs w:val="32"/>
          <w:u w:val="single"/>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pPr>
      <w:r>
        <w:rPr>
          <w:rFonts w:hint="eastAsia" w:ascii="黑体" w:hAnsi="宋体" w:eastAsia="黑体" w:cs="黑体"/>
          <w:color w:val="000000"/>
          <w:sz w:val="32"/>
          <w:szCs w:val="32"/>
        </w:rPr>
        <w:t>项目名称</w:t>
      </w:r>
      <w:r>
        <w:rPr>
          <w:rFonts w:hint="default" w:ascii="Calibri" w:hAnsi="Calibri" w:cs="Calibri"/>
          <w:color w:val="000000"/>
          <w:sz w:val="32"/>
          <w:szCs w:val="32"/>
        </w:rPr>
        <w:t>：</w:t>
      </w:r>
      <w:r>
        <w:rPr>
          <w:rFonts w:hint="default" w:ascii="Calibri" w:hAnsi="Calibri" w:cs="Calibri"/>
          <w:color w:val="000000"/>
          <w:sz w:val="32"/>
          <w:szCs w:val="32"/>
          <w:u w:val="single"/>
        </w:rPr>
        <w:t xml:space="preserve">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pPr>
      <w:r>
        <w:rPr>
          <w:rFonts w:hint="default" w:ascii="Calibri" w:hAnsi="Calibri" w:cs="Calibri"/>
          <w:color w:val="000000"/>
          <w:sz w:val="32"/>
          <w:szCs w:val="32"/>
        </w:rPr>
        <w:t>品    牌：</w:t>
      </w:r>
      <w:r>
        <w:rPr>
          <w:rFonts w:hint="default" w:ascii="Calibri" w:hAnsi="Calibri" w:cs="Calibri"/>
          <w:color w:val="000000"/>
          <w:sz w:val="32"/>
          <w:szCs w:val="32"/>
          <w:u w:val="single"/>
        </w:rPr>
        <w:t xml:space="preserve">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pPr>
      <w:r>
        <w:rPr>
          <w:rFonts w:hint="default" w:ascii="Calibri" w:hAnsi="Calibri" w:cs="Calibri"/>
          <w:color w:val="000000"/>
          <w:sz w:val="32"/>
          <w:szCs w:val="32"/>
        </w:rPr>
        <w:t>产    地：</w:t>
      </w:r>
      <w:r>
        <w:rPr>
          <w:rFonts w:hint="default" w:ascii="Calibri" w:hAnsi="Calibri" w:cs="Calibri"/>
          <w:color w:val="000000"/>
          <w:sz w:val="32"/>
          <w:szCs w:val="32"/>
          <w:u w:val="single"/>
        </w:rPr>
        <w:t xml:space="preserve">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default" w:ascii="Calibri" w:hAnsi="Calibri" w:cs="Calibri"/>
          <w:color w:val="000000"/>
          <w:sz w:val="32"/>
          <w:szCs w:val="32"/>
        </w:rPr>
        <w:t>    报名单位：</w:t>
      </w:r>
      <w:r>
        <w:rPr>
          <w:rFonts w:hint="default" w:ascii="Calibri" w:hAnsi="Calibri" w:cs="Calibri"/>
          <w:color w:val="000000"/>
          <w:sz w:val="32"/>
          <w:szCs w:val="32"/>
          <w:u w:val="single"/>
        </w:rPr>
        <w:t xml:space="preserve">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default" w:ascii="Calibri" w:hAnsi="Calibri" w:cs="Calibri"/>
          <w:color w:val="000000"/>
          <w:sz w:val="32"/>
          <w:szCs w:val="32"/>
        </w:rPr>
        <w:t>    联 系 人：</w:t>
      </w:r>
      <w:r>
        <w:rPr>
          <w:rFonts w:hint="default" w:ascii="Calibri" w:hAnsi="Calibri" w:cs="Calibri"/>
          <w:color w:val="000000"/>
          <w:sz w:val="32"/>
          <w:szCs w:val="32"/>
          <w:u w:val="single"/>
        </w:rPr>
        <w:t xml:space="preserve">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pPr>
      <w:r>
        <w:rPr>
          <w:rFonts w:hint="default" w:ascii="Calibri" w:hAnsi="Calibri" w:cs="Calibri"/>
          <w:color w:val="000000"/>
          <w:sz w:val="32"/>
          <w:szCs w:val="32"/>
        </w:rPr>
        <w:t>联系电话：</w:t>
      </w:r>
      <w:r>
        <w:rPr>
          <w:rFonts w:hint="default" w:ascii="Calibri" w:hAnsi="Calibri" w:cs="Calibri"/>
          <w:color w:val="000000"/>
          <w:sz w:val="32"/>
          <w:szCs w:val="32"/>
          <w:u w:val="single"/>
        </w:rPr>
        <w:t xml:space="preserve">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pPr>
      <w:r>
        <w:rPr>
          <w:rFonts w:hint="default" w:ascii="Calibri" w:hAnsi="Calibri" w:cs="Calibri"/>
          <w:color w:val="000000"/>
          <w:sz w:val="32"/>
          <w:szCs w:val="32"/>
        </w:rPr>
        <w:t>报名时间：</w:t>
      </w:r>
      <w:r>
        <w:rPr>
          <w:rFonts w:hint="default" w:ascii="Calibri" w:hAnsi="Calibri" w:cs="Calibri"/>
          <w:color w:val="000000"/>
          <w:sz w:val="32"/>
          <w:szCs w:val="32"/>
          <w:u w:val="single"/>
        </w:rPr>
        <w:t xml:space="preserve">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default" w:ascii="Calibri" w:hAnsi="Calibri" w:cs="Calibri"/>
          <w:color w:val="000000"/>
          <w:sz w:val="32"/>
          <w:szCs w:val="32"/>
        </w:rPr>
        <w:t>    签名盖章：</w:t>
      </w:r>
      <w:r>
        <w:rPr>
          <w:rFonts w:hint="default" w:ascii="Calibri" w:hAnsi="Calibri" w:cs="Calibri"/>
          <w:color w:val="000000"/>
          <w:sz w:val="32"/>
          <w:szCs w:val="32"/>
          <w:u w:val="single"/>
        </w:rPr>
        <w:t xml:space="preserve">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eastAsia" w:ascii="宋体" w:hAnsi="宋体" w:eastAsia="宋体" w:cs="宋体"/>
          <w:color w:val="000000"/>
          <w:sz w:val="32"/>
          <w:szCs w:val="32"/>
        </w:rPr>
        <w:t>共青城市人民医院采购办</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00" w:lineRule="auto"/>
        <w:jc w:val="center"/>
      </w:pPr>
      <w:r>
        <w:rPr>
          <w:rFonts w:ascii="Arial" w:hAnsi="Arial" w:cs="Arial"/>
          <w:b/>
          <w:bCs/>
          <w:color w:val="000000"/>
          <w:sz w:val="32"/>
          <w:szCs w:val="32"/>
        </w:rPr>
        <w:t>第一部分  资格审查须知</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00" w:lineRule="auto"/>
        <w:jc w:val="both"/>
      </w:pPr>
      <w:r>
        <w:t> </w:t>
      </w:r>
    </w:p>
    <w:tbl>
      <w:tblPr>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00"/>
        <w:gridCol w:w="7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0" w:type="dxa"/>
        </w:trPr>
        <w:tc>
          <w:tcPr>
            <w:tcW w:w="900" w:type="dxa"/>
            <w:tcBorders>
              <w:top w:val="nil"/>
              <w:left w:val="nil"/>
              <w:bottom w:val="nil"/>
              <w:right w:val="nil"/>
            </w:tcBorders>
            <w:shd w:val="clear"/>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00" w:lineRule="auto"/>
              <w:jc w:val="both"/>
            </w:pPr>
            <w:r>
              <w:rPr>
                <w:rFonts w:hint="default" w:ascii="Arial" w:hAnsi="Arial" w:cs="Arial"/>
                <w:b/>
                <w:bCs/>
                <w:color w:val="000000"/>
                <w:sz w:val="24"/>
                <w:szCs w:val="24"/>
                <w:bdr w:val="none" w:color="auto" w:sz="0" w:space="0"/>
              </w:rPr>
              <w:t>1.</w:t>
            </w:r>
          </w:p>
        </w:tc>
        <w:tc>
          <w:tcPr>
            <w:tcW w:w="7380" w:type="dxa"/>
            <w:tcBorders>
              <w:top w:val="nil"/>
              <w:left w:val="nil"/>
              <w:bottom w:val="nil"/>
              <w:right w:val="nil"/>
            </w:tcBorders>
            <w:shd w:val="clear"/>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00" w:lineRule="auto"/>
              <w:jc w:val="both"/>
            </w:pPr>
            <w:r>
              <w:rPr>
                <w:rFonts w:hint="default" w:ascii="Arial" w:hAnsi="Arial" w:cs="Arial"/>
                <w:b/>
                <w:bCs/>
                <w:color w:val="000000"/>
                <w:sz w:val="24"/>
                <w:szCs w:val="24"/>
                <w:bdr w:val="none" w:color="auto" w:sz="0" w:space="0"/>
              </w:rPr>
              <w:t>申请文件的组成和要求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0" w:type="dxa"/>
        </w:trPr>
        <w:tc>
          <w:tcPr>
            <w:tcW w:w="900" w:type="dxa"/>
            <w:tcBorders>
              <w:top w:val="nil"/>
              <w:left w:val="nil"/>
              <w:bottom w:val="nil"/>
              <w:right w:val="nil"/>
            </w:tcBorders>
            <w:shd w:val="clear"/>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00" w:lineRule="auto"/>
              <w:jc w:val="both"/>
            </w:pPr>
            <w:r>
              <w:rPr>
                <w:rFonts w:hint="default" w:ascii="Arial" w:hAnsi="Arial" w:cs="Arial"/>
                <w:color w:val="000000"/>
                <w:sz w:val="24"/>
                <w:szCs w:val="24"/>
                <w:bdr w:val="none" w:color="auto" w:sz="0" w:space="0"/>
              </w:rPr>
              <w:t>1.1</w:t>
            </w:r>
          </w:p>
        </w:tc>
        <w:tc>
          <w:tcPr>
            <w:tcW w:w="7380" w:type="dxa"/>
            <w:tcBorders>
              <w:top w:val="nil"/>
              <w:left w:val="nil"/>
              <w:bottom w:val="nil"/>
              <w:right w:val="nil"/>
            </w:tcBorders>
            <w:shd w:val="clear"/>
            <w:vAlign w:val="center"/>
          </w:tcPr>
          <w:p>
            <w:pPr>
              <w:pStyle w:val="2"/>
              <w:keepNext w:val="0"/>
              <w:keepLines/>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00" w:lineRule="auto"/>
              <w:jc w:val="both"/>
            </w:pPr>
            <w:r>
              <w:rPr>
                <w:rFonts w:hint="default" w:ascii="Arial" w:hAnsi="Arial" w:cs="Arial"/>
                <w:color w:val="000000"/>
                <w:sz w:val="24"/>
                <w:szCs w:val="24"/>
                <w:bdr w:val="none" w:color="auto" w:sz="0" w:space="0"/>
              </w:rPr>
              <w:t>申请人应报送的资格审查申请文件的具体内容和编排顺序如下：</w:t>
            </w:r>
          </w:p>
          <w:p>
            <w:pPr>
              <w:keepNext w:val="0"/>
              <w:keepLines w:val="0"/>
              <w:widowControl/>
              <w:numPr>
                <w:ilvl w:val="0"/>
                <w:numId w:val="3"/>
              </w:numPr>
              <w:suppressLineNumbers w:val="0"/>
              <w:spacing w:before="0" w:beforeAutospacing="1" w:after="0" w:afterAutospacing="1"/>
              <w:ind w:left="1440" w:hanging="360"/>
            </w:pP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601"/>
              </w:tabs>
              <w:spacing w:before="0" w:beforeAutospacing="0" w:after="120" w:afterAutospacing="0" w:line="300" w:lineRule="auto"/>
              <w:ind w:left="1322" w:hanging="601"/>
              <w:jc w:val="both"/>
            </w:pPr>
            <w:r>
              <w:rPr>
                <w:rFonts w:hint="default" w:ascii="Arial" w:hAnsi="Arial" w:cs="Arial"/>
                <w:color w:val="000000"/>
                <w:sz w:val="24"/>
                <w:szCs w:val="24"/>
                <w:bdr w:val="none" w:color="auto" w:sz="0" w:space="0"/>
              </w:rPr>
              <w:t>资格审查申请文件封面;</w:t>
            </w:r>
          </w:p>
          <w:p>
            <w:pPr>
              <w:keepNext w:val="0"/>
              <w:keepLines w:val="0"/>
              <w:widowControl/>
              <w:numPr>
                <w:ilvl w:val="0"/>
                <w:numId w:val="3"/>
              </w:numPr>
              <w:suppressLineNumbers w:val="0"/>
              <w:spacing w:before="0" w:beforeAutospacing="1" w:after="0" w:afterAutospacing="1"/>
              <w:ind w:left="1440" w:hanging="360"/>
            </w:pPr>
          </w:p>
          <w:p>
            <w:pPr>
              <w:keepNext w:val="0"/>
              <w:keepLines w:val="0"/>
              <w:widowControl/>
              <w:numPr>
                <w:ilvl w:val="0"/>
                <w:numId w:val="3"/>
              </w:numPr>
              <w:suppressLineNumbers w:val="0"/>
              <w:spacing w:before="0" w:beforeAutospacing="1" w:after="0" w:afterAutospacing="1"/>
              <w:ind w:left="1440" w:hanging="360"/>
            </w:pP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601"/>
              </w:tabs>
              <w:spacing w:before="0" w:beforeAutospacing="0" w:after="120" w:afterAutospacing="0" w:line="300" w:lineRule="auto"/>
              <w:ind w:left="1322" w:hanging="601"/>
              <w:jc w:val="both"/>
            </w:pPr>
            <w:r>
              <w:rPr>
                <w:rFonts w:hint="default" w:ascii="Arial" w:hAnsi="Arial" w:cs="Arial"/>
                <w:color w:val="000000"/>
                <w:sz w:val="24"/>
                <w:szCs w:val="24"/>
                <w:bdr w:val="none" w:color="auto" w:sz="0" w:space="0"/>
              </w:rPr>
              <w:t>资格审查申请文件总目录或索引（总目录或索引格式由申请人自行设计）；</w:t>
            </w:r>
          </w:p>
          <w:p>
            <w:pPr>
              <w:keepNext w:val="0"/>
              <w:keepLines w:val="0"/>
              <w:widowControl/>
              <w:numPr>
                <w:ilvl w:val="0"/>
                <w:numId w:val="3"/>
              </w:numPr>
              <w:suppressLineNumbers w:val="0"/>
              <w:spacing w:before="0" w:beforeAutospacing="1" w:after="0" w:afterAutospacing="1"/>
              <w:ind w:left="1440" w:hanging="360"/>
            </w:pPr>
          </w:p>
          <w:p>
            <w:pPr>
              <w:keepNext w:val="0"/>
              <w:keepLines w:val="0"/>
              <w:widowControl/>
              <w:numPr>
                <w:ilvl w:val="0"/>
                <w:numId w:val="3"/>
              </w:numPr>
              <w:suppressLineNumbers w:val="0"/>
              <w:spacing w:before="0" w:beforeAutospacing="1" w:after="0" w:afterAutospacing="1"/>
              <w:ind w:left="1440" w:hanging="360"/>
            </w:pP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601"/>
              </w:tabs>
              <w:spacing w:before="0" w:beforeAutospacing="0" w:after="120" w:afterAutospacing="0" w:line="300" w:lineRule="auto"/>
              <w:ind w:left="1322" w:hanging="601"/>
              <w:jc w:val="both"/>
            </w:pPr>
            <w:r>
              <w:rPr>
                <w:rFonts w:hint="default" w:ascii="Arial" w:hAnsi="Arial" w:cs="Arial"/>
                <w:color w:val="000000"/>
                <w:sz w:val="24"/>
                <w:szCs w:val="24"/>
                <w:bdr w:val="none" w:color="auto" w:sz="0" w:space="0"/>
              </w:rPr>
              <w:t>申请人致函（附件1）；</w:t>
            </w:r>
          </w:p>
          <w:p>
            <w:pPr>
              <w:keepNext w:val="0"/>
              <w:keepLines w:val="0"/>
              <w:widowControl/>
              <w:numPr>
                <w:ilvl w:val="0"/>
                <w:numId w:val="3"/>
              </w:numPr>
              <w:suppressLineNumbers w:val="0"/>
              <w:spacing w:before="0" w:beforeAutospacing="1" w:after="0" w:afterAutospacing="1"/>
              <w:ind w:left="1440" w:hanging="360"/>
            </w:pPr>
          </w:p>
          <w:p>
            <w:pPr>
              <w:keepNext w:val="0"/>
              <w:keepLines w:val="0"/>
              <w:widowControl/>
              <w:numPr>
                <w:ilvl w:val="0"/>
                <w:numId w:val="3"/>
              </w:numPr>
              <w:suppressLineNumbers w:val="0"/>
              <w:spacing w:before="0" w:beforeAutospacing="1" w:after="0" w:afterAutospacing="1"/>
              <w:ind w:left="1440" w:hanging="360"/>
            </w:pP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601"/>
              </w:tabs>
              <w:spacing w:before="0" w:beforeAutospacing="0" w:after="120" w:afterAutospacing="0" w:line="300" w:lineRule="auto"/>
              <w:ind w:left="1322" w:hanging="601"/>
              <w:jc w:val="both"/>
            </w:pPr>
            <w:r>
              <w:rPr>
                <w:rFonts w:hint="default" w:ascii="Arial" w:hAnsi="Arial" w:cs="Arial"/>
                <w:color w:val="000000"/>
                <w:sz w:val="24"/>
                <w:szCs w:val="24"/>
                <w:bdr w:val="none" w:color="auto" w:sz="0" w:space="0"/>
              </w:rPr>
              <w:t>由申请人法定代表人为授权委托人签署（签字或盖章）颁发的授权书（附件2）；</w:t>
            </w:r>
          </w:p>
          <w:p>
            <w:pPr>
              <w:keepNext w:val="0"/>
              <w:keepLines w:val="0"/>
              <w:widowControl/>
              <w:numPr>
                <w:ilvl w:val="0"/>
                <w:numId w:val="3"/>
              </w:numPr>
              <w:suppressLineNumbers w:val="0"/>
              <w:spacing w:before="0" w:beforeAutospacing="1" w:after="0" w:afterAutospacing="1"/>
              <w:ind w:left="1440" w:hanging="360"/>
            </w:pPr>
          </w:p>
          <w:p>
            <w:pPr>
              <w:keepNext w:val="0"/>
              <w:keepLines w:val="0"/>
              <w:widowControl/>
              <w:numPr>
                <w:ilvl w:val="0"/>
                <w:numId w:val="3"/>
              </w:numPr>
              <w:suppressLineNumbers w:val="0"/>
              <w:spacing w:before="0" w:beforeAutospacing="1" w:after="0" w:afterAutospacing="1"/>
              <w:ind w:left="1440" w:hanging="360"/>
            </w:pP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601"/>
              </w:tabs>
              <w:spacing w:before="0" w:beforeAutospacing="0" w:after="120" w:afterAutospacing="0" w:line="300" w:lineRule="auto"/>
              <w:ind w:left="1322" w:hanging="601"/>
              <w:jc w:val="both"/>
            </w:pPr>
            <w:r>
              <w:rPr>
                <w:rFonts w:hint="default" w:ascii="Arial" w:hAnsi="Arial" w:cs="Arial"/>
                <w:color w:val="000000"/>
                <w:sz w:val="24"/>
                <w:szCs w:val="24"/>
                <w:bdr w:val="none" w:color="auto" w:sz="0" w:space="0"/>
              </w:rPr>
              <w:t>不围标、不串标承诺函（附件3）</w:t>
            </w:r>
          </w:p>
          <w:p>
            <w:pPr>
              <w:keepNext w:val="0"/>
              <w:keepLines w:val="0"/>
              <w:widowControl/>
              <w:numPr>
                <w:ilvl w:val="0"/>
                <w:numId w:val="3"/>
              </w:numPr>
              <w:suppressLineNumbers w:val="0"/>
              <w:spacing w:before="0" w:beforeAutospacing="1" w:after="0" w:afterAutospacing="1"/>
              <w:ind w:left="1440" w:hanging="360"/>
            </w:pPr>
          </w:p>
          <w:p>
            <w:pPr>
              <w:keepNext w:val="0"/>
              <w:keepLines w:val="0"/>
              <w:widowControl/>
              <w:numPr>
                <w:ilvl w:val="0"/>
                <w:numId w:val="3"/>
              </w:numPr>
              <w:suppressLineNumbers w:val="0"/>
              <w:spacing w:before="0" w:beforeAutospacing="1" w:after="0" w:afterAutospacing="1"/>
              <w:ind w:left="1440" w:hanging="360"/>
            </w:pP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601"/>
              </w:tabs>
              <w:spacing w:before="0" w:beforeAutospacing="0" w:after="120" w:afterAutospacing="0" w:line="300" w:lineRule="auto"/>
              <w:ind w:left="1322" w:hanging="601"/>
              <w:jc w:val="both"/>
            </w:pPr>
            <w:r>
              <w:rPr>
                <w:rFonts w:hint="default" w:ascii="Arial" w:hAnsi="Arial" w:cs="Arial"/>
                <w:color w:val="000000"/>
                <w:sz w:val="24"/>
                <w:szCs w:val="24"/>
                <w:bdr w:val="none" w:color="auto" w:sz="0" w:space="0"/>
              </w:rPr>
              <w:t>申请人认为有必要提供的其他资料；</w:t>
            </w:r>
          </w:p>
          <w:p>
            <w:pPr>
              <w:keepNext w:val="0"/>
              <w:keepLines w:val="0"/>
              <w:widowControl/>
              <w:numPr>
                <w:ilvl w:val="0"/>
                <w:numId w:val="3"/>
              </w:numPr>
              <w:suppressLineNumbers w:val="0"/>
              <w:spacing w:before="0" w:beforeAutospacing="1" w:after="0" w:afterAutospacing="1"/>
              <w:ind w:left="1440" w:hanging="36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0" w:type="dxa"/>
        </w:trPr>
        <w:tc>
          <w:tcPr>
            <w:tcW w:w="900" w:type="dxa"/>
            <w:tcBorders>
              <w:top w:val="nil"/>
              <w:left w:val="nil"/>
              <w:bottom w:val="nil"/>
              <w:right w:val="nil"/>
            </w:tcBorders>
            <w:shd w:val="clear"/>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00" w:lineRule="auto"/>
              <w:jc w:val="both"/>
            </w:pPr>
            <w:r>
              <w:rPr>
                <w:rFonts w:hint="default" w:ascii="Arial" w:hAnsi="Arial" w:cs="Arial"/>
                <w:color w:val="000000"/>
                <w:sz w:val="24"/>
                <w:szCs w:val="24"/>
                <w:bdr w:val="none" w:color="auto" w:sz="0" w:space="0"/>
              </w:rPr>
              <w:t>1.2</w:t>
            </w:r>
          </w:p>
        </w:tc>
        <w:tc>
          <w:tcPr>
            <w:tcW w:w="7380" w:type="dxa"/>
            <w:tcBorders>
              <w:top w:val="nil"/>
              <w:left w:val="nil"/>
              <w:bottom w:val="nil"/>
              <w:right w:val="nil"/>
            </w:tcBorders>
            <w:shd w:val="clear"/>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00" w:lineRule="auto"/>
              <w:jc w:val="both"/>
            </w:pPr>
            <w:r>
              <w:rPr>
                <w:rFonts w:hint="default" w:ascii="Arial" w:hAnsi="Arial" w:cs="Arial"/>
                <w:color w:val="000000"/>
                <w:sz w:val="24"/>
                <w:szCs w:val="24"/>
                <w:bdr w:val="none" w:color="auto" w:sz="0" w:space="0"/>
              </w:rPr>
              <w:t>申请人提交的申请文件应客观、属实。如投标方无故不参加投标活动或迟到2次以上（1年内）、提供虚假材料、近三年内经营活动中有重大违法记录、采取不正当手段诋毁或排挤其它供应商、恶意串通或行贿、拒不签订或不如实履行采购合同、无事实依据恶意投诉，或有其它违法违规行为干扰竞标活动的，竞标人有权取消投标申请人的投标资格，并将该投标厂商列入供应商黑名单，3年内不得参与我院任何采购项目投标。如果竞标人因此遭受损失，投标申请人应予以赔偿，并且承担相应的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0" w:type="dxa"/>
        </w:trPr>
        <w:tc>
          <w:tcPr>
            <w:tcW w:w="900" w:type="dxa"/>
            <w:tcBorders>
              <w:top w:val="nil"/>
              <w:left w:val="nil"/>
              <w:bottom w:val="nil"/>
              <w:right w:val="nil"/>
            </w:tcBorders>
            <w:shd w:val="clear"/>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00" w:lineRule="auto"/>
              <w:jc w:val="both"/>
            </w:pPr>
            <w:r>
              <w:rPr>
                <w:rFonts w:hint="default" w:ascii="Arial" w:hAnsi="Arial" w:cs="Arial"/>
                <w:color w:val="000000"/>
                <w:sz w:val="24"/>
                <w:szCs w:val="24"/>
                <w:bdr w:val="none" w:color="auto" w:sz="0" w:space="0"/>
              </w:rPr>
              <w:t>2.</w:t>
            </w:r>
          </w:p>
        </w:tc>
        <w:tc>
          <w:tcPr>
            <w:tcW w:w="7380" w:type="dxa"/>
            <w:tcBorders>
              <w:top w:val="nil"/>
              <w:left w:val="nil"/>
              <w:bottom w:val="nil"/>
              <w:right w:val="nil"/>
            </w:tcBorders>
            <w:shd w:val="clear"/>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00" w:lineRule="auto"/>
              <w:jc w:val="both"/>
            </w:pPr>
            <w:r>
              <w:rPr>
                <w:rFonts w:hint="default" w:ascii="Arial" w:hAnsi="Arial" w:cs="Arial"/>
                <w:color w:val="000000"/>
                <w:sz w:val="24"/>
                <w:szCs w:val="24"/>
                <w:bdr w:val="none" w:color="auto" w:sz="0" w:space="0"/>
              </w:rPr>
              <w:t>申请文件的形式和签署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0" w:type="dxa"/>
        </w:trPr>
        <w:tc>
          <w:tcPr>
            <w:tcW w:w="900" w:type="dxa"/>
            <w:tcBorders>
              <w:top w:val="nil"/>
              <w:left w:val="nil"/>
              <w:bottom w:val="nil"/>
              <w:right w:val="nil"/>
            </w:tcBorders>
            <w:shd w:val="clear"/>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00" w:lineRule="auto"/>
              <w:jc w:val="both"/>
            </w:pPr>
            <w:r>
              <w:rPr>
                <w:rFonts w:hint="default" w:ascii="Arial" w:hAnsi="Arial" w:cs="Arial"/>
                <w:color w:val="000000"/>
                <w:sz w:val="24"/>
                <w:szCs w:val="24"/>
                <w:bdr w:val="none" w:color="auto" w:sz="0" w:space="0"/>
              </w:rPr>
              <w:t>2.1</w:t>
            </w:r>
          </w:p>
        </w:tc>
        <w:tc>
          <w:tcPr>
            <w:tcW w:w="7380" w:type="dxa"/>
            <w:tcBorders>
              <w:top w:val="nil"/>
              <w:left w:val="nil"/>
              <w:bottom w:val="nil"/>
              <w:right w:val="nil"/>
            </w:tcBorders>
            <w:shd w:val="clear"/>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00" w:lineRule="auto"/>
              <w:jc w:val="both"/>
            </w:pPr>
            <w:r>
              <w:rPr>
                <w:rFonts w:hint="default" w:ascii="Arial" w:hAnsi="Arial" w:cs="Arial"/>
                <w:color w:val="000000"/>
                <w:sz w:val="24"/>
                <w:szCs w:val="24"/>
                <w:bdr w:val="none" w:color="auto" w:sz="0" w:space="0"/>
              </w:rPr>
              <w:t>申请文件应左侧</w:t>
            </w:r>
            <w:r>
              <w:rPr>
                <w:rFonts w:hint="eastAsia" w:ascii="仿宋" w:hAnsi="仿宋" w:eastAsia="仿宋" w:cs="仿宋"/>
                <w:color w:val="000000"/>
                <w:sz w:val="24"/>
                <w:szCs w:val="24"/>
                <w:u w:val="single"/>
                <w:bdr w:val="none" w:color="auto" w:sz="0" w:space="0"/>
              </w:rPr>
              <w:t>装订或胶装</w:t>
            </w:r>
            <w:r>
              <w:rPr>
                <w:rFonts w:hint="default" w:ascii="Arial" w:hAnsi="Arial" w:cs="Arial"/>
                <w:color w:val="000000"/>
                <w:sz w:val="24"/>
                <w:szCs w:val="24"/>
                <w:bdr w:val="none" w:color="auto" w:sz="0" w:space="0"/>
              </w:rPr>
              <w:t>（如果申请文件太厚，可以分册装订），装订方式应牢固、美观，不得采用活页方式装订。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0" w:type="dxa"/>
        </w:trPr>
        <w:tc>
          <w:tcPr>
            <w:tcW w:w="900" w:type="dxa"/>
            <w:tcBorders>
              <w:top w:val="nil"/>
              <w:left w:val="nil"/>
              <w:bottom w:val="nil"/>
              <w:right w:val="nil"/>
            </w:tcBorders>
            <w:shd w:val="clear"/>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00" w:lineRule="auto"/>
              <w:jc w:val="both"/>
            </w:pPr>
            <w:r>
              <w:rPr>
                <w:rFonts w:hint="default" w:ascii="Arial" w:hAnsi="Arial" w:cs="Arial"/>
                <w:color w:val="000000"/>
                <w:sz w:val="24"/>
                <w:szCs w:val="24"/>
                <w:bdr w:val="none" w:color="auto" w:sz="0" w:space="0"/>
              </w:rPr>
              <w:t>3.</w:t>
            </w:r>
          </w:p>
        </w:tc>
        <w:tc>
          <w:tcPr>
            <w:tcW w:w="7380" w:type="dxa"/>
            <w:tcBorders>
              <w:top w:val="nil"/>
              <w:left w:val="nil"/>
              <w:bottom w:val="nil"/>
              <w:right w:val="nil"/>
            </w:tcBorders>
            <w:shd w:val="clear"/>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00" w:lineRule="auto"/>
              <w:jc w:val="both"/>
            </w:pPr>
            <w:r>
              <w:rPr>
                <w:rFonts w:hint="default" w:ascii="Arial" w:hAnsi="Arial" w:cs="Arial"/>
                <w:color w:val="000000"/>
                <w:sz w:val="24"/>
                <w:szCs w:val="24"/>
                <w:bdr w:val="none" w:color="auto" w:sz="0" w:space="0"/>
              </w:rPr>
              <w:t>申请文件的递交审核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0" w:type="dxa"/>
        </w:trPr>
        <w:tc>
          <w:tcPr>
            <w:tcW w:w="900" w:type="dxa"/>
            <w:tcBorders>
              <w:top w:val="nil"/>
              <w:left w:val="nil"/>
              <w:bottom w:val="nil"/>
              <w:right w:val="nil"/>
            </w:tcBorders>
            <w:shd w:val="clear"/>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00" w:lineRule="auto"/>
              <w:jc w:val="both"/>
            </w:pPr>
            <w:r>
              <w:rPr>
                <w:rFonts w:hint="default" w:ascii="Arial" w:hAnsi="Arial" w:cs="Arial"/>
                <w:color w:val="000000"/>
                <w:sz w:val="24"/>
                <w:szCs w:val="24"/>
                <w:bdr w:val="none" w:color="auto" w:sz="0" w:space="0"/>
              </w:rPr>
              <w:t>3.1</w:t>
            </w:r>
          </w:p>
        </w:tc>
        <w:tc>
          <w:tcPr>
            <w:tcW w:w="7380" w:type="dxa"/>
            <w:tcBorders>
              <w:top w:val="nil"/>
              <w:left w:val="nil"/>
              <w:bottom w:val="nil"/>
              <w:right w:val="nil"/>
            </w:tcBorders>
            <w:shd w:val="clear"/>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00" w:lineRule="auto"/>
              <w:jc w:val="both"/>
            </w:pPr>
            <w:r>
              <w:rPr>
                <w:rFonts w:hint="default" w:ascii="Arial" w:hAnsi="Arial" w:cs="Arial"/>
                <w:color w:val="000000"/>
                <w:sz w:val="24"/>
                <w:szCs w:val="24"/>
                <w:bdr w:val="none" w:color="auto" w:sz="0" w:space="0"/>
              </w:rPr>
              <w:t>投标申请人应按前款规定的时间到以下地点递交申请文件：</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00" w:lineRule="auto"/>
              <w:jc w:val="both"/>
            </w:pPr>
            <w:r>
              <w:rPr>
                <w:rFonts w:hint="default" w:ascii="Arial" w:hAnsi="Arial" w:cs="Arial"/>
                <w:color w:val="000000"/>
                <w:sz w:val="24"/>
                <w:szCs w:val="24"/>
                <w:u w:val="single"/>
                <w:bdr w:val="none" w:color="auto" w:sz="0" w:space="0"/>
              </w:rPr>
              <w:t>共青城市人民医院综合楼门诊四楼院办公室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0" w:type="dxa"/>
        </w:trPr>
        <w:tc>
          <w:tcPr>
            <w:tcW w:w="900" w:type="dxa"/>
            <w:tcBorders>
              <w:top w:val="nil"/>
              <w:left w:val="nil"/>
              <w:bottom w:val="nil"/>
              <w:right w:val="nil"/>
            </w:tcBorders>
            <w:shd w:val="clear"/>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00" w:lineRule="auto"/>
              <w:jc w:val="both"/>
            </w:pPr>
            <w:r>
              <w:rPr>
                <w:rFonts w:hint="default" w:ascii="Arial" w:hAnsi="Arial" w:cs="Arial"/>
                <w:color w:val="000000"/>
                <w:sz w:val="24"/>
                <w:szCs w:val="24"/>
                <w:bdr w:val="none" w:color="auto" w:sz="0" w:space="0"/>
              </w:rPr>
              <w:t>3.2</w:t>
            </w:r>
          </w:p>
        </w:tc>
        <w:tc>
          <w:tcPr>
            <w:tcW w:w="7380" w:type="dxa"/>
            <w:tcBorders>
              <w:top w:val="nil"/>
              <w:left w:val="nil"/>
              <w:bottom w:val="nil"/>
              <w:right w:val="nil"/>
            </w:tcBorders>
            <w:shd w:val="clear"/>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00" w:lineRule="auto"/>
              <w:jc w:val="both"/>
            </w:pPr>
            <w:r>
              <w:rPr>
                <w:rFonts w:hint="default" w:ascii="Arial" w:hAnsi="Arial" w:cs="Arial"/>
                <w:color w:val="000000"/>
                <w:sz w:val="24"/>
                <w:szCs w:val="24"/>
                <w:bdr w:val="none" w:color="auto" w:sz="0" w:space="0"/>
              </w:rPr>
              <w:t>竞标人有权拒绝接收在本条规定的截止时间以后收到的以及未递交到本条规定地点的任何申请文件，被拒绝的申请文件将原封退还投标申请人。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0" w:type="dxa"/>
        </w:trPr>
        <w:tc>
          <w:tcPr>
            <w:tcW w:w="900" w:type="dxa"/>
            <w:tcBorders>
              <w:top w:val="nil"/>
              <w:left w:val="nil"/>
              <w:bottom w:val="nil"/>
              <w:right w:val="nil"/>
            </w:tcBorders>
            <w:shd w:val="clear"/>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00" w:lineRule="auto"/>
              <w:jc w:val="both"/>
            </w:pPr>
            <w:r>
              <w:rPr>
                <w:rFonts w:hint="default" w:ascii="Arial" w:hAnsi="Arial" w:cs="Arial"/>
                <w:color w:val="000000"/>
                <w:sz w:val="24"/>
                <w:szCs w:val="24"/>
                <w:bdr w:val="none" w:color="auto" w:sz="0" w:space="0"/>
              </w:rPr>
              <w:t>4</w:t>
            </w:r>
          </w:p>
        </w:tc>
        <w:tc>
          <w:tcPr>
            <w:tcW w:w="7380" w:type="dxa"/>
            <w:tcBorders>
              <w:top w:val="nil"/>
              <w:left w:val="nil"/>
              <w:bottom w:val="nil"/>
              <w:right w:val="nil"/>
            </w:tcBorders>
            <w:shd w:val="clear"/>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00" w:lineRule="auto"/>
              <w:jc w:val="both"/>
            </w:pPr>
            <w:r>
              <w:rPr>
                <w:rFonts w:hint="default" w:ascii="Arial" w:hAnsi="Arial" w:cs="Arial"/>
                <w:color w:val="000000"/>
                <w:sz w:val="24"/>
                <w:szCs w:val="24"/>
                <w:bdr w:val="none" w:color="auto" w:sz="0" w:space="0"/>
              </w:rPr>
              <w:t>已入驻江西省政府采购电子卖场的供应商均可参与。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0" w:type="dxa"/>
        </w:trPr>
        <w:tc>
          <w:tcPr>
            <w:tcW w:w="900" w:type="dxa"/>
            <w:tcBorders>
              <w:top w:val="nil"/>
              <w:left w:val="nil"/>
              <w:bottom w:val="nil"/>
              <w:right w:val="nil"/>
            </w:tcBorders>
            <w:shd w:val="clear"/>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00" w:lineRule="auto"/>
              <w:jc w:val="both"/>
            </w:pPr>
            <w:r>
              <w:rPr>
                <w:rFonts w:hint="default" w:ascii="Arial" w:hAnsi="Arial" w:cs="Arial"/>
                <w:color w:val="000000"/>
                <w:sz w:val="24"/>
                <w:szCs w:val="24"/>
                <w:bdr w:val="none" w:color="auto" w:sz="0" w:space="0"/>
              </w:rPr>
              <w:t>5</w:t>
            </w:r>
          </w:p>
        </w:tc>
        <w:tc>
          <w:tcPr>
            <w:tcW w:w="7380" w:type="dxa"/>
            <w:tcBorders>
              <w:top w:val="nil"/>
              <w:left w:val="nil"/>
              <w:bottom w:val="nil"/>
              <w:right w:val="nil"/>
            </w:tcBorders>
            <w:shd w:val="clear"/>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00" w:lineRule="auto"/>
              <w:jc w:val="both"/>
            </w:pPr>
            <w:r>
              <w:rPr>
                <w:rFonts w:hint="default" w:ascii="Arial" w:hAnsi="Arial" w:cs="Arial"/>
                <w:color w:val="000000"/>
                <w:sz w:val="24"/>
                <w:szCs w:val="24"/>
                <w:bdr w:val="none" w:color="auto" w:sz="0" w:space="0"/>
              </w:rPr>
              <w:t>投标报价单（需加盖公章）。</w:t>
            </w:r>
          </w:p>
        </w:tc>
      </w:tr>
    </w:tbl>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00" w:lineRule="auto"/>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00" w:lineRule="auto"/>
        <w:ind w:left="0" w:firstLine="2554"/>
        <w:jc w:val="both"/>
      </w:pPr>
      <w:r>
        <w:rPr>
          <w:rFonts w:hint="default" w:ascii="Arial" w:hAnsi="Arial" w:cs="Arial"/>
          <w:b/>
          <w:bCs/>
          <w:color w:val="000000"/>
          <w:sz w:val="32"/>
          <w:szCs w:val="32"/>
        </w:rPr>
        <w:t>第三部分  附件</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120" w:beforeAutospacing="0" w:after="120" w:afterAutospacing="0"/>
        <w:ind w:left="0" w:firstLine="560"/>
        <w:jc w:val="both"/>
      </w:pPr>
      <w:r>
        <w:rPr>
          <w:rFonts w:hint="eastAsia" w:ascii="宋体" w:hAnsi="宋体" w:eastAsia="宋体" w:cs="宋体"/>
          <w:color w:val="000000"/>
          <w:sz w:val="28"/>
          <w:szCs w:val="28"/>
        </w:rPr>
        <w:t>附件1  投标申请人致函参考格式</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120" w:beforeAutospacing="0" w:after="120" w:afterAutospacing="0"/>
        <w:ind w:left="0" w:firstLine="560"/>
        <w:jc w:val="both"/>
      </w:pPr>
      <w:r>
        <w:rPr>
          <w:rFonts w:hint="eastAsia" w:ascii="宋体" w:hAnsi="宋体" w:eastAsia="宋体" w:cs="宋体"/>
          <w:color w:val="000000"/>
          <w:sz w:val="28"/>
          <w:szCs w:val="28"/>
        </w:rPr>
        <w:t>附件2  授权书参考格式</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120" w:beforeAutospacing="0" w:after="120" w:afterAutospacing="0"/>
        <w:ind w:left="0" w:firstLine="560"/>
        <w:jc w:val="both"/>
      </w:pPr>
      <w:r>
        <w:rPr>
          <w:rFonts w:hint="eastAsia" w:ascii="宋体" w:hAnsi="宋体" w:eastAsia="宋体" w:cs="宋体"/>
          <w:color w:val="000000"/>
          <w:sz w:val="28"/>
          <w:szCs w:val="28"/>
        </w:rPr>
        <w:t>附件3  不围标、不串标承诺函</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120" w:beforeAutospacing="0" w:after="120" w:afterAutospacing="0"/>
        <w:ind w:left="0" w:firstLine="480"/>
        <w:jc w:val="both"/>
      </w:pPr>
      <w:r>
        <w:rPr>
          <w:rFonts w:hint="default" w:ascii="Arial" w:hAnsi="Arial" w:cs="Arial"/>
          <w:color w:val="000000"/>
          <w:sz w:val="24"/>
          <w:szCs w:val="24"/>
        </w:rPr>
        <w:br w:type="page"/>
      </w:r>
      <w:r>
        <w:rPr>
          <w:rFonts w:hint="default" w:ascii="Arial" w:hAnsi="Arial" w:cs="Arial"/>
          <w:color w:val="000000"/>
          <w:sz w:val="24"/>
          <w:szCs w:val="24"/>
        </w:rPr>
        <w:t> </w:t>
      </w:r>
      <w:r>
        <w:rPr>
          <w:rFonts w:hint="default" w:ascii="Arial" w:hAnsi="Arial" w:cs="Arial"/>
          <w:b/>
          <w:bCs/>
          <w:color w:val="000000"/>
          <w:sz w:val="24"/>
          <w:szCs w:val="24"/>
          <w:u w:val="single"/>
        </w:rPr>
        <w:t>附件1：投标申请人致函参考格式</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default" w:ascii="Arial" w:hAnsi="Arial" w:cs="Arial"/>
          <w:b/>
          <w:bCs/>
          <w:color w:val="000000"/>
          <w:sz w:val="32"/>
          <w:szCs w:val="32"/>
        </w:rPr>
        <w:t xml:space="preserve">投标申请人致函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00" w:lineRule="auto"/>
        <w:jc w:val="both"/>
      </w:pPr>
      <w:r>
        <w:rPr>
          <w:rFonts w:hint="default" w:ascii="Arial" w:hAnsi="Arial" w:cs="Arial"/>
          <w:color w:val="000000"/>
          <w:sz w:val="24"/>
          <w:szCs w:val="24"/>
        </w:rPr>
        <w:t>竞标项目名称：</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00" w:lineRule="auto"/>
        <w:jc w:val="both"/>
      </w:pPr>
      <w:r>
        <w:rPr>
          <w:rFonts w:hint="default" w:ascii="Arial" w:hAnsi="Arial" w:cs="Arial"/>
          <w:color w:val="000000"/>
          <w:sz w:val="21"/>
          <w:szCs w:val="21"/>
        </w:rPr>
        <w:t>致：</w:t>
      </w:r>
      <w:r>
        <w:rPr>
          <w:rFonts w:hint="default" w:ascii="Arial" w:hAnsi="Arial" w:cs="Arial"/>
          <w:color w:val="000000"/>
          <w:sz w:val="21"/>
          <w:szCs w:val="21"/>
          <w:u w:val="single"/>
        </w:rPr>
        <w:t xml:space="preserve">   共青城市人民医院  </w:t>
      </w:r>
      <w:r>
        <w:rPr>
          <w:rFonts w:hint="default" w:ascii="Arial" w:hAnsi="Arial" w:cs="Arial"/>
          <w:color w:val="000000"/>
          <w:sz w:val="21"/>
          <w:szCs w:val="21"/>
        </w:rPr>
        <w:t>：</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00" w:lineRule="auto"/>
        <w:ind w:left="0" w:firstLine="420"/>
        <w:jc w:val="both"/>
      </w:pPr>
      <w:r>
        <w:rPr>
          <w:rFonts w:hint="default" w:ascii="Arial" w:hAnsi="Arial" w:cs="Arial"/>
          <w:color w:val="000000"/>
          <w:sz w:val="21"/>
          <w:szCs w:val="21"/>
        </w:rPr>
        <w:t>在充分研究上述竞标项目之资格审查文件中规定的要求和条件后，我们谨此向你们递交</w:t>
      </w:r>
      <w:r>
        <w:rPr>
          <w:rFonts w:hint="default" w:ascii="Arial" w:hAnsi="Arial" w:cs="Arial"/>
          <w:color w:val="000000"/>
          <w:sz w:val="21"/>
          <w:szCs w:val="21"/>
          <w:u w:val="single"/>
        </w:rPr>
        <w:t>                                 （竞标项目名称）</w:t>
      </w:r>
      <w:r>
        <w:rPr>
          <w:rFonts w:hint="default" w:ascii="Arial" w:hAnsi="Arial" w:cs="Arial"/>
          <w:color w:val="000000"/>
          <w:sz w:val="21"/>
          <w:szCs w:val="21"/>
        </w:rPr>
        <w:t>投标资格审查申请文件，并以此申请作为上述竞标的合格投标人。</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00" w:lineRule="auto"/>
        <w:ind w:left="0" w:firstLine="420"/>
        <w:jc w:val="both"/>
      </w:pPr>
      <w:r>
        <w:rPr>
          <w:rFonts w:hint="default" w:ascii="Arial" w:hAnsi="Arial" w:cs="Arial"/>
          <w:color w:val="000000"/>
          <w:sz w:val="21"/>
          <w:szCs w:val="21"/>
        </w:rPr>
        <w:t>我们承认你们指定的代表有权为证实我们递交的声明、文件及资料或验证我们的财务和技术状况进行调查。为此，我们授权任何相关的个人或公司向你们提供所要求的和必要的真实情况和资料以证实我们在资格审查申请文件中所填报的各项内容。</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00" w:lineRule="auto"/>
        <w:ind w:left="0" w:firstLine="420"/>
        <w:jc w:val="both"/>
      </w:pPr>
      <w:r>
        <w:rPr>
          <w:rFonts w:hint="default" w:ascii="Arial" w:hAnsi="Arial" w:cs="Arial"/>
          <w:color w:val="000000"/>
          <w:sz w:val="21"/>
          <w:szCs w:val="21"/>
        </w:rPr>
        <w:t>我们在此郑重承诺：如果在该项目投标资格审查过程中或者在投标过程中或者在中标后，竞标人或者有管辖权的竞标投标行政监管机构发现并查实我公司在所填报的该项目资格审查申请文件中存在提供虚假或不真实的信息或者伪造数据、资料或证书等情况，不管竞标人或有管辖权的竞标投标监管机构是否有合法的处罚依据，我公司将无条件地自动放弃该项目的投标资格和中标资格；如果我公司已经收到中标通知书，我公司无条件地承认，我公司所收到的该项目中标通知书为无效文件，对竞标人不具任何法律约束力；由此造成的任何后果和损失均由我公司承担。</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00" w:lineRule="auto"/>
        <w:ind w:left="0" w:firstLine="420"/>
        <w:jc w:val="both"/>
      </w:pPr>
      <w:r>
        <w:rPr>
          <w:rFonts w:hint="default" w:ascii="Arial" w:hAnsi="Arial" w:cs="Arial"/>
          <w:color w:val="000000"/>
          <w:sz w:val="21"/>
          <w:szCs w:val="21"/>
        </w:rPr>
        <w:t>本段承诺具有相对独立性，不管是否有其他相反的说明，本段承诺既是我公司投标资格申请文件的有效组成内容，也是我公司获得投标资格后所递交的投标书的有效组成内容，是我公司真实意思的表示，对我公司在与该项目有关的任何行为中始终具有优先的法律约束力。</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00" w:lineRule="auto"/>
        <w:ind w:left="0" w:firstLine="420"/>
        <w:jc w:val="both"/>
      </w:pPr>
      <w:r>
        <w:rPr>
          <w:rFonts w:hint="default" w:ascii="Arial" w:hAnsi="Arial" w:cs="Arial"/>
          <w:color w:val="000000"/>
          <w:sz w:val="21"/>
          <w:szCs w:val="21"/>
        </w:rPr>
        <w:t>我们完全理解并接受你们在资格审查文件中关于上述竞标项目之资格审查工作的所有安排以及你们根据情况需要可能做出的适当调整。</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00" w:lineRule="auto"/>
        <w:ind w:left="0" w:firstLine="420"/>
        <w:jc w:val="both"/>
      </w:pPr>
      <w:r>
        <w:rPr>
          <w:rFonts w:hint="default" w:ascii="Arial" w:hAnsi="Arial" w:cs="Arial"/>
          <w:color w:val="000000"/>
          <w:sz w:val="21"/>
          <w:szCs w:val="21"/>
        </w:rPr>
        <w:t>如你们需要我们提供任何进一步资料，请与下述人员联系：</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00" w:lineRule="auto"/>
        <w:jc w:val="both"/>
      </w:pPr>
      <w:r>
        <w:rPr>
          <w:rFonts w:hint="default" w:ascii="Arial" w:hAnsi="Arial" w:cs="Arial"/>
          <w:color w:val="000000"/>
          <w:sz w:val="21"/>
          <w:szCs w:val="21"/>
        </w:rPr>
        <w:t xml:space="preserve">姓名:________________________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00" w:lineRule="auto"/>
        <w:jc w:val="both"/>
      </w:pPr>
      <w:r>
        <w:rPr>
          <w:rFonts w:hint="default" w:ascii="Arial" w:hAnsi="Arial" w:cs="Arial"/>
          <w:color w:val="000000"/>
          <w:sz w:val="21"/>
          <w:szCs w:val="21"/>
        </w:rPr>
        <w:t>联系电话和地址:_____________________________________</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ind w:left="0" w:firstLine="720"/>
        <w:jc w:val="both"/>
      </w:pPr>
      <w:r>
        <w:rPr>
          <w:rFonts w:hint="default" w:ascii="Arial" w:hAnsi="Arial" w:cs="Arial"/>
          <w:color w:val="000000"/>
          <w:sz w:val="32"/>
          <w:szCs w:val="32"/>
        </w:rPr>
        <w:t>我们声明，我们所填报的资料是完全真实和准确的，并愿为此承担任何法律责任。</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00" w:lineRule="auto"/>
        <w:jc w:val="both"/>
      </w:pPr>
      <w:r>
        <w:rPr>
          <w:rFonts w:hint="default" w:ascii="Arial" w:hAnsi="Arial" w:cs="Arial"/>
          <w:color w:val="000000"/>
          <w:sz w:val="21"/>
          <w:szCs w:val="21"/>
        </w:rPr>
        <w:t xml:space="preserve">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00" w:lineRule="auto"/>
        <w:ind w:left="0" w:firstLine="420"/>
        <w:jc w:val="both"/>
      </w:pPr>
      <w:r>
        <w:rPr>
          <w:rFonts w:hint="default" w:ascii="Arial" w:hAnsi="Arial" w:cs="Arial"/>
          <w:color w:val="000000"/>
          <w:sz w:val="21"/>
          <w:szCs w:val="21"/>
        </w:rPr>
        <w:t>投标申请人（</w:t>
      </w:r>
      <w:r>
        <w:rPr>
          <w:rFonts w:hint="default" w:ascii="Arial" w:hAnsi="Arial" w:cs="Arial"/>
          <w:i/>
          <w:iCs/>
          <w:color w:val="000000"/>
          <w:sz w:val="21"/>
          <w:szCs w:val="21"/>
        </w:rPr>
        <w:t>公司名称及公章</w:t>
      </w:r>
      <w:r>
        <w:rPr>
          <w:rFonts w:hint="default" w:ascii="Arial" w:hAnsi="Arial" w:cs="Arial"/>
          <w:color w:val="000000"/>
          <w:sz w:val="21"/>
          <w:szCs w:val="21"/>
        </w:rPr>
        <w:t>）：</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00" w:lineRule="auto"/>
        <w:jc w:val="both"/>
      </w:pPr>
      <w:r>
        <w:rPr>
          <w:rFonts w:hint="default" w:ascii="Arial" w:hAnsi="Arial" w:cs="Arial"/>
          <w:color w:val="000000"/>
          <w:sz w:val="21"/>
          <w:szCs w:val="21"/>
        </w:rPr>
        <w:t xml:space="preserve">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00" w:lineRule="auto"/>
        <w:ind w:left="0" w:firstLine="2835"/>
        <w:jc w:val="both"/>
      </w:pPr>
      <w:r>
        <w:rPr>
          <w:rFonts w:hint="default" w:ascii="Arial" w:hAnsi="Arial" w:cs="Arial"/>
          <w:color w:val="000000"/>
          <w:sz w:val="21"/>
          <w:szCs w:val="21"/>
        </w:rPr>
        <w:t>法定代表人或授权委托人（</w:t>
      </w:r>
      <w:r>
        <w:rPr>
          <w:rFonts w:hint="default" w:ascii="Arial" w:hAnsi="Arial" w:cs="Arial"/>
          <w:i/>
          <w:iCs/>
          <w:color w:val="000000"/>
          <w:sz w:val="21"/>
          <w:szCs w:val="21"/>
        </w:rPr>
        <w:t>签字或盖章</w:t>
      </w:r>
      <w:r>
        <w:rPr>
          <w:rFonts w:hint="default" w:ascii="Arial" w:hAnsi="Arial" w:cs="Arial"/>
          <w:color w:val="000000"/>
          <w:sz w:val="21"/>
          <w:szCs w:val="21"/>
        </w:rPr>
        <w:t>）：</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300" w:lineRule="auto"/>
        <w:ind w:left="0" w:firstLine="2835"/>
        <w:jc w:val="both"/>
      </w:pPr>
      <w:r>
        <w:rPr>
          <w:rFonts w:hint="default" w:ascii="Arial" w:hAnsi="Arial" w:cs="Arial"/>
          <w:color w:val="000000"/>
          <w:sz w:val="21"/>
          <w:szCs w:val="21"/>
        </w:rPr>
        <w:t>日期：</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084" w:hanging="1084"/>
        <w:jc w:val="both"/>
      </w:pPr>
      <w:r>
        <w:rPr>
          <w:rFonts w:hint="default" w:ascii="Arial" w:hAnsi="Arial" w:cs="Arial"/>
          <w:b/>
          <w:bCs/>
          <w:color w:val="000000"/>
          <w:sz w:val="24"/>
          <w:szCs w:val="24"/>
        </w:rPr>
        <w:br w:type="page"/>
      </w:r>
      <w:r>
        <w:rPr>
          <w:rFonts w:hint="default" w:ascii="Arial" w:hAnsi="Arial" w:cs="Arial"/>
          <w:b/>
          <w:bCs/>
          <w:color w:val="000000"/>
          <w:sz w:val="24"/>
          <w:szCs w:val="24"/>
        </w:rPr>
        <w:t> </w:t>
      </w:r>
      <w:r>
        <w:rPr>
          <w:rFonts w:hint="default" w:ascii="Arial" w:hAnsi="Arial" w:cs="Arial"/>
          <w:b/>
          <w:bCs/>
          <w:color w:val="000000"/>
          <w:sz w:val="24"/>
          <w:szCs w:val="24"/>
          <w:u w:val="single"/>
        </w:rPr>
        <w:t>附件2：授权书参考格式</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Arial" w:hAnsi="Arial" w:cs="Arial"/>
          <w:b/>
          <w:bCs/>
          <w:color w:val="000000"/>
          <w:sz w:val="32"/>
          <w:szCs w:val="32"/>
        </w:rPr>
        <w:t>授权书</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160" w:lineRule="atLeast"/>
        <w:ind w:left="5040"/>
        <w:jc w:val="both"/>
      </w:pPr>
      <w: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240" w:afterAutospacing="0" w:line="360" w:lineRule="auto"/>
        <w:ind w:left="0" w:firstLine="480"/>
        <w:jc w:val="both"/>
      </w:pPr>
      <w:r>
        <w:rPr>
          <w:rFonts w:hint="default" w:ascii="Arial" w:hAnsi="Arial" w:cs="Arial"/>
          <w:color w:val="000000"/>
          <w:sz w:val="24"/>
          <w:szCs w:val="24"/>
        </w:rPr>
        <w:t>本人</w:t>
      </w:r>
      <w:r>
        <w:rPr>
          <w:rFonts w:hint="default" w:ascii="Arial" w:hAnsi="Arial" w:cs="Arial"/>
          <w:color w:val="000000"/>
          <w:sz w:val="24"/>
          <w:szCs w:val="24"/>
          <w:u w:val="single"/>
        </w:rPr>
        <w:t xml:space="preserve">            </w:t>
      </w:r>
      <w:r>
        <w:rPr>
          <w:rFonts w:hint="default" w:ascii="Arial" w:hAnsi="Arial" w:cs="Arial"/>
          <w:color w:val="000000"/>
          <w:sz w:val="24"/>
          <w:szCs w:val="24"/>
        </w:rPr>
        <w:t>（身份证号：</w:t>
      </w:r>
      <w:r>
        <w:rPr>
          <w:rFonts w:hint="default" w:ascii="Arial" w:hAnsi="Arial" w:cs="Arial"/>
          <w:color w:val="000000"/>
          <w:sz w:val="24"/>
          <w:szCs w:val="24"/>
          <w:u w:val="single"/>
        </w:rPr>
        <w:t xml:space="preserve">                        </w:t>
      </w:r>
      <w:r>
        <w:rPr>
          <w:rFonts w:hint="default" w:ascii="Arial" w:hAnsi="Arial" w:cs="Arial"/>
          <w:color w:val="000000"/>
          <w:sz w:val="24"/>
          <w:szCs w:val="24"/>
        </w:rPr>
        <w:t>），作为</w:t>
      </w:r>
      <w:r>
        <w:rPr>
          <w:rFonts w:hint="default" w:ascii="Arial" w:hAnsi="Arial" w:cs="Arial"/>
          <w:color w:val="000000"/>
          <w:sz w:val="24"/>
          <w:szCs w:val="24"/>
          <w:u w:val="single"/>
        </w:rPr>
        <w:t xml:space="preserve">（公司名称）                   </w:t>
      </w:r>
      <w:r>
        <w:rPr>
          <w:rFonts w:hint="default" w:ascii="Arial" w:hAnsi="Arial" w:cs="Arial"/>
          <w:color w:val="000000"/>
          <w:sz w:val="24"/>
          <w:szCs w:val="24"/>
        </w:rPr>
        <w:t>法定代表人，在此授权我公司</w:t>
      </w:r>
      <w:r>
        <w:rPr>
          <w:rFonts w:hint="default" w:ascii="Arial" w:hAnsi="Arial" w:cs="Arial"/>
          <w:color w:val="000000"/>
          <w:sz w:val="24"/>
          <w:szCs w:val="24"/>
          <w:u w:val="single"/>
        </w:rPr>
        <w:t xml:space="preserve">          </w:t>
      </w:r>
      <w:r>
        <w:rPr>
          <w:rFonts w:hint="default" w:ascii="Arial" w:hAnsi="Arial" w:cs="Arial"/>
          <w:color w:val="000000"/>
          <w:sz w:val="24"/>
          <w:szCs w:val="24"/>
        </w:rPr>
        <w:t>先生/女士（身份证号：</w:t>
      </w:r>
      <w:r>
        <w:rPr>
          <w:rFonts w:hint="default" w:ascii="Arial" w:hAnsi="Arial" w:cs="Arial"/>
          <w:color w:val="000000"/>
          <w:sz w:val="24"/>
          <w:szCs w:val="24"/>
          <w:u w:val="single"/>
        </w:rPr>
        <w:t xml:space="preserve">                    </w:t>
      </w:r>
      <w:r>
        <w:rPr>
          <w:rFonts w:hint="default" w:ascii="Arial" w:hAnsi="Arial" w:cs="Arial"/>
          <w:color w:val="000000"/>
          <w:sz w:val="24"/>
          <w:szCs w:val="24"/>
        </w:rPr>
        <w:t>）作为我公司正式合法的代理人以我公司名义并代表我公司全权处理</w:t>
      </w:r>
      <w:r>
        <w:rPr>
          <w:rFonts w:hint="default" w:ascii="Arial" w:hAnsi="Arial" w:cs="Arial"/>
          <w:color w:val="000000"/>
          <w:sz w:val="24"/>
          <w:szCs w:val="24"/>
          <w:u w:val="single"/>
        </w:rPr>
        <w:t>                        （项目）</w:t>
      </w:r>
      <w:r>
        <w:rPr>
          <w:rFonts w:hint="default" w:ascii="Arial" w:hAnsi="Arial" w:cs="Arial"/>
          <w:color w:val="000000"/>
          <w:sz w:val="24"/>
          <w:szCs w:val="24"/>
        </w:rPr>
        <w:t>招投标业务办理及合同签订等相关事宜。</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240" w:afterAutospacing="0" w:line="300" w:lineRule="auto"/>
        <w:ind w:left="0" w:firstLine="480"/>
        <w:jc w:val="both"/>
      </w:pPr>
      <w:r>
        <w:rPr>
          <w:rFonts w:hint="default" w:ascii="Arial" w:hAnsi="Arial" w:cs="Arial"/>
          <w:color w:val="000000"/>
          <w:sz w:val="24"/>
          <w:szCs w:val="24"/>
        </w:rPr>
        <w:t>本授权书限期自</w:t>
      </w:r>
      <w:r>
        <w:rPr>
          <w:rFonts w:hint="default" w:ascii="Arial" w:hAnsi="Arial" w:cs="Arial"/>
          <w:color w:val="000000"/>
          <w:sz w:val="24"/>
          <w:szCs w:val="24"/>
          <w:u w:val="single"/>
        </w:rPr>
        <w:t xml:space="preserve">           </w:t>
      </w:r>
      <w:r>
        <w:rPr>
          <w:rFonts w:hint="default" w:ascii="Arial" w:hAnsi="Arial" w:cs="Arial"/>
          <w:color w:val="000000"/>
          <w:sz w:val="24"/>
          <w:szCs w:val="24"/>
        </w:rPr>
        <w:t>起至</w:t>
      </w:r>
      <w:r>
        <w:rPr>
          <w:rFonts w:hint="default" w:ascii="Arial" w:hAnsi="Arial" w:cs="Arial"/>
          <w:color w:val="000000"/>
          <w:sz w:val="24"/>
          <w:szCs w:val="24"/>
          <w:u w:val="single"/>
        </w:rPr>
        <w:t xml:space="preserve">             </w:t>
      </w:r>
      <w:r>
        <w:rPr>
          <w:rFonts w:hint="default" w:ascii="Arial" w:hAnsi="Arial" w:cs="Arial"/>
          <w:color w:val="000000"/>
          <w:sz w:val="24"/>
          <w:szCs w:val="24"/>
        </w:rPr>
        <w:t>止。</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240" w:afterAutospacing="0" w:line="300" w:lineRule="auto"/>
        <w:ind w:left="0" w:firstLine="480"/>
        <w:jc w:val="both"/>
      </w:pPr>
      <w:r>
        <w:rPr>
          <w:rFonts w:hint="default" w:ascii="Arial" w:hAnsi="Arial" w:cs="Arial"/>
          <w:color w:val="000000"/>
          <w:sz w:val="24"/>
          <w:szCs w:val="24"/>
        </w:rPr>
        <w:t>在此授权期限内，被授权人所实施的行为具有法律效力，授权人予以认可。</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240" w:afterAutospacing="0" w:line="300" w:lineRule="auto"/>
        <w:ind w:left="720" w:hanging="720"/>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240" w:afterAutospacing="0" w:line="300" w:lineRule="auto"/>
        <w:ind w:left="720" w:hanging="720"/>
        <w:jc w:val="both"/>
      </w:pPr>
      <w:r>
        <w:rPr>
          <w:rFonts w:hint="default" w:ascii="Arial" w:hAnsi="Arial" w:cs="Arial"/>
          <w:color w:val="000000"/>
          <w:sz w:val="24"/>
          <w:szCs w:val="24"/>
        </w:rPr>
        <w:t xml:space="preserve">                                    </w:t>
      </w:r>
      <w:r>
        <w:rPr>
          <w:rFonts w:hint="default" w:ascii="Arial" w:hAnsi="Arial" w:cs="Arial"/>
          <w:color w:val="000000"/>
          <w:sz w:val="24"/>
          <w:szCs w:val="24"/>
          <w:u w:val="single"/>
        </w:rPr>
        <w:t xml:space="preserve">              </w:t>
      </w:r>
      <w:r>
        <w:rPr>
          <w:rFonts w:hint="default" w:ascii="Arial" w:hAnsi="Arial" w:cs="Arial"/>
          <w:color w:val="000000"/>
          <w:sz w:val="24"/>
          <w:szCs w:val="24"/>
        </w:rPr>
        <w:t>（</w:t>
      </w:r>
      <w:r>
        <w:rPr>
          <w:rFonts w:hint="default" w:ascii="Arial" w:hAnsi="Arial" w:cs="Arial"/>
          <w:i/>
          <w:iCs/>
          <w:color w:val="000000"/>
          <w:sz w:val="24"/>
          <w:szCs w:val="24"/>
        </w:rPr>
        <w:t>公司名称及公章</w:t>
      </w:r>
      <w:r>
        <w:rPr>
          <w:rFonts w:hint="default" w:ascii="Arial" w:hAnsi="Arial" w:cs="Arial"/>
          <w:color w:val="000000"/>
          <w:sz w:val="24"/>
          <w:szCs w:val="24"/>
        </w:rPr>
        <w:t>）</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240" w:afterAutospacing="0" w:line="300" w:lineRule="auto"/>
        <w:ind w:left="720" w:hanging="720"/>
        <w:jc w:val="both"/>
      </w:pPr>
      <w:r>
        <w:rPr>
          <w:rFonts w:hint="default" w:ascii="Arial" w:hAnsi="Arial" w:cs="Arial"/>
          <w:color w:val="000000"/>
          <w:sz w:val="24"/>
          <w:szCs w:val="24"/>
        </w:rPr>
        <w:t>                                      法定代表人（</w:t>
      </w:r>
      <w:r>
        <w:rPr>
          <w:rFonts w:hint="default" w:ascii="Arial" w:hAnsi="Arial" w:cs="Arial"/>
          <w:i/>
          <w:iCs/>
          <w:color w:val="000000"/>
          <w:sz w:val="24"/>
          <w:szCs w:val="24"/>
        </w:rPr>
        <w:t>签字或盖章</w:t>
      </w:r>
      <w:r>
        <w:rPr>
          <w:rFonts w:hint="default" w:ascii="Arial" w:hAnsi="Arial" w:cs="Arial"/>
          <w:color w:val="000000"/>
          <w:sz w:val="24"/>
          <w:szCs w:val="24"/>
        </w:rPr>
        <w:t xml:space="preserve">）：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1680" w:hanging="720"/>
        <w:jc w:val="both"/>
      </w:pPr>
      <w:r>
        <w:rPr>
          <w:rFonts w:hint="default" w:ascii="Arial" w:hAnsi="Arial" w:cs="Arial"/>
          <w:color w:val="000000"/>
          <w:sz w:val="24"/>
          <w:szCs w:val="24"/>
        </w:rPr>
        <w:t xml:space="preserve">                                   日期：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tbl>
      <w:tblPr>
        <w:tblW w:w="0" w:type="auto"/>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autofit"/>
        <w:tblCellMar>
          <w:top w:w="0" w:type="dxa"/>
          <w:left w:w="108" w:type="dxa"/>
          <w:bottom w:w="0" w:type="dxa"/>
          <w:right w:w="108" w:type="dxa"/>
        </w:tblCellMar>
      </w:tblPr>
      <w:tblGrid>
        <w:gridCol w:w="4077"/>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232" w:hRule="atLeast"/>
          <w:tblCellSpacing w:w="0" w:type="dxa"/>
          <w:jc w:val="center"/>
        </w:trPr>
        <w:tc>
          <w:tcPr>
            <w:tcW w:w="40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Arial" w:hAnsi="Arial" w:cs="Arial"/>
                <w:b/>
                <w:bCs/>
                <w:color w:val="000000"/>
                <w:sz w:val="21"/>
                <w:szCs w:val="21"/>
                <w:bdr w:val="none" w:color="auto" w:sz="0" w:space="0"/>
              </w:rPr>
              <w:t>授权人身份证复印件正面</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Arial" w:hAnsi="Arial" w:cs="Arial"/>
                <w:b/>
                <w:bCs/>
                <w:color w:val="000000"/>
                <w:sz w:val="21"/>
                <w:szCs w:val="21"/>
                <w:bdr w:val="none" w:color="auto" w:sz="0" w:space="0"/>
              </w:rPr>
              <w:t>授权人身份证复印件反面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1980" w:hRule="atLeast"/>
          <w:tblCellSpacing w:w="0" w:type="dxa"/>
          <w:jc w:val="center"/>
        </w:trPr>
        <w:tc>
          <w:tcPr>
            <w:tcW w:w="40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Arial" w:hAnsi="Arial" w:cs="Arial"/>
                <w:b/>
                <w:bCs/>
                <w:color w:val="000000"/>
                <w:sz w:val="21"/>
                <w:szCs w:val="21"/>
                <w:bdr w:val="none" w:color="auto" w:sz="0" w:space="0"/>
              </w:rPr>
              <w:t>被授权人身份证复印件正面</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Arial" w:hAnsi="Arial" w:cs="Arial"/>
                <w:b/>
                <w:bCs/>
                <w:color w:val="000000"/>
                <w:sz w:val="21"/>
                <w:szCs w:val="21"/>
                <w:bdr w:val="none" w:color="auto" w:sz="0" w:space="0"/>
              </w:rPr>
              <w:t>被授权人身份证复印件反面</w:t>
            </w:r>
          </w:p>
        </w:tc>
      </w:tr>
    </w:tbl>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default" w:ascii="Calibri" w:hAnsi="Calibri" w:cs="Calibri"/>
          <w:color w:val="000000"/>
          <w:sz w:val="21"/>
          <w:szCs w:val="21"/>
        </w:rPr>
        <w:br w:type="page"/>
      </w:r>
      <w:r>
        <w:rPr>
          <w:rFonts w:hint="default" w:ascii="Calibri" w:hAnsi="Calibri" w:cs="Calibri"/>
          <w:color w:val="000000"/>
          <w:sz w:val="21"/>
          <w:szCs w:val="21"/>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084" w:hanging="1084"/>
        <w:jc w:val="both"/>
      </w:pPr>
      <w:r>
        <w:rPr>
          <w:rFonts w:hint="default" w:ascii="Arial" w:hAnsi="Arial" w:cs="Arial"/>
          <w:b/>
          <w:bCs/>
          <w:color w:val="000000"/>
          <w:sz w:val="24"/>
          <w:szCs w:val="24"/>
          <w:u w:val="single"/>
        </w:rPr>
        <w:t>附件3： 不围标、不串标承诺函</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default" w:ascii="Arial" w:hAnsi="Arial" w:cs="Arial"/>
          <w:color w:val="FF0000"/>
          <w:sz w:val="24"/>
          <w:szCs w:val="24"/>
        </w:rPr>
        <w:t xml:space="preserve">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2811"/>
        <w:jc w:val="both"/>
      </w:pPr>
      <w:r>
        <w:rPr>
          <w:rFonts w:hint="default" w:ascii="Arial" w:hAnsi="Arial" w:cs="Arial"/>
          <w:b/>
          <w:bCs/>
          <w:color w:val="000000"/>
          <w:sz w:val="28"/>
          <w:szCs w:val="28"/>
        </w:rPr>
        <w:t>不围标、不串标承诺函</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240" w:afterAutospacing="0" w:line="360" w:lineRule="auto"/>
        <w:jc w:val="both"/>
      </w:pPr>
      <w:r>
        <w:rPr>
          <w:rFonts w:hint="default" w:ascii="Arial" w:hAnsi="Arial" w:cs="Arial"/>
          <w:color w:val="000000"/>
          <w:sz w:val="24"/>
          <w:szCs w:val="24"/>
        </w:rPr>
        <w:t xml:space="preserve">共青城市人民医院：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240" w:afterAutospacing="0" w:line="360" w:lineRule="auto"/>
        <w:ind w:left="0" w:firstLine="630"/>
        <w:jc w:val="both"/>
      </w:pPr>
      <w:r>
        <w:rPr>
          <w:rFonts w:hint="default" w:ascii="Arial" w:hAnsi="Arial" w:cs="Arial"/>
          <w:color w:val="333333"/>
          <w:sz w:val="21"/>
          <w:szCs w:val="21"/>
          <w:shd w:val="clear" w:fill="FFFFFF"/>
        </w:rPr>
        <w:t>我公司郑重承诺在本次竞标活动中，不存在借用、挂靠资质，围标、串标等违法违规行为。我公司将自觉接受竞标人、其他投标人、广大群众监督，若发生违诺行为，自愿接受任何处罚。</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80" w:lineRule="auto"/>
        <w:ind w:left="0" w:firstLine="480"/>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240" w:afterAutospacing="0" w:line="300" w:lineRule="auto"/>
        <w:ind w:left="720" w:hanging="720"/>
        <w:jc w:val="right"/>
      </w:pPr>
      <w:r>
        <w:rPr>
          <w:rFonts w:hint="default" w:ascii="Arial" w:hAnsi="Arial" w:cs="Arial"/>
          <w:color w:val="000000"/>
          <w:sz w:val="24"/>
          <w:szCs w:val="24"/>
          <w:u w:val="single"/>
        </w:rPr>
        <w:t xml:space="preserve">              </w:t>
      </w:r>
      <w:r>
        <w:rPr>
          <w:rFonts w:hint="default" w:ascii="Arial" w:hAnsi="Arial" w:cs="Arial"/>
          <w:color w:val="000000"/>
          <w:sz w:val="24"/>
          <w:szCs w:val="24"/>
        </w:rPr>
        <w:t>（</w:t>
      </w:r>
      <w:r>
        <w:rPr>
          <w:rFonts w:hint="default" w:ascii="Arial" w:hAnsi="Arial" w:cs="Arial"/>
          <w:i/>
          <w:iCs/>
          <w:color w:val="000000"/>
          <w:sz w:val="24"/>
          <w:szCs w:val="24"/>
        </w:rPr>
        <w:t>公司名称及公章</w:t>
      </w:r>
      <w:r>
        <w:rPr>
          <w:rFonts w:hint="default" w:ascii="Arial" w:hAnsi="Arial" w:cs="Arial"/>
          <w:color w:val="000000"/>
          <w:sz w:val="24"/>
          <w:szCs w:val="24"/>
        </w:rPr>
        <w:t>）</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240" w:afterAutospacing="0" w:line="300" w:lineRule="auto"/>
        <w:ind w:left="720" w:hanging="720"/>
        <w:jc w:val="center"/>
      </w:pPr>
      <w:r>
        <w:rPr>
          <w:rFonts w:hint="default" w:ascii="Arial" w:hAnsi="Arial" w:cs="Arial"/>
          <w:color w:val="000000"/>
          <w:sz w:val="24"/>
          <w:szCs w:val="24"/>
        </w:rPr>
        <w:t>                         承诺人（</w:t>
      </w:r>
      <w:r>
        <w:rPr>
          <w:rFonts w:hint="default" w:ascii="Arial" w:hAnsi="Arial" w:cs="Arial"/>
          <w:i/>
          <w:iCs/>
          <w:color w:val="000000"/>
          <w:sz w:val="24"/>
          <w:szCs w:val="24"/>
        </w:rPr>
        <w:t>签字、盖章</w:t>
      </w:r>
      <w:r>
        <w:rPr>
          <w:rFonts w:hint="default" w:ascii="Arial" w:hAnsi="Arial" w:cs="Arial"/>
          <w:color w:val="000000"/>
          <w:sz w:val="24"/>
          <w:szCs w:val="24"/>
        </w:rPr>
        <w:t>）：</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080" w:hanging="1080"/>
        <w:jc w:val="both"/>
      </w:pPr>
      <w:r>
        <w:rPr>
          <w:rFonts w:hint="default" w:ascii="Arial" w:hAnsi="Arial" w:cs="Arial"/>
          <w:color w:val="000000"/>
          <w:sz w:val="24"/>
          <w:szCs w:val="24"/>
        </w:rPr>
        <w:t xml:space="preserve">                                     日期：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084" w:hanging="1084"/>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3CD3E6"/>
    <w:multiLevelType w:val="multilevel"/>
    <w:tmpl w:val="D43CD3E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14FDD287"/>
    <w:multiLevelType w:val="multilevel"/>
    <w:tmpl w:val="14FDD28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748BA700"/>
    <w:multiLevelType w:val="multilevel"/>
    <w:tmpl w:val="748BA70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lMTMyMDU1MDU1MjhiODRhMzBlMzAzY2Q0MmI5OTEifQ=="/>
  </w:docVars>
  <w:rsids>
    <w:rsidRoot w:val="4A1B4616"/>
    <w:rsid w:val="4A1B4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2025-02-17T09:03:00Z</dcterms:created>
  <dc:creator>DELL</dc:creator>
  <cp:lastModifiedBy>DELL</cp:lastModifiedBy>
  <dcterms:modified xsi:type="dcterms:W3CDTF">2025-02-17T09:03:51Z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557661168C7A468E86A795115075E3EA</vt:lpwstr>
  </property>
</Properties>
</file>