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843EC">
      <w:pPr>
        <w:ind w:left="1080" w:leftChars="304" w:hanging="442" w:hangingChars="1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lang w:val="en-US" w:eastAsia="zh-CN" w:bidi="ar-SA"/>
        </w:rPr>
      </w:pPr>
      <w:bookmarkStart w:id="0" w:name="_Toc12304"/>
      <w:bookmarkStart w:id="1" w:name="_Toc6993"/>
      <w:bookmarkStart w:id="2" w:name="_Toc15943"/>
      <w:bookmarkStart w:id="3" w:name="_Toc32233"/>
      <w:bookmarkStart w:id="4" w:name="_Toc10966"/>
      <w:bookmarkStart w:id="5" w:name="_Toc18034"/>
      <w:bookmarkStart w:id="6" w:name="_Toc30351"/>
      <w:bookmarkStart w:id="7" w:name="_Toc16717"/>
      <w:bookmarkStart w:id="8" w:name="_Toc8289"/>
      <w:bookmarkStart w:id="9" w:name="_Toc20439"/>
      <w:bookmarkStart w:id="10" w:name="_Toc2581"/>
      <w:bookmarkStart w:id="11" w:name="_Toc32650"/>
      <w:bookmarkStart w:id="12" w:name="_Toc20669"/>
      <w:bookmarkStart w:id="13" w:name="_Toc6324"/>
      <w:bookmarkStart w:id="14" w:name="_Toc8415"/>
      <w:bookmarkStart w:id="15" w:name="_Toc4944"/>
      <w:bookmarkStart w:id="16" w:name="_Toc18557"/>
      <w:bookmarkStart w:id="17" w:name="_Toc27507"/>
      <w:bookmarkStart w:id="18" w:name="_Toc24348"/>
      <w:bookmarkStart w:id="19" w:name="_Toc25646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lang w:val="en-US" w:eastAsia="zh-CN" w:bidi="ar-SA"/>
        </w:rPr>
        <w:t>新疆天华矿业有限责任公司</w:t>
      </w:r>
    </w:p>
    <w:p w14:paraId="7E310F3C">
      <w:pPr>
        <w:ind w:left="1080" w:leftChars="304" w:hanging="442" w:hangingChars="1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lang w:val="en-US" w:eastAsia="zh-CN" w:bidi="ar-SA"/>
        </w:rPr>
        <w:t>选矿厂精粉库零星工程施工项目</w:t>
      </w:r>
    </w:p>
    <w:p w14:paraId="3822986A">
      <w:pPr>
        <w:topLinePunct w:val="0"/>
        <w:bidi w:val="0"/>
        <w:spacing w:before="12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44"/>
          <w:sz w:val="44"/>
          <w:szCs w:val="44"/>
          <w:lang w:val="en-US" w:eastAsia="zh-CN" w:bidi="ar-SA"/>
        </w:rPr>
        <w:t>竞争性谈判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公告</w:t>
      </w:r>
    </w:p>
    <w:p w14:paraId="4CF54AE6">
      <w:pPr>
        <w:pStyle w:val="3"/>
        <w:rPr>
          <w:rFonts w:hint="eastAsia"/>
          <w:lang w:val="en-US" w:eastAsia="zh-CN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7AB4F415">
      <w:pPr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20" w:name="_bookmark2"/>
      <w:bookmarkEnd w:id="20"/>
      <w:bookmarkStart w:id="21" w:name="_Toc12492"/>
      <w:bookmarkStart w:id="22" w:name="_Toc62551529"/>
      <w:bookmarkStart w:id="23" w:name="_Toc26742"/>
      <w:bookmarkStart w:id="24" w:name="_Toc10816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一、竞争性谈判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条件</w:t>
      </w:r>
      <w:bookmarkEnd w:id="21"/>
      <w:bookmarkEnd w:id="22"/>
      <w:bookmarkEnd w:id="23"/>
      <w:bookmarkEnd w:id="24"/>
    </w:p>
    <w:p w14:paraId="06E5EE89">
      <w:pPr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本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竞争性谈判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项目为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>新疆天华矿业有限责任公司选矿厂精粉库零星工程施工项目。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项目业主为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lang w:val="en-US" w:eastAsia="zh-CN"/>
        </w:rPr>
        <w:t>新疆天华矿业有限责任公司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项目编号：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 xml:space="preserve"> THJT-LXGCQ01 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项目资金来自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lang w:val="en-US" w:eastAsia="zh-CN"/>
        </w:rPr>
        <w:t>企业自筹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项目单位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lang w:val="en-US" w:eastAsia="zh-CN"/>
        </w:rPr>
        <w:t>新疆天华矿业有限责任公司</w:t>
      </w:r>
      <w:r>
        <w:rPr>
          <w:rFonts w:hint="eastAsia" w:ascii="仿宋_GB2312" w:eastAsia="仿宋_GB2312"/>
          <w:color w:val="auto"/>
          <w:sz w:val="32"/>
          <w:szCs w:val="32"/>
        </w:rPr>
        <w:t>（以下简称“项目单位”）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。项目已具备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竞争性谈判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条件，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符合条件的施工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单位参加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u w:val="single"/>
          <w:lang w:val="en-US" w:eastAsia="zh-CN"/>
        </w:rPr>
        <w:t>新疆天华矿业有限责任公司选矿厂精粉库零星工程施工项目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  <w:bookmarkStart w:id="25" w:name="_bookmark3"/>
      <w:bookmarkEnd w:id="25"/>
      <w:bookmarkStart w:id="26" w:name="_Toc21896"/>
      <w:bookmarkStart w:id="27" w:name="_Toc25148"/>
      <w:bookmarkStart w:id="28" w:name="_Toc62551530"/>
      <w:bookmarkStart w:id="29" w:name="_Toc9444"/>
    </w:p>
    <w:p w14:paraId="0DFA0DFC">
      <w:pPr>
        <w:topLinePunct w:val="0"/>
        <w:bidi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bookmarkEnd w:id="26"/>
      <w:bookmarkEnd w:id="27"/>
      <w:bookmarkEnd w:id="28"/>
      <w:bookmarkEnd w:id="29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谈判内容</w:t>
      </w:r>
    </w:p>
    <w:p w14:paraId="70D73520">
      <w:pPr>
        <w:numPr>
          <w:ilvl w:val="0"/>
          <w:numId w:val="0"/>
        </w:numPr>
        <w:topLinePunct w:val="0"/>
        <w:bidi w:val="0"/>
        <w:spacing w:line="560" w:lineRule="exact"/>
        <w:ind w:left="0" w:leftChars="0" w:firstLine="420" w:firstLineChars="0"/>
        <w:rPr>
          <w:rFonts w:hint="eastAsia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</w:pPr>
      <w:bookmarkStart w:id="30" w:name="_bookmark4"/>
      <w:bookmarkEnd w:id="30"/>
      <w:bookmarkStart w:id="31" w:name="_Toc62551531"/>
      <w:bookmarkStart w:id="32" w:name="_Toc11363"/>
      <w:bookmarkStart w:id="33" w:name="_Toc10766"/>
      <w:bookmarkStart w:id="34" w:name="_Toc31535"/>
      <w:r>
        <w:rPr>
          <w:rFonts w:hint="eastAsia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内容：</w:t>
      </w:r>
    </w:p>
    <w:p w14:paraId="7A02BA39">
      <w:pPr>
        <w:topLinePunct w:val="0"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1.新修道路(变电站东面与酸房西面)两侧护坡挡墙墩施工:施工量约105m。</w:t>
      </w:r>
    </w:p>
    <w:p w14:paraId="0F55F447">
      <w:pPr>
        <w:topLinePunct w:val="0"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2.2号精粉库道路延伸210㎡，新修道路至变电站延伸70㎡，抛废料仓地面硬化70㎡三项合计33270㎡(详细做法见图)。</w:t>
      </w:r>
    </w:p>
    <w:p w14:paraId="783BE230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3.精粉库及道路两侧护坡施工1800㎡，厚度15cm。</w:t>
      </w:r>
    </w:p>
    <w:p w14:paraId="4EDD030C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4.以上工程内容均包工包料。最终验收结算以实际工程量为准。</w:t>
      </w:r>
    </w:p>
    <w:p w14:paraId="693C9A98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谈判限价价：49万元（含9%增值税，含人、机、物、材等费用）</w:t>
      </w:r>
    </w:p>
    <w:p w14:paraId="7D8FEC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00" w:lineRule="exact"/>
        <w:jc w:val="both"/>
        <w:textAlignment w:val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（二）具体包括：</w:t>
      </w:r>
    </w:p>
    <w:p w14:paraId="43580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1.竣工验收：根据项目单位提供的图纸、需求及指定工程量验收为准。</w:t>
      </w:r>
    </w:p>
    <w:p w14:paraId="585FDC91">
      <w:pPr>
        <w:numPr>
          <w:ilvl w:val="0"/>
          <w:numId w:val="0"/>
        </w:numPr>
        <w:topLinePunct w:val="0"/>
        <w:bidi w:val="0"/>
        <w:spacing w:line="560" w:lineRule="exact"/>
        <w:ind w:firstLine="608" w:firstLineChars="200"/>
        <w:rPr>
          <w:rFonts w:ascii="黑体" w:hAnsi="黑体" w:eastAsia="黑体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w w:val="95"/>
          <w:sz w:val="32"/>
          <w:szCs w:val="32"/>
          <w:lang w:val="en-US" w:eastAsia="zh-CN"/>
        </w:rPr>
        <w:t>2.费用及税率：该工程项目包工包料，</w:t>
      </w:r>
      <w:r>
        <w:rPr>
          <w:rFonts w:hint="eastAsia" w:ascii="仿宋_GB2312" w:eastAsia="仿宋_GB2312"/>
          <w:bCs/>
          <w:color w:val="auto"/>
          <w:w w:val="95"/>
          <w:sz w:val="32"/>
          <w:szCs w:val="32"/>
        </w:rPr>
        <w:t>含</w:t>
      </w:r>
      <w:r>
        <w:rPr>
          <w:rFonts w:hint="eastAsia" w:ascii="仿宋_GB2312" w:eastAsia="仿宋_GB2312"/>
          <w:bCs/>
          <w:color w:val="auto"/>
          <w:w w:val="95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bCs/>
          <w:color w:val="auto"/>
          <w:w w:val="95"/>
          <w:sz w:val="32"/>
          <w:szCs w:val="32"/>
        </w:rPr>
        <w:t>%增值税</w:t>
      </w:r>
      <w:r>
        <w:rPr>
          <w:rFonts w:hint="eastAsia" w:ascii="仿宋_GB2312" w:eastAsia="仿宋_GB2312"/>
          <w:bCs/>
          <w:color w:val="auto"/>
          <w:w w:val="95"/>
          <w:sz w:val="32"/>
          <w:szCs w:val="32"/>
          <w:lang w:val="en-US" w:eastAsia="zh-CN"/>
        </w:rPr>
        <w:t>等费用</w:t>
      </w:r>
      <w:r>
        <w:rPr>
          <w:rFonts w:hint="eastAsia" w:ascii="仿宋_GB2312" w:eastAsia="仿宋_GB2312"/>
          <w:bCs/>
          <w:color w:val="auto"/>
          <w:w w:val="95"/>
          <w:sz w:val="32"/>
          <w:szCs w:val="32"/>
        </w:rPr>
        <w:t>。</w:t>
      </w:r>
      <w:r>
        <w:rPr>
          <w:rFonts w:hint="eastAsia" w:ascii="黑体" w:hAnsi="黑体" w:eastAsia="黑体"/>
          <w:b/>
          <w:bCs/>
          <w:color w:val="auto"/>
          <w:w w:val="95"/>
          <w:sz w:val="32"/>
          <w:szCs w:val="32"/>
          <w:lang w:val="en-US" w:eastAsia="zh-CN"/>
        </w:rPr>
        <w:br w:type="textWrapping"/>
      </w:r>
      <w:r>
        <w:rPr>
          <w:rFonts w:hint="eastAsia" w:ascii="黑体" w:hAnsi="黑体" w:eastAsia="黑体"/>
          <w:b/>
          <w:bCs/>
          <w:color w:val="auto"/>
          <w:sz w:val="32"/>
          <w:szCs w:val="32"/>
          <w:lang w:val="en-US" w:eastAsia="zh-CN"/>
        </w:rPr>
        <w:t>三、谈判</w:t>
      </w:r>
      <w:r>
        <w:rPr>
          <w:rFonts w:hint="eastAsia" w:ascii="黑体" w:hAnsi="黑体" w:eastAsia="黑体"/>
          <w:b/>
          <w:bCs/>
          <w:color w:val="auto"/>
          <w:sz w:val="32"/>
          <w:szCs w:val="32"/>
        </w:rPr>
        <w:t>人资格要求</w:t>
      </w:r>
      <w:bookmarkEnd w:id="31"/>
      <w:bookmarkEnd w:id="32"/>
      <w:bookmarkEnd w:id="33"/>
      <w:bookmarkEnd w:id="34"/>
    </w:p>
    <w:p w14:paraId="527788D7">
      <w:pPr>
        <w:numPr>
          <w:ilvl w:val="0"/>
          <w:numId w:val="0"/>
        </w:numPr>
        <w:topLinePunct w:val="0"/>
        <w:bidi w:val="0"/>
        <w:spacing w:line="560" w:lineRule="exact"/>
        <w:ind w:left="0" w:leftChars="0" w:firstLine="420" w:firstLine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仿宋_GB2312" w:eastAsia="仿宋_GB2312"/>
          <w:color w:val="auto"/>
          <w:sz w:val="32"/>
          <w:szCs w:val="32"/>
        </w:rPr>
        <w:t>人须满足如下通用资格要求：</w:t>
      </w:r>
      <w:r>
        <w:rPr>
          <w:rFonts w:hint="eastAsia" w:ascii="仿宋_GB2312" w:eastAsia="仿宋_GB2312"/>
          <w:color w:val="auto"/>
          <w:sz w:val="32"/>
          <w:szCs w:val="32"/>
        </w:rPr>
        <w:tab/>
      </w:r>
    </w:p>
    <w:p w14:paraId="0E61F8F5">
      <w:pPr>
        <w:numPr>
          <w:ilvl w:val="0"/>
          <w:numId w:val="0"/>
        </w:numPr>
        <w:topLinePunct w:val="0"/>
        <w:bidi w:val="0"/>
        <w:spacing w:line="560" w:lineRule="exact"/>
        <w:ind w:leftChars="0" w:firstLine="608" w:firstLineChars="200"/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本次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要求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人须为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zh-CN"/>
        </w:rPr>
        <w:t>中华人民共和国境内，能提供本次项目要求产品和服务，独立签订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施工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zh-CN"/>
        </w:rPr>
        <w:t>合同，具备履行合同能力，有能力提供新疆天华矿业有限责任公司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eastAsia="zh-CN"/>
        </w:rPr>
        <w:t>选矿厂精粉库零星工程施工项目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施工的单位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zh-CN"/>
        </w:rPr>
        <w:t>，且依法经营、资信状况良好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，质保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zh-CN"/>
        </w:rPr>
        <w:t>服务及时者。</w:t>
      </w:r>
    </w:p>
    <w:p w14:paraId="387E70E0">
      <w:pPr>
        <w:numPr>
          <w:ilvl w:val="0"/>
          <w:numId w:val="0"/>
        </w:numPr>
        <w:topLinePunct w:val="0"/>
        <w:bidi w:val="0"/>
        <w:spacing w:line="560" w:lineRule="exact"/>
        <w:ind w:leftChars="0" w:firstLine="608" w:firstLineChars="200"/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资质要求：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zh-CN"/>
        </w:rPr>
        <w:t>具备</w:t>
      </w:r>
      <w:bookmarkStart w:id="35" w:name="OLE_LINK1"/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建筑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zh-CN"/>
        </w:rPr>
        <w:t>工程施工总承包叁级及以上资质，持有有效的安全生产许可证，并在人员、设备、资金等方面具有相应的施工能力安全生产许可证处于有效期；并在人员、设备、资金等方面具备相应的施工能力。</w:t>
      </w:r>
    </w:p>
    <w:bookmarkEnd w:id="35"/>
    <w:p w14:paraId="2117C062">
      <w:pPr>
        <w:numPr>
          <w:ilvl w:val="0"/>
          <w:numId w:val="0"/>
        </w:numPr>
        <w:topLinePunct w:val="0"/>
        <w:bidi w:val="0"/>
        <w:spacing w:line="560" w:lineRule="exact"/>
        <w:ind w:leftChars="0" w:firstLine="608" w:firstLineChars="200"/>
        <w:rPr>
          <w:rFonts w:hint="default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信誉要求：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zh-CN"/>
        </w:rPr>
        <w:t>遵守国家法律法规、社会信誉良好。</w:t>
      </w:r>
    </w:p>
    <w:p w14:paraId="45C91AA2">
      <w:pPr>
        <w:numPr>
          <w:ilvl w:val="0"/>
          <w:numId w:val="0"/>
        </w:numPr>
        <w:topLinePunct w:val="0"/>
        <w:bidi w:val="0"/>
        <w:spacing w:line="560" w:lineRule="exact"/>
        <w:ind w:leftChars="0" w:firstLine="608" w:firstLineChars="200"/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类似业绩要求: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提供近二年类似项目工程施工业绩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。</w:t>
      </w:r>
    </w:p>
    <w:p w14:paraId="7B327227">
      <w:pPr>
        <w:numPr>
          <w:ilvl w:val="0"/>
          <w:numId w:val="0"/>
        </w:numPr>
        <w:topLinePunct w:val="0"/>
        <w:bidi w:val="0"/>
        <w:spacing w:line="560" w:lineRule="exact"/>
        <w:ind w:leftChars="0" w:firstLine="608" w:firstLineChars="200"/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5.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商业信誉：投标人应具有良好的商业信誉。不存在被列为失信被执行人的情形，具体认定以信用中国(www.creditchina.gov.cn）网站检索结果为准。</w:t>
      </w:r>
    </w:p>
    <w:p w14:paraId="305D1AD9">
      <w:pPr>
        <w:numPr>
          <w:ilvl w:val="0"/>
          <w:numId w:val="0"/>
        </w:numPr>
        <w:topLinePunct w:val="0"/>
        <w:bidi w:val="0"/>
        <w:spacing w:line="560" w:lineRule="exact"/>
        <w:ind w:leftChars="0" w:firstLine="608" w:firstLineChars="200"/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6.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资格审查：采用资格预审方式。</w:t>
      </w:r>
    </w:p>
    <w:p w14:paraId="04064425">
      <w:pPr>
        <w:numPr>
          <w:ilvl w:val="0"/>
          <w:numId w:val="0"/>
        </w:numPr>
        <w:topLinePunct w:val="0"/>
        <w:bidi w:val="0"/>
        <w:spacing w:line="560" w:lineRule="exact"/>
        <w:ind w:leftChars="0" w:firstLine="608" w:firstLineChars="200"/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7.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本项目资格审查不接受联合体投标。</w:t>
      </w:r>
    </w:p>
    <w:p w14:paraId="446301A0">
      <w:pPr>
        <w:numPr>
          <w:ilvl w:val="0"/>
          <w:numId w:val="0"/>
        </w:numPr>
        <w:topLinePunct w:val="0"/>
        <w:bidi w:val="0"/>
        <w:spacing w:line="560" w:lineRule="exact"/>
        <w:ind w:leftChars="0" w:firstLine="608" w:firstLineChars="200"/>
        <w:rPr>
          <w:rFonts w:hint="eastAsia" w:ascii="黑体" w:hAnsi="黑体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8.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其他要求：单位负责人为同一人或者存在控股、管理关系的不同单位，不得同时参加本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  <w:lang w:val="en-US" w:eastAsia="zh-CN"/>
        </w:rPr>
        <w:t>项目</w:t>
      </w:r>
      <w:r>
        <w:rPr>
          <w:rFonts w:hint="eastAsia" w:ascii="仿宋_GB2312" w:hAnsi="Times New Roman" w:eastAsia="仿宋_GB2312" w:cs="Times New Roman"/>
          <w:bCs/>
          <w:color w:val="auto"/>
          <w:w w:val="95"/>
          <w:sz w:val="32"/>
          <w:szCs w:val="32"/>
        </w:rPr>
        <w:t>投标。</w:t>
      </w:r>
      <w:bookmarkStart w:id="36" w:name="_Toc62551532"/>
      <w:bookmarkStart w:id="37" w:name="_Toc12413"/>
      <w:bookmarkStart w:id="38" w:name="_Toc18436"/>
      <w:bookmarkStart w:id="39" w:name="_Toc19223"/>
    </w:p>
    <w:p w14:paraId="215087E9">
      <w:pPr>
        <w:numPr>
          <w:ilvl w:val="0"/>
          <w:numId w:val="0"/>
        </w:numPr>
        <w:topLinePunct w:val="0"/>
        <w:bidi w:val="0"/>
        <w:spacing w:line="560" w:lineRule="exact"/>
        <w:ind w:firstLine="643" w:firstLineChars="200"/>
        <w:rPr>
          <w:rFonts w:hint="eastAsia" w:ascii="黑体" w:hAnsi="黑体" w:eastAsia="黑体" w:cs="Times New Roman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color w:val="auto"/>
          <w:sz w:val="32"/>
          <w:szCs w:val="32"/>
          <w:lang w:val="en-US" w:eastAsia="zh-CN"/>
        </w:rPr>
        <w:t>四、谈判</w:t>
      </w:r>
      <w:r>
        <w:rPr>
          <w:rFonts w:hint="eastAsia" w:ascii="黑体" w:hAnsi="黑体" w:eastAsia="黑体" w:cs="Times New Roman"/>
          <w:b/>
          <w:bCs/>
          <w:color w:val="auto"/>
          <w:sz w:val="32"/>
          <w:szCs w:val="32"/>
        </w:rPr>
        <w:t>文件的获取</w:t>
      </w:r>
      <w:bookmarkEnd w:id="36"/>
      <w:bookmarkEnd w:id="37"/>
      <w:bookmarkEnd w:id="38"/>
      <w:bookmarkEnd w:id="39"/>
    </w:p>
    <w:p w14:paraId="4B3FEEDF">
      <w:pPr>
        <w:numPr>
          <w:ilvl w:val="0"/>
          <w:numId w:val="0"/>
        </w:numPr>
        <w:topLinePunct w:val="0"/>
        <w:bidi w:val="0"/>
        <w:spacing w:line="560" w:lineRule="exact"/>
        <w:ind w:left="0" w:leftChars="0" w:firstLine="420" w:firstLineChars="0"/>
        <w:rPr>
          <w:rFonts w:hint="eastAsia" w:ascii="仿宋_GB2312" w:eastAsia="仿宋_GB2312"/>
          <w:color w:val="auto"/>
          <w:sz w:val="32"/>
          <w:szCs w:val="32"/>
        </w:rPr>
      </w:pPr>
      <w:bookmarkStart w:id="40" w:name="_Toc62551533"/>
      <w:bookmarkStart w:id="41" w:name="_Toc31762"/>
      <w:bookmarkStart w:id="42" w:name="_Toc15733"/>
      <w:bookmarkStart w:id="43" w:name="_Toc30381"/>
      <w:r>
        <w:rPr>
          <w:rFonts w:hint="eastAsia" w:ascii="仿宋_GB2312" w:eastAsia="仿宋_GB2312"/>
          <w:b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文件的获取</w:t>
      </w:r>
    </w:p>
    <w:p w14:paraId="31C95783">
      <w:pPr>
        <w:numPr>
          <w:ilvl w:val="0"/>
          <w:numId w:val="0"/>
        </w:numPr>
        <w:topLinePunct w:val="0"/>
        <w:bidi w:val="0"/>
        <w:spacing w:line="560" w:lineRule="exact"/>
        <w:ind w:leftChars="0"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报名截止日期：202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11月 8</w:t>
      </w:r>
      <w:r>
        <w:rPr>
          <w:rFonts w:hint="eastAsia" w:ascii="仿宋_GB2312" w:eastAsia="仿宋_GB2312"/>
          <w:color w:val="auto"/>
          <w:sz w:val="32"/>
          <w:szCs w:val="32"/>
        </w:rPr>
        <w:t>日下午18:00</w:t>
      </w:r>
    </w:p>
    <w:p w14:paraId="57FFA1FC">
      <w:pPr>
        <w:numPr>
          <w:ilvl w:val="0"/>
          <w:numId w:val="0"/>
        </w:numPr>
        <w:topLinePunct w:val="0"/>
        <w:bidi w:val="0"/>
        <w:spacing w:line="560" w:lineRule="exact"/>
        <w:ind w:left="638" w:leftChars="304" w:firstLine="0" w:firstLineChars="0"/>
        <w:rPr>
          <w:rFonts w:hint="eastAsia" w:ascii="仿宋_GB2312" w:eastAsia="仿宋_GB2312"/>
          <w:bCs/>
          <w:color w:val="auto"/>
          <w:w w:val="95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w w:val="95"/>
          <w:sz w:val="32"/>
          <w:szCs w:val="32"/>
          <w:lang w:val="en-US" w:eastAsia="zh-CN"/>
        </w:rPr>
        <w:t>2.谈判</w:t>
      </w:r>
      <w:r>
        <w:rPr>
          <w:rFonts w:hint="eastAsia" w:ascii="仿宋_GB2312" w:eastAsia="仿宋_GB2312"/>
          <w:color w:val="auto"/>
          <w:w w:val="95"/>
          <w:sz w:val="32"/>
          <w:szCs w:val="32"/>
        </w:rPr>
        <w:t>文件获取方式：</w:t>
      </w:r>
      <w:r>
        <w:rPr>
          <w:rFonts w:hint="eastAsia" w:ascii="仿宋_GB2312" w:eastAsia="仿宋_GB2312"/>
          <w:bCs/>
          <w:color w:val="auto"/>
          <w:w w:val="95"/>
          <w:sz w:val="32"/>
          <w:szCs w:val="32"/>
        </w:rPr>
        <w:t>通过现场或以邮件形式发送至</w:t>
      </w:r>
      <w:r>
        <w:rPr>
          <w:rFonts w:hint="eastAsia" w:ascii="仿宋_GB2312" w:eastAsia="仿宋_GB2312"/>
          <w:bCs/>
          <w:color w:val="auto"/>
          <w:w w:val="95"/>
          <w:sz w:val="32"/>
          <w:szCs w:val="32"/>
          <w:lang w:val="en-US" w:eastAsia="zh-CN"/>
        </w:rPr>
        <w:t>谈判</w:t>
      </w:r>
    </w:p>
    <w:p w14:paraId="3F84C841">
      <w:pPr>
        <w:numPr>
          <w:ilvl w:val="0"/>
          <w:numId w:val="0"/>
        </w:numPr>
        <w:topLinePunct w:val="0"/>
        <w:bidi w:val="0"/>
        <w:spacing w:line="560" w:lineRule="exact"/>
        <w:ind w:firstLine="321" w:firstLineChars="10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lang w:val="en-US" w:eastAsia="zh-CN"/>
        </w:rPr>
        <w:t>现场踏勘</w:t>
      </w:r>
    </w:p>
    <w:p w14:paraId="08A034B7">
      <w:pPr>
        <w:topLinePunct w:val="0"/>
        <w:bidi w:val="0"/>
        <w:spacing w:line="560" w:lineRule="exact"/>
        <w:ind w:firstLine="864" w:firstLineChars="27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项目单位不组织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现场踏勘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可自行踏勘。</w:t>
      </w:r>
    </w:p>
    <w:p w14:paraId="52D3C60D">
      <w:pPr>
        <w:numPr>
          <w:ilvl w:val="0"/>
          <w:numId w:val="0"/>
        </w:numPr>
        <w:topLinePunct w:val="0"/>
        <w:bidi w:val="0"/>
        <w:spacing w:line="560" w:lineRule="exact"/>
        <w:ind w:left="0" w:leftChars="0" w:firstLine="420" w:firstLineChars="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（三）谈判保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lang w:val="en-US" w:eastAsia="zh-CN"/>
        </w:rPr>
        <w:t>证金</w:t>
      </w:r>
    </w:p>
    <w:p w14:paraId="54BD493D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谈判保证金：</w:t>
      </w:r>
      <w:r>
        <w:rPr>
          <w:rFonts w:hint="eastAsia" w:ascii="仿宋_GB2312" w:hAnsi="Times New Roman" w:eastAsia="仿宋_GB2312" w:cs="Times New Roman"/>
          <w:bCs/>
          <w:color w:val="FFC000"/>
          <w:sz w:val="32"/>
          <w:szCs w:val="32"/>
          <w:lang w:val="en-US" w:eastAsia="zh-CN"/>
        </w:rPr>
        <w:t>9000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元人民币（大写：玖仟元整）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，银行转账。</w:t>
      </w:r>
    </w:p>
    <w:p w14:paraId="14E900C7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default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保证金缴纳账户</w:t>
      </w:r>
    </w:p>
    <w:p w14:paraId="31FF5825">
      <w:pPr>
        <w:topLinePunct w:val="0"/>
        <w:bidi w:val="0"/>
        <w:spacing w:line="560" w:lineRule="exact"/>
        <w:ind w:firstLine="864" w:firstLineChars="27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账户名称：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新疆天华矿业有限责任公司</w:t>
      </w:r>
    </w:p>
    <w:p w14:paraId="368F8527">
      <w:pPr>
        <w:topLinePunct w:val="0"/>
        <w:bidi w:val="0"/>
        <w:spacing w:line="560" w:lineRule="exact"/>
        <w:ind w:firstLine="864" w:firstLineChars="27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开 户 行：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中国农业银行尼勒克县支行</w:t>
      </w:r>
    </w:p>
    <w:p w14:paraId="4C9FEA61">
      <w:pPr>
        <w:topLinePunct w:val="0"/>
        <w:bidi w:val="0"/>
        <w:spacing w:line="560" w:lineRule="exact"/>
        <w:ind w:firstLine="864" w:firstLineChars="27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帐    号：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30-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122001040005648</w:t>
      </w:r>
    </w:p>
    <w:p w14:paraId="130DFE6F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款项用途：谈判保证金（打款时务必在备注栏写明项目名称及打款的单位名称，必须为公对公转账，否则取消谈判资格）</w:t>
      </w:r>
    </w:p>
    <w:p w14:paraId="0239DAF2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default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到账时间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：202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11月12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日 18:00时前</w:t>
      </w:r>
    </w:p>
    <w:p w14:paraId="0682C095">
      <w:pPr>
        <w:numPr>
          <w:ilvl w:val="0"/>
          <w:numId w:val="0"/>
        </w:numPr>
        <w:topLinePunct w:val="0"/>
        <w:bidi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lang w:val="en-US" w:eastAsia="zh-CN"/>
        </w:rPr>
        <w:t>谈判截止时间、谈判时间及地点：</w:t>
      </w:r>
    </w:p>
    <w:p w14:paraId="6DECCD22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default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书应按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文件要求编制和密封。</w:t>
      </w:r>
    </w:p>
    <w:p w14:paraId="0DC7595D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谈判报名截止时间：2024年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11月12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日；时间：19:30时(北京时间)。</w:t>
      </w:r>
    </w:p>
    <w:p w14:paraId="11980D66">
      <w:pPr>
        <w:numPr>
          <w:ilvl w:val="0"/>
          <w:numId w:val="0"/>
        </w:numPr>
        <w:topLinePunct w:val="0"/>
        <w:bidi w:val="0"/>
        <w:spacing w:line="560" w:lineRule="exact"/>
        <w:ind w:leftChars="0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谈判时间：2024年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11月13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日；时间：1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:00时(北京时间)。</w:t>
      </w:r>
    </w:p>
    <w:p w14:paraId="465FD714">
      <w:pPr>
        <w:numPr>
          <w:ilvl w:val="0"/>
          <w:numId w:val="0"/>
        </w:numPr>
        <w:topLinePunct w:val="0"/>
        <w:bidi w:val="0"/>
        <w:spacing w:line="560" w:lineRule="exact"/>
        <w:ind w:leftChars="0" w:firstLine="640" w:firstLineChars="20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谈判书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递交：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现场递交</w:t>
      </w:r>
    </w:p>
    <w:p w14:paraId="20E910CF">
      <w:pPr>
        <w:numPr>
          <w:ilvl w:val="0"/>
          <w:numId w:val="0"/>
        </w:numPr>
        <w:topLinePunct w:val="0"/>
        <w:bidi w:val="0"/>
        <w:spacing w:line="560" w:lineRule="exact"/>
        <w:ind w:leftChars="0" w:firstLine="640" w:firstLineChars="200"/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</w:rPr>
        <w:t>地点：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lang w:val="en-US" w:eastAsia="zh-CN"/>
        </w:rPr>
        <w:t>新疆天华矿业有限责任公司2楼会议室</w:t>
      </w:r>
    </w:p>
    <w:p w14:paraId="4BCF36CD">
      <w:pPr>
        <w:numPr>
          <w:ilvl w:val="0"/>
          <w:numId w:val="0"/>
        </w:numPr>
        <w:topLinePunct w:val="0"/>
        <w:bidi w:val="0"/>
        <w:spacing w:line="560" w:lineRule="exact"/>
        <w:ind w:leftChars="0" w:firstLine="640" w:firstLineChars="200"/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项目单位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对收到的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谈判书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予以登记，不接收在规定期限后送达的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谈判文件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。</w:t>
      </w:r>
    </w:p>
    <w:p w14:paraId="6A75C2ED">
      <w:pPr>
        <w:numPr>
          <w:ilvl w:val="0"/>
          <w:numId w:val="0"/>
        </w:numPr>
        <w:topLinePunct w:val="0"/>
        <w:bidi w:val="0"/>
        <w:spacing w:line="560" w:lineRule="exact"/>
        <w:ind w:left="0" w:leftChars="0" w:firstLine="420" w:firstLineChars="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lang w:val="en-US" w:eastAsia="zh-CN"/>
        </w:rPr>
        <w:t>其它</w:t>
      </w:r>
    </w:p>
    <w:p w14:paraId="2C77CEBF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default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本次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竞争性谈判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，根据评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审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结果确定项目承担单位。</w:t>
      </w:r>
    </w:p>
    <w:p w14:paraId="0B838A45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default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有下列情形之一的，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成交谈判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结果无效：</w:t>
      </w:r>
    </w:p>
    <w:p w14:paraId="2B7D4820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2.1谈判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人逾期不签订或者拒绝签订合同的；</w:t>
      </w:r>
    </w:p>
    <w:p w14:paraId="718E592D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2.2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人提供虚假文件或者隐瞒事实的；</w:t>
      </w:r>
    </w:p>
    <w:p w14:paraId="58881288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2.3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采取行贿或者其他不正当手段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成交谈判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的；</w:t>
      </w:r>
    </w:p>
    <w:p w14:paraId="2576C2E9">
      <w:pPr>
        <w:numPr>
          <w:ilvl w:val="0"/>
          <w:numId w:val="0"/>
        </w:numPr>
        <w:topLinePunct w:val="0"/>
        <w:bidi w:val="0"/>
        <w:spacing w:line="5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2"/>
          <w:sz w:val="32"/>
          <w:szCs w:val="32"/>
          <w:lang w:val="en-US" w:eastAsia="zh-CN" w:bidi="ar-SA"/>
        </w:rPr>
        <w:t>2.4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法律法规规定的其他情形。</w:t>
      </w:r>
    </w:p>
    <w:bookmarkEnd w:id="40"/>
    <w:bookmarkEnd w:id="41"/>
    <w:bookmarkEnd w:id="42"/>
    <w:bookmarkEnd w:id="43"/>
    <w:p w14:paraId="6D0FCE6A">
      <w:pPr>
        <w:topLinePunct w:val="0"/>
        <w:bidi w:val="0"/>
        <w:spacing w:line="5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2.5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本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谈判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文件（包括商务部分和技术部分）符合国家现行法律法规规定，若国家颁布新的法律法规或对现有法律法规进行修订，以新颁布或修订后的法律法规规定为准。</w:t>
      </w:r>
    </w:p>
    <w:p w14:paraId="130837A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</w:pPr>
      <w:bookmarkStart w:id="44" w:name="_Toc62551534"/>
      <w:bookmarkStart w:id="45" w:name="_Toc8013"/>
      <w:bookmarkStart w:id="46" w:name="_Toc6640"/>
      <w:bookmarkStart w:id="47" w:name="_Toc13110"/>
      <w:r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发布公告的媒介</w:t>
      </w:r>
      <w:bookmarkEnd w:id="44"/>
      <w:bookmarkEnd w:id="45"/>
      <w:bookmarkEnd w:id="46"/>
      <w:bookmarkEnd w:id="47"/>
    </w:p>
    <w:p w14:paraId="08DD5FA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本次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公告在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中国招标网（www.zhaobiao.cn）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上发布。</w:t>
      </w:r>
    </w:p>
    <w:p w14:paraId="3BA4A5C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</w:pPr>
      <w:bookmarkStart w:id="48" w:name="_bookmark8"/>
      <w:bookmarkEnd w:id="48"/>
      <w:bookmarkStart w:id="49" w:name="_Toc62551536"/>
      <w:bookmarkStart w:id="50" w:name="_Toc26113"/>
      <w:bookmarkStart w:id="51" w:name="_Toc4180"/>
      <w:bookmarkStart w:id="52" w:name="_Toc26636"/>
      <w:r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（七）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合规声明</w:t>
      </w:r>
      <w:bookmarkEnd w:id="49"/>
      <w:bookmarkEnd w:id="50"/>
      <w:bookmarkEnd w:id="51"/>
      <w:bookmarkEnd w:id="52"/>
    </w:p>
    <w:p w14:paraId="391EAC7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ascii="仿宋_GB2312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本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文件符合国家现行法律法规规定，若国家颁布新的法律法规或对现有法律法规进行修订，以新颁布或修订后的法律法规规定为准。</w:t>
      </w:r>
    </w:p>
    <w:p w14:paraId="08BC97A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420" w:firstLineChars="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（八）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lang w:val="en-US" w:eastAsia="zh-CN"/>
        </w:rPr>
        <w:t>权利声明</w:t>
      </w:r>
    </w:p>
    <w:p w14:paraId="3EB4C60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864" w:firstLineChars="270"/>
        <w:rPr>
          <w:rFonts w:ascii="宋体" w:hAnsi="宋体"/>
          <w:color w:val="auto"/>
          <w:kern w:val="0"/>
          <w:szCs w:val="21"/>
          <w:highlight w:val="none"/>
        </w:rPr>
      </w:pP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禁止对本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文件或公示信息进行任何形式的转载（包括但不限于部分或全文转载、修改后转载）或任何未经书面授权的使用。转载依法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项目的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公告或公示信息的，不得改变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公告和公示信息的内容，须注明信息来源，不得用于非法用途。任何单位或个人不得违法转载（包括但不限于改变内容转载、转载不注明来源、遗漏或不及时转载修改或补充内容等）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公告或公示信息、不得对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公告或公示信息等内容进行不全面、不准确、不客观地分析或使用，任何单位或个人违法或违反本条规定转载、使用本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谈判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文件或公示信息的，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Times New Roman" w:eastAsia="仿宋_GB2312" w:cs="Times New Roman"/>
          <w:bCs/>
          <w:color w:val="auto"/>
          <w:sz w:val="32"/>
          <w:szCs w:val="32"/>
          <w:highlight w:val="none"/>
        </w:rPr>
        <w:t>人将依法追究法律责任。</w:t>
      </w:r>
    </w:p>
    <w:p w14:paraId="70A569C6">
      <w:pPr>
        <w:topLinePunct w:val="0"/>
        <w:bidi w:val="0"/>
        <w:spacing w:line="560" w:lineRule="exact"/>
        <w:ind w:firstLine="864" w:firstLineChars="270"/>
        <w:jc w:val="right"/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</w:pPr>
    </w:p>
    <w:p w14:paraId="7F0644A3">
      <w:pPr>
        <w:topLinePunct w:val="0"/>
        <w:bidi w:val="0"/>
        <w:spacing w:line="560" w:lineRule="exact"/>
        <w:ind w:firstLine="864" w:firstLineChars="270"/>
        <w:jc w:val="right"/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</w:pPr>
    </w:p>
    <w:p w14:paraId="6E8192D4">
      <w:pPr>
        <w:topLinePunct w:val="0"/>
        <w:bidi w:val="0"/>
        <w:spacing w:line="560" w:lineRule="exact"/>
        <w:ind w:firstLine="864" w:firstLineChars="270"/>
        <w:jc w:val="right"/>
        <w:rPr>
          <w:rFonts w:ascii="仿宋_GB2312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日</w:t>
      </w:r>
    </w:p>
    <w:p w14:paraId="0C69C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53" w:name="_Toc135478048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br w:type="page"/>
      </w:r>
      <w:bookmarkEnd w:id="53"/>
      <w:bookmarkStart w:id="54" w:name="_GoBack"/>
      <w:bookmarkEnd w:id="5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道路附件</w:t>
      </w:r>
    </w:p>
    <w:p w14:paraId="3078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道路路基宽7.5m，行车道宽2*3.5m，土路肩宽2*0.25m，路面板块长度为6m。行车道路拱横坡采用1.5%，土路肩采用2%，路基压实度95%。结构层面层采用30cm厚C30混凝土，基层表面必须采用拉毛、拉槽、压槽或刻槽等方法筑做表面构造，深度祥见《公路水泥混凝土路面设计规范》（JTGD40-2001）的有关规定；结构层基层采用20cm级配沙砾。钢筋采用直径12毫米的HRB400 单层双向布置，钢筋端部混凝土保护层厚度30mm。纵向钢筋位于顶面下10cm，横向钢筋位于纵向钢筋之下。</w:t>
      </w:r>
    </w:p>
    <w:p w14:paraId="46AF54F7">
      <w:pPr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Calibri" w:hAnsi="Calibri" w:eastAsia="宋体" w:cs="Times New Roman"/>
          <w:lang w:val="en-US" w:eastAsia="zh-CN"/>
        </w:rPr>
        <w:drawing>
          <wp:inline distT="0" distB="0" distL="114300" distR="114300">
            <wp:extent cx="5267960" cy="2303780"/>
            <wp:effectExtent l="0" t="0" r="8890" b="1270"/>
            <wp:docPr id="6" name="图片 1" descr="171644757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716447573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1E93E">
      <w:pPr>
        <w:rPr>
          <w:rFonts w:hint="default" w:ascii="Calibri" w:hAnsi="Calibri" w:eastAsia="宋体" w:cs="Times New Roman"/>
          <w:lang w:val="en-US" w:eastAsia="zh-CN"/>
        </w:rPr>
      </w:pPr>
      <w:r>
        <w:rPr>
          <w:rFonts w:hint="default" w:ascii="Calibri" w:hAnsi="Calibri" w:eastAsia="宋体" w:cs="Times New Roman"/>
          <w:lang w:val="en-US" w:eastAsia="zh-CN"/>
        </w:rPr>
        <w:drawing>
          <wp:inline distT="0" distB="0" distL="114300" distR="114300">
            <wp:extent cx="5269865" cy="2560320"/>
            <wp:effectExtent l="0" t="0" r="6985" b="11430"/>
            <wp:docPr id="5" name="图片 2" descr="1716446842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716446842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Times New Roman"/>
          <w:lang w:val="en-US" w:eastAsia="zh-CN"/>
        </w:rPr>
        <w:drawing>
          <wp:inline distT="0" distB="0" distL="114300" distR="114300">
            <wp:extent cx="5268595" cy="3414395"/>
            <wp:effectExtent l="0" t="0" r="8255" b="14605"/>
            <wp:docPr id="2" name="图片 3" descr="171644812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7164481243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Times New Roman"/>
          <w:lang w:val="en-US" w:eastAsia="zh-CN"/>
        </w:rPr>
        <w:drawing>
          <wp:inline distT="0" distB="0" distL="114300" distR="114300">
            <wp:extent cx="5273040" cy="3881755"/>
            <wp:effectExtent l="0" t="0" r="3810" b="4445"/>
            <wp:docPr id="3" name="图片 4" descr="1716448097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17164480978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88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Times New Roman"/>
          <w:lang w:val="en-US" w:eastAsia="zh-CN"/>
        </w:rPr>
        <w:drawing>
          <wp:inline distT="0" distB="0" distL="114300" distR="114300">
            <wp:extent cx="5273040" cy="3470910"/>
            <wp:effectExtent l="0" t="0" r="3810" b="15240"/>
            <wp:docPr id="1" name="图片 5" descr="1716448056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17164480560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637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Microsoft JhengHei" w:hAnsi="Microsoft JhengHei" w:eastAsia="Microsoft JhengHei"/>
          <w:b/>
          <w:color w:val="auto"/>
          <w:w w:val="90"/>
          <w:sz w:val="32"/>
          <w:lang w:val="zh-CN"/>
        </w:rPr>
      </w:pPr>
    </w:p>
    <w:p w14:paraId="115915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Microsoft JhengHei" w:hAnsi="Microsoft JhengHei" w:eastAsia="Microsoft JhengHei"/>
          <w:b/>
          <w:color w:val="auto"/>
          <w:w w:val="90"/>
          <w:sz w:val="32"/>
          <w:lang w:val="zh-CN"/>
        </w:rPr>
      </w:pPr>
    </w:p>
    <w:p w14:paraId="52219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N2JkNjU1ZGI0OGY1MmVlMzI5MzIyNjlmMTgwY2MifQ=="/>
  </w:docVars>
  <w:rsids>
    <w:rsidRoot w:val="38D5694C"/>
    <w:rsid w:val="38D5694C"/>
    <w:rsid w:val="5AC9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1"/>
    <w:pPr>
      <w:spacing w:beforeLines="0" w:afterLines="0"/>
      <w:ind w:left="566"/>
    </w:pPr>
    <w:rPr>
      <w:rFonts w:hint="eastAsia" w:ascii="宋体" w:hAnsi="宋体" w:eastAsia="宋体"/>
      <w:sz w:val="28"/>
      <w:szCs w:val="24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  <w:rPr>
      <w:sz w:val="21"/>
    </w:rPr>
  </w:style>
  <w:style w:type="paragraph" w:styleId="5">
    <w:name w:val="toc 6"/>
    <w:basedOn w:val="1"/>
    <w:next w:val="1"/>
    <w:unhideWhenUsed/>
    <w:qFormat/>
    <w:uiPriority w:val="39"/>
    <w:pPr>
      <w:ind w:left="960"/>
      <w:jc w:val="left"/>
    </w:pPr>
    <w:rPr>
      <w:rFonts w:ascii="等线" w:eastAsia="等线"/>
      <w:sz w:val="20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2024-11-06T04:49:00Z</dcterms:created>
  <dc:creator>↘①辈子_守护℡</dc:creator>
  <cp:lastModifiedBy>↘①辈子_守护℡</cp:lastModifiedBy>
  <dcterms:modified xsi:type="dcterms:W3CDTF">2024-11-06T04:57:56Z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BC35EBA8F44043CBAFEB6FDBB7EDF556_11</vt:lpwstr>
  </property>
</Properties>
</file>