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44E647">
      <w:pPr>
        <w:jc w:val="center"/>
        <w:rPr>
          <w:rFonts w:ascii="宋体" w:hAnsi="宋体" w:cs="宋体"/>
          <w:b/>
          <w:bCs/>
          <w:color w:val="auto"/>
          <w:sz w:val="60"/>
          <w:szCs w:val="60"/>
        </w:rPr>
      </w:pPr>
    </w:p>
    <w:p w14:paraId="00C51482">
      <w:pPr>
        <w:jc w:val="center"/>
        <w:rPr>
          <w:rFonts w:ascii="宋体" w:hAnsi="宋体" w:cs="宋体"/>
          <w:b/>
          <w:bCs/>
          <w:color w:val="auto"/>
          <w:sz w:val="60"/>
          <w:szCs w:val="60"/>
        </w:rPr>
      </w:pPr>
      <w:r>
        <w:rPr>
          <w:rFonts w:hint="eastAsia" w:ascii="宋体" w:hAnsi="宋体" w:cs="宋体"/>
          <w:b/>
          <w:bCs/>
          <w:color w:val="auto"/>
          <w:sz w:val="60"/>
          <w:szCs w:val="60"/>
        </w:rPr>
        <w:t>竞争性磋商文件</w:t>
      </w:r>
    </w:p>
    <w:p w14:paraId="4F9B321A">
      <w:pPr>
        <w:spacing w:line="360" w:lineRule="auto"/>
        <w:jc w:val="center"/>
        <w:rPr>
          <w:rFonts w:ascii="宋体" w:hAnsi="宋体" w:cs="宋体"/>
          <w:b/>
          <w:bCs/>
          <w:color w:val="auto"/>
          <w:sz w:val="60"/>
          <w:szCs w:val="60"/>
        </w:rPr>
      </w:pPr>
    </w:p>
    <w:p w14:paraId="6CAB8890">
      <w:pPr>
        <w:spacing w:line="360" w:lineRule="auto"/>
        <w:jc w:val="center"/>
        <w:rPr>
          <w:rFonts w:ascii="宋体" w:hAnsi="宋体" w:cs="宋体"/>
          <w:b/>
          <w:bCs/>
          <w:color w:val="auto"/>
          <w:sz w:val="60"/>
          <w:szCs w:val="60"/>
        </w:rPr>
      </w:pPr>
    </w:p>
    <w:p w14:paraId="05B7D2F3">
      <w:pPr>
        <w:snapToGrid w:val="0"/>
        <w:spacing w:line="360" w:lineRule="auto"/>
        <w:rPr>
          <w:rFonts w:ascii="宋体" w:hAnsi="宋体" w:cs="宋体"/>
          <w:color w:val="auto"/>
        </w:rPr>
      </w:pPr>
    </w:p>
    <w:p w14:paraId="505DF53B">
      <w:pPr>
        <w:snapToGrid w:val="0"/>
        <w:spacing w:line="720" w:lineRule="auto"/>
        <w:ind w:firstLine="720" w:firstLineChars="200"/>
        <w:jc w:val="center"/>
        <w:rPr>
          <w:rFonts w:ascii="宋体" w:hAnsi="宋体" w:cs="宋体"/>
          <w:bCs/>
          <w:color w:val="auto"/>
          <w:sz w:val="44"/>
          <w:szCs w:val="44"/>
        </w:rPr>
      </w:pPr>
      <w:r>
        <w:rPr>
          <w:rFonts w:hint="eastAsia" w:ascii="宋体" w:hAnsi="宋体" w:cs="宋体"/>
          <w:bCs/>
          <w:color w:val="auto"/>
          <w:sz w:val="36"/>
          <w:szCs w:val="36"/>
        </w:rPr>
        <w:t>项目名称：国家税务总局常州市金坛区税务局土地增值税清算项目工程造价咨询服务</w:t>
      </w:r>
    </w:p>
    <w:p w14:paraId="74A3B620">
      <w:pPr>
        <w:tabs>
          <w:tab w:val="left" w:pos="3240"/>
          <w:tab w:val="left" w:pos="3420"/>
        </w:tabs>
        <w:spacing w:line="720" w:lineRule="auto"/>
        <w:ind w:firstLine="720" w:firstLineChars="200"/>
        <w:jc w:val="left"/>
        <w:rPr>
          <w:rFonts w:ascii="宋体" w:hAnsi="宋体" w:cs="宋体"/>
          <w:bCs/>
          <w:color w:val="auto"/>
          <w:sz w:val="36"/>
          <w:szCs w:val="36"/>
        </w:rPr>
      </w:pPr>
      <w:r>
        <w:rPr>
          <w:rFonts w:hint="eastAsia" w:ascii="宋体" w:hAnsi="宋体" w:cs="宋体"/>
          <w:bCs/>
          <w:color w:val="auto"/>
          <w:sz w:val="36"/>
          <w:szCs w:val="36"/>
        </w:rPr>
        <w:t>项目编号：JSXD2024-014号</w:t>
      </w:r>
    </w:p>
    <w:p w14:paraId="283B5F75">
      <w:pPr>
        <w:tabs>
          <w:tab w:val="left" w:pos="3240"/>
          <w:tab w:val="left" w:pos="3420"/>
        </w:tabs>
        <w:spacing w:line="720" w:lineRule="auto"/>
        <w:ind w:firstLine="720" w:firstLineChars="200"/>
        <w:jc w:val="left"/>
        <w:rPr>
          <w:rFonts w:ascii="宋体" w:hAnsi="宋体" w:cs="宋体"/>
          <w:bCs/>
          <w:color w:val="auto"/>
          <w:sz w:val="36"/>
          <w:szCs w:val="36"/>
        </w:rPr>
      </w:pPr>
      <w:r>
        <w:rPr>
          <w:rFonts w:hint="eastAsia" w:ascii="宋体" w:hAnsi="宋体" w:cs="宋体"/>
          <w:bCs/>
          <w:color w:val="auto"/>
          <w:sz w:val="36"/>
          <w:szCs w:val="36"/>
        </w:rPr>
        <w:t>采 购 人：国家税务总局常州市金坛区税务局</w:t>
      </w:r>
    </w:p>
    <w:p w14:paraId="65F88B57">
      <w:pPr>
        <w:tabs>
          <w:tab w:val="left" w:pos="3240"/>
          <w:tab w:val="left" w:pos="3420"/>
        </w:tabs>
        <w:spacing w:line="720" w:lineRule="auto"/>
        <w:ind w:firstLine="720" w:firstLineChars="200"/>
        <w:jc w:val="left"/>
        <w:rPr>
          <w:rFonts w:ascii="宋体" w:hAnsi="宋体" w:cs="宋体"/>
          <w:bCs/>
          <w:color w:val="auto"/>
          <w:sz w:val="36"/>
          <w:szCs w:val="36"/>
        </w:rPr>
      </w:pPr>
      <w:r>
        <w:rPr>
          <w:rFonts w:hint="eastAsia" w:ascii="宋体" w:hAnsi="宋体" w:cs="宋体"/>
          <w:bCs/>
          <w:color w:val="auto"/>
          <w:sz w:val="36"/>
          <w:szCs w:val="36"/>
        </w:rPr>
        <w:t>采购代理机构：江苏信达建设工程咨询有限公司</w:t>
      </w:r>
    </w:p>
    <w:p w14:paraId="0CD77EAA">
      <w:pPr>
        <w:pStyle w:val="26"/>
        <w:ind w:left="560" w:firstLine="880"/>
        <w:rPr>
          <w:rFonts w:ascii="宋体" w:hAnsi="宋体" w:cs="宋体"/>
          <w:bCs/>
          <w:color w:val="auto"/>
          <w:sz w:val="44"/>
          <w:szCs w:val="44"/>
        </w:rPr>
      </w:pPr>
    </w:p>
    <w:p w14:paraId="228BD8F8">
      <w:pPr>
        <w:widowControl/>
        <w:spacing w:line="440" w:lineRule="exact"/>
        <w:jc w:val="center"/>
        <w:outlineLvl w:val="3"/>
        <w:rPr>
          <w:rFonts w:ascii="宋体" w:hAnsi="宋体" w:cs="宋体"/>
          <w:bCs/>
          <w:color w:val="auto"/>
          <w:sz w:val="44"/>
          <w:szCs w:val="44"/>
        </w:rPr>
      </w:pPr>
    </w:p>
    <w:p w14:paraId="1E8ED5CA">
      <w:pPr>
        <w:widowControl/>
        <w:jc w:val="left"/>
        <w:rPr>
          <w:rFonts w:ascii="宋体" w:hAnsi="宋体" w:cs="宋体"/>
          <w:bCs/>
          <w:color w:val="auto"/>
          <w:sz w:val="36"/>
          <w:szCs w:val="36"/>
        </w:rPr>
      </w:pPr>
      <w:r>
        <w:rPr>
          <w:rFonts w:hint="eastAsia" w:ascii="宋体" w:hAnsi="宋体" w:cs="宋体"/>
          <w:bCs/>
          <w:color w:val="auto"/>
          <w:sz w:val="36"/>
          <w:szCs w:val="36"/>
        </w:rPr>
        <w:br w:type="page"/>
      </w:r>
    </w:p>
    <w:p w14:paraId="187750B4">
      <w:pPr>
        <w:spacing w:line="400" w:lineRule="exact"/>
        <w:jc w:val="center"/>
        <w:outlineLvl w:val="0"/>
        <w:rPr>
          <w:rFonts w:ascii="宋体" w:hAnsi="宋体" w:cs="宋体"/>
          <w:b/>
          <w:bCs/>
          <w:color w:val="auto"/>
          <w:sz w:val="32"/>
          <w:szCs w:val="32"/>
        </w:rPr>
      </w:pPr>
      <w:r>
        <w:rPr>
          <w:rFonts w:hint="eastAsia" w:ascii="宋体" w:hAnsi="宋体" w:cs="宋体"/>
          <w:b/>
          <w:bCs/>
          <w:color w:val="auto"/>
          <w:sz w:val="32"/>
          <w:szCs w:val="32"/>
        </w:rPr>
        <w:t>目  录</w:t>
      </w:r>
    </w:p>
    <w:p w14:paraId="17DD0122">
      <w:pPr>
        <w:spacing w:line="600" w:lineRule="auto"/>
        <w:ind w:firstLine="630" w:firstLineChars="300"/>
        <w:rPr>
          <w:rFonts w:ascii="宋体" w:hAnsi="宋体" w:cs="宋体"/>
          <w:color w:val="auto"/>
          <w:sz w:val="21"/>
          <w:szCs w:val="21"/>
        </w:rPr>
      </w:pPr>
      <w:r>
        <w:rPr>
          <w:rFonts w:hint="eastAsia" w:ascii="宋体" w:hAnsi="宋体" w:cs="宋体"/>
          <w:color w:val="auto"/>
          <w:sz w:val="21"/>
          <w:szCs w:val="21"/>
        </w:rPr>
        <w:t>第一部分 采购邀请</w:t>
      </w:r>
    </w:p>
    <w:p w14:paraId="00AA3FE6">
      <w:pPr>
        <w:spacing w:line="600" w:lineRule="auto"/>
        <w:ind w:firstLine="630" w:firstLineChars="300"/>
        <w:rPr>
          <w:rFonts w:ascii="宋体" w:hAnsi="宋体" w:cs="宋体"/>
          <w:color w:val="auto"/>
          <w:sz w:val="21"/>
          <w:szCs w:val="21"/>
        </w:rPr>
      </w:pPr>
      <w:r>
        <w:rPr>
          <w:rFonts w:hint="eastAsia" w:ascii="宋体" w:hAnsi="宋体" w:cs="宋体"/>
          <w:color w:val="auto"/>
          <w:sz w:val="21"/>
          <w:szCs w:val="21"/>
        </w:rPr>
        <w:t>第二部分 响应人须知前附表</w:t>
      </w:r>
    </w:p>
    <w:p w14:paraId="7A5D6DDD">
      <w:pPr>
        <w:spacing w:line="600" w:lineRule="auto"/>
        <w:ind w:firstLine="630" w:firstLineChars="300"/>
        <w:rPr>
          <w:rFonts w:ascii="宋体" w:hAnsi="宋体" w:cs="宋体"/>
          <w:color w:val="auto"/>
          <w:sz w:val="21"/>
          <w:szCs w:val="21"/>
        </w:rPr>
      </w:pPr>
      <w:r>
        <w:rPr>
          <w:rFonts w:hint="eastAsia" w:ascii="宋体" w:hAnsi="宋体" w:cs="宋体"/>
          <w:color w:val="auto"/>
          <w:sz w:val="21"/>
          <w:szCs w:val="21"/>
        </w:rPr>
        <w:t>第三部分 响应人须知</w:t>
      </w:r>
    </w:p>
    <w:p w14:paraId="4072CE7A">
      <w:pPr>
        <w:spacing w:line="600" w:lineRule="auto"/>
        <w:ind w:firstLine="630" w:firstLineChars="300"/>
        <w:rPr>
          <w:rFonts w:ascii="宋体" w:hAnsi="宋体" w:cs="宋体"/>
          <w:color w:val="auto"/>
          <w:sz w:val="21"/>
          <w:szCs w:val="21"/>
        </w:rPr>
      </w:pPr>
      <w:r>
        <w:rPr>
          <w:rFonts w:hint="eastAsia" w:ascii="宋体" w:hAnsi="宋体" w:cs="宋体"/>
          <w:color w:val="auto"/>
          <w:sz w:val="21"/>
          <w:szCs w:val="21"/>
        </w:rPr>
        <w:t>第四部分 采购需求</w:t>
      </w:r>
    </w:p>
    <w:p w14:paraId="022C5DAB">
      <w:pPr>
        <w:spacing w:line="600" w:lineRule="auto"/>
        <w:ind w:firstLine="560" w:firstLineChars="200"/>
        <w:rPr>
          <w:rFonts w:ascii="宋体" w:hAnsi="宋体" w:cs="宋体"/>
          <w:color w:val="auto"/>
          <w:sz w:val="21"/>
          <w:szCs w:val="21"/>
        </w:rPr>
      </w:pPr>
      <w:r>
        <w:rPr>
          <w:color w:val="auto"/>
        </w:rPr>
        <w:fldChar w:fldCharType="begin"/>
      </w:r>
      <w:r>
        <w:rPr>
          <w:color w:val="auto"/>
        </w:rPr>
        <w:instrText xml:space="preserve"> HYPERLINK \l "_Toc214163640" </w:instrText>
      </w:r>
      <w:r>
        <w:rPr>
          <w:color w:val="auto"/>
        </w:rPr>
        <w:fldChar w:fldCharType="separate"/>
      </w:r>
      <w:r>
        <w:rPr>
          <w:rFonts w:hint="eastAsia" w:ascii="宋体" w:hAnsi="宋体" w:cs="宋体"/>
          <w:color w:val="auto"/>
          <w:sz w:val="21"/>
          <w:szCs w:val="21"/>
        </w:rPr>
        <w:t xml:space="preserve">第五部分 </w:t>
      </w:r>
      <w:r>
        <w:rPr>
          <w:rFonts w:hint="eastAsia" w:ascii="宋体" w:hAnsi="宋体" w:cs="宋体"/>
          <w:color w:val="auto"/>
          <w:sz w:val="21"/>
          <w:szCs w:val="21"/>
        </w:rPr>
        <w:fldChar w:fldCharType="end"/>
      </w:r>
      <w:r>
        <w:rPr>
          <w:rFonts w:hint="eastAsia" w:ascii="宋体" w:hAnsi="宋体" w:cs="宋体"/>
          <w:color w:val="auto"/>
          <w:sz w:val="21"/>
          <w:szCs w:val="21"/>
        </w:rPr>
        <w:t>评标方法和评标标准</w:t>
      </w:r>
    </w:p>
    <w:p w14:paraId="193E0002">
      <w:pPr>
        <w:spacing w:line="600" w:lineRule="auto"/>
        <w:ind w:firstLine="630" w:firstLineChars="300"/>
        <w:rPr>
          <w:rStyle w:val="38"/>
          <w:rFonts w:ascii="宋体" w:hAnsi="宋体" w:cs="宋体"/>
          <w:color w:val="auto"/>
          <w:sz w:val="21"/>
          <w:szCs w:val="21"/>
        </w:rPr>
      </w:pPr>
      <w:r>
        <w:rPr>
          <w:rStyle w:val="38"/>
          <w:rFonts w:hint="eastAsia" w:ascii="宋体" w:hAnsi="宋体" w:cs="宋体"/>
          <w:color w:val="auto"/>
          <w:sz w:val="21"/>
          <w:szCs w:val="21"/>
        </w:rPr>
        <w:t>第六部分 合同条款</w:t>
      </w:r>
    </w:p>
    <w:p w14:paraId="63B1FE54">
      <w:pPr>
        <w:spacing w:line="600" w:lineRule="auto"/>
        <w:ind w:firstLine="630" w:firstLineChars="300"/>
        <w:rPr>
          <w:rFonts w:ascii="宋体" w:hAnsi="宋体" w:cs="宋体"/>
          <w:color w:val="auto"/>
          <w:sz w:val="21"/>
          <w:szCs w:val="21"/>
        </w:rPr>
      </w:pPr>
      <w:r>
        <w:rPr>
          <w:rFonts w:hint="eastAsia" w:ascii="宋体" w:hAnsi="宋体" w:cs="宋体"/>
          <w:color w:val="auto"/>
          <w:sz w:val="21"/>
          <w:szCs w:val="21"/>
        </w:rPr>
        <w:t>第七部分 响应文件格式</w:t>
      </w:r>
    </w:p>
    <w:p w14:paraId="48A2F957">
      <w:pPr>
        <w:widowControl/>
        <w:jc w:val="left"/>
        <w:rPr>
          <w:rFonts w:ascii="宋体" w:hAnsi="宋体" w:cs="宋体"/>
          <w:color w:val="auto"/>
          <w:sz w:val="21"/>
          <w:szCs w:val="21"/>
        </w:rPr>
      </w:pPr>
      <w:r>
        <w:rPr>
          <w:rFonts w:hint="eastAsia" w:ascii="宋体" w:hAnsi="宋体" w:cs="宋体"/>
          <w:color w:val="auto"/>
          <w:sz w:val="21"/>
          <w:szCs w:val="21"/>
        </w:rPr>
        <w:br w:type="page"/>
      </w:r>
    </w:p>
    <w:p w14:paraId="55F530A7">
      <w:pPr>
        <w:spacing w:line="440" w:lineRule="exact"/>
        <w:jc w:val="center"/>
        <w:outlineLvl w:val="0"/>
        <w:rPr>
          <w:rFonts w:ascii="宋体" w:hAnsi="宋体" w:cs="宋体"/>
          <w:color w:val="auto"/>
          <w:sz w:val="21"/>
          <w:szCs w:val="21"/>
        </w:rPr>
      </w:pPr>
      <w:r>
        <w:rPr>
          <w:rFonts w:hint="eastAsia" w:ascii="宋体" w:hAnsi="宋体" w:cs="宋体"/>
          <w:b/>
          <w:bCs/>
          <w:color w:val="auto"/>
          <w:sz w:val="21"/>
          <w:szCs w:val="21"/>
        </w:rPr>
        <w:t>第一部分 采购邀请</w:t>
      </w:r>
    </w:p>
    <w:p w14:paraId="04AED617">
      <w:pPr>
        <w:spacing w:line="440" w:lineRule="exact"/>
        <w:ind w:firstLine="420" w:firstLineChars="200"/>
        <w:rPr>
          <w:rFonts w:ascii="宋体" w:hAnsi="宋体" w:cs="宋体"/>
          <w:color w:val="auto"/>
          <w:sz w:val="21"/>
          <w:szCs w:val="21"/>
        </w:rPr>
      </w:pPr>
      <w:r>
        <w:rPr>
          <w:rFonts w:hint="eastAsia" w:ascii="宋体" w:hAnsi="宋体" w:cs="宋体"/>
          <w:color w:val="auto"/>
          <w:sz w:val="21"/>
          <w:szCs w:val="21"/>
        </w:rPr>
        <w:t>江苏信达建设工程咨询有限公司（以下简称代理机构）就以下所述项目相关服务进行竞争性磋商，邀请合格响应人密封响应。</w:t>
      </w:r>
    </w:p>
    <w:p w14:paraId="4D4DD270">
      <w:pPr>
        <w:spacing w:line="440" w:lineRule="exact"/>
        <w:rPr>
          <w:rFonts w:ascii="宋体" w:hAnsi="宋体" w:cs="宋体"/>
          <w:color w:val="auto"/>
          <w:sz w:val="21"/>
          <w:szCs w:val="21"/>
        </w:rPr>
      </w:pPr>
      <w:r>
        <w:rPr>
          <w:rFonts w:hint="eastAsia" w:ascii="宋体" w:hAnsi="宋体" w:cs="宋体"/>
          <w:b/>
          <w:color w:val="auto"/>
          <w:sz w:val="21"/>
          <w:szCs w:val="21"/>
        </w:rPr>
        <w:t>一、项目名称：</w:t>
      </w:r>
      <w:bookmarkStart w:id="0" w:name="_Toc517793362"/>
      <w:r>
        <w:rPr>
          <w:rFonts w:hint="eastAsia" w:ascii="宋体" w:hAnsi="宋体" w:cs="宋体"/>
          <w:color w:val="auto"/>
          <w:sz w:val="21"/>
          <w:szCs w:val="21"/>
        </w:rPr>
        <w:t>国家税务总局常州市金坛区税务局土地增值税清算项目工程造价咨询服务。</w:t>
      </w:r>
    </w:p>
    <w:p w14:paraId="4CDDC9C0">
      <w:pPr>
        <w:spacing w:line="440" w:lineRule="exact"/>
        <w:rPr>
          <w:rFonts w:ascii="宋体" w:hAnsi="宋体" w:cs="宋体"/>
          <w:b/>
          <w:color w:val="auto"/>
          <w:sz w:val="21"/>
          <w:szCs w:val="21"/>
        </w:rPr>
      </w:pPr>
      <w:r>
        <w:rPr>
          <w:rFonts w:hint="eastAsia" w:ascii="宋体" w:hAnsi="宋体" w:cs="宋体"/>
          <w:b/>
          <w:color w:val="auto"/>
          <w:sz w:val="21"/>
          <w:szCs w:val="21"/>
        </w:rPr>
        <w:t>二、磋商内容：</w:t>
      </w:r>
    </w:p>
    <w:p w14:paraId="453624B4">
      <w:pPr>
        <w:spacing w:line="440" w:lineRule="exact"/>
        <w:ind w:firstLine="420" w:firstLineChars="200"/>
        <w:rPr>
          <w:rFonts w:ascii="宋体" w:hAnsi="宋体" w:cs="宋体"/>
          <w:bCs/>
          <w:color w:val="auto"/>
          <w:sz w:val="21"/>
          <w:szCs w:val="21"/>
        </w:rPr>
      </w:pPr>
      <w:r>
        <w:rPr>
          <w:rFonts w:hint="eastAsia" w:ascii="宋体" w:hAnsi="宋体" w:cs="宋体"/>
          <w:bCs/>
          <w:color w:val="auto"/>
          <w:sz w:val="21"/>
          <w:szCs w:val="21"/>
        </w:rPr>
        <w:t>1.</w:t>
      </w:r>
      <w:r>
        <w:rPr>
          <w:rFonts w:hint="eastAsia" w:ascii="宋体" w:hAnsi="宋体" w:cs="宋体"/>
          <w:color w:val="auto"/>
          <w:sz w:val="21"/>
          <w:szCs w:val="21"/>
        </w:rPr>
        <w:t>本次磋商共计</w:t>
      </w:r>
      <w:r>
        <w:rPr>
          <w:rFonts w:hint="eastAsia" w:ascii="宋体" w:hAnsi="宋体" w:cs="宋体"/>
          <w:bCs/>
          <w:color w:val="auto"/>
          <w:kern w:val="20"/>
          <w:sz w:val="21"/>
          <w:szCs w:val="21"/>
          <w:u w:val="single"/>
        </w:rPr>
        <w:t xml:space="preserve"> 1 包</w:t>
      </w:r>
      <w:r>
        <w:rPr>
          <w:rFonts w:hint="eastAsia" w:ascii="宋体" w:hAnsi="宋体" w:cs="宋体"/>
          <w:color w:val="auto"/>
          <w:sz w:val="21"/>
          <w:szCs w:val="21"/>
        </w:rPr>
        <w:t>。</w:t>
      </w:r>
    </w:p>
    <w:p w14:paraId="1BFF4691">
      <w:pPr>
        <w:spacing w:line="440" w:lineRule="exact"/>
        <w:ind w:firstLine="420" w:firstLineChars="200"/>
        <w:rPr>
          <w:rFonts w:ascii="宋体" w:hAnsi="宋体" w:cs="宋体"/>
          <w:color w:val="auto"/>
          <w:sz w:val="21"/>
          <w:szCs w:val="21"/>
        </w:rPr>
      </w:pPr>
      <w:r>
        <w:rPr>
          <w:rFonts w:hint="eastAsia" w:ascii="宋体" w:hAnsi="宋体" w:cs="宋体"/>
          <w:color w:val="auto"/>
          <w:sz w:val="21"/>
          <w:szCs w:val="21"/>
        </w:rPr>
        <w:t>2.项目预算金额：15万元/年。</w:t>
      </w:r>
    </w:p>
    <w:p w14:paraId="669B2AD5">
      <w:pPr>
        <w:spacing w:line="440" w:lineRule="exact"/>
        <w:ind w:firstLine="420" w:firstLineChars="200"/>
        <w:rPr>
          <w:rFonts w:ascii="宋体" w:hAnsi="宋体" w:cs="宋体"/>
          <w:color w:val="auto"/>
          <w:sz w:val="21"/>
          <w:szCs w:val="24"/>
        </w:rPr>
      </w:pPr>
      <w:r>
        <w:rPr>
          <w:rFonts w:hint="eastAsia" w:ascii="宋体" w:hAnsi="宋体" w:cs="宋体"/>
          <w:color w:val="auto"/>
          <w:sz w:val="21"/>
          <w:szCs w:val="24"/>
        </w:rPr>
        <w:t>最高限价：咨询服务费用按每个清算项目（分期项目合并）计算，</w:t>
      </w:r>
      <w:r>
        <w:rPr>
          <w:rFonts w:hint="eastAsia" w:ascii="宋体" w:hAnsi="宋体" w:cs="宋体"/>
          <w:color w:val="auto"/>
          <w:sz w:val="21"/>
          <w:szCs w:val="24"/>
        </w:rPr>
        <w:t>采用基础费用和协审影响土地增值税清算税款比例费率</w:t>
      </w:r>
      <w:r>
        <w:rPr>
          <w:rFonts w:hint="eastAsia" w:ascii="宋体" w:hAnsi="宋体" w:cs="宋体"/>
          <w:color w:val="auto"/>
          <w:sz w:val="21"/>
          <w:szCs w:val="24"/>
        </w:rPr>
        <w:t>计算的“绩效费用”相结合的方法确定费用。</w:t>
      </w:r>
    </w:p>
    <w:p w14:paraId="425F93BD">
      <w:pPr>
        <w:spacing w:line="440" w:lineRule="exact"/>
        <w:ind w:firstLine="420" w:firstLineChars="200"/>
        <w:rPr>
          <w:rFonts w:ascii="宋体" w:hAnsi="宋体" w:cs="宋体"/>
          <w:color w:val="auto"/>
          <w:sz w:val="21"/>
          <w:szCs w:val="24"/>
        </w:rPr>
      </w:pPr>
      <w:r>
        <w:rPr>
          <w:rFonts w:hint="eastAsia" w:ascii="宋体" w:hAnsi="宋体" w:cs="宋体"/>
          <w:color w:val="auto"/>
          <w:sz w:val="21"/>
          <w:szCs w:val="24"/>
        </w:rPr>
        <w:t>1）申请造价咨询的项目，</w:t>
      </w:r>
      <w:r>
        <w:rPr>
          <w:rFonts w:hint="eastAsia" w:ascii="宋体" w:hAnsi="宋体" w:cs="宋体"/>
          <w:color w:val="auto"/>
          <w:sz w:val="21"/>
          <w:szCs w:val="24"/>
        </w:rPr>
        <w:t>咨询后清算土地增值税有增加土地增值税税款或者减少土地增值税退税的仅按基础费用</w:t>
      </w:r>
      <w:r>
        <w:rPr>
          <w:rFonts w:hint="eastAsia" w:ascii="宋体" w:hAnsi="宋体" w:cs="宋体"/>
          <w:color w:val="auto"/>
          <w:sz w:val="21"/>
          <w:szCs w:val="24"/>
        </w:rPr>
        <w:t>，分三个类分别计费：</w:t>
      </w:r>
    </w:p>
    <w:p w14:paraId="3AA86E7B">
      <w:pPr>
        <w:spacing w:line="360" w:lineRule="auto"/>
        <w:ind w:firstLine="420" w:firstLineChars="200"/>
        <w:rPr>
          <w:rFonts w:ascii="宋体" w:hAnsi="宋体" w:cs="宋体"/>
          <w:color w:val="auto"/>
          <w:sz w:val="21"/>
          <w:szCs w:val="24"/>
        </w:rPr>
      </w:pPr>
      <w:r>
        <w:rPr>
          <w:rFonts w:hint="eastAsia" w:ascii="宋体" w:hAnsi="宋体" w:cs="宋体"/>
          <w:color w:val="auto"/>
          <w:sz w:val="21"/>
          <w:szCs w:val="24"/>
        </w:rPr>
        <w:t>（1）第一类为咨询项目建筑面积6万平方米（含）以下，最高限价为8000元。</w:t>
      </w:r>
    </w:p>
    <w:p w14:paraId="4348B201">
      <w:pPr>
        <w:spacing w:line="360" w:lineRule="auto"/>
        <w:ind w:firstLine="420" w:firstLineChars="200"/>
        <w:rPr>
          <w:rFonts w:ascii="宋体" w:hAnsi="宋体" w:cs="宋体"/>
          <w:color w:val="auto"/>
          <w:sz w:val="21"/>
          <w:szCs w:val="24"/>
        </w:rPr>
      </w:pPr>
      <w:r>
        <w:rPr>
          <w:rFonts w:hint="eastAsia" w:ascii="宋体" w:hAnsi="宋体" w:cs="宋体"/>
          <w:color w:val="auto"/>
          <w:sz w:val="21"/>
          <w:szCs w:val="24"/>
        </w:rPr>
        <w:t>（2）第二类为咨询项目建筑面积6—12万平方米之间，最高限价为10000元。</w:t>
      </w:r>
    </w:p>
    <w:p w14:paraId="11054212">
      <w:pPr>
        <w:spacing w:line="360" w:lineRule="auto"/>
        <w:ind w:firstLine="420" w:firstLineChars="200"/>
        <w:rPr>
          <w:rFonts w:ascii="宋体" w:hAnsi="宋体" w:cs="宋体"/>
          <w:color w:val="auto"/>
          <w:sz w:val="21"/>
          <w:szCs w:val="24"/>
        </w:rPr>
      </w:pPr>
      <w:r>
        <w:rPr>
          <w:rFonts w:hint="eastAsia" w:ascii="宋体" w:hAnsi="宋体" w:cs="宋体"/>
          <w:color w:val="auto"/>
          <w:sz w:val="21"/>
          <w:szCs w:val="24"/>
        </w:rPr>
        <w:t>（3）第三类为咨询项目建筑面积12万平方米（含）以上，最高限价为15000元。</w:t>
      </w:r>
    </w:p>
    <w:p w14:paraId="18F3541B">
      <w:pPr>
        <w:spacing w:line="360" w:lineRule="auto"/>
        <w:ind w:firstLine="420" w:firstLineChars="200"/>
        <w:rPr>
          <w:rFonts w:ascii="宋体" w:hAnsi="宋体" w:cs="宋体"/>
          <w:color w:val="auto"/>
          <w:sz w:val="21"/>
          <w:szCs w:val="24"/>
        </w:rPr>
      </w:pPr>
      <w:r>
        <w:rPr>
          <w:rFonts w:hint="eastAsia" w:ascii="宋体" w:hAnsi="宋体" w:cs="宋体"/>
          <w:color w:val="auto"/>
          <w:sz w:val="21"/>
          <w:szCs w:val="24"/>
        </w:rPr>
        <w:t>2）在申请造价咨询的工程造价基础上，税务部门、供应商通过组织造价咨询，</w:t>
      </w:r>
      <w:r>
        <w:rPr>
          <w:rFonts w:hint="eastAsia" w:ascii="宋体" w:hAnsi="宋体" w:cs="宋体"/>
          <w:color w:val="auto"/>
          <w:sz w:val="21"/>
          <w:szCs w:val="24"/>
        </w:rPr>
        <w:t>新增加的补税金额或减少的退税金额</w:t>
      </w:r>
      <w:r>
        <w:rPr>
          <w:rFonts w:hint="eastAsia" w:ascii="宋体" w:hAnsi="宋体" w:cs="宋体"/>
          <w:color w:val="auto"/>
          <w:sz w:val="21"/>
          <w:szCs w:val="24"/>
        </w:rPr>
        <w:t>视为增加量，绩效费用</w:t>
      </w:r>
      <w:r>
        <w:rPr>
          <w:rFonts w:hint="eastAsia" w:ascii="宋体" w:hAnsi="宋体" w:cs="宋体"/>
          <w:color w:val="auto"/>
          <w:sz w:val="21"/>
          <w:szCs w:val="24"/>
        </w:rPr>
        <w:t>按增加量的百分比值</w:t>
      </w:r>
      <w:r>
        <w:rPr>
          <w:rFonts w:hint="eastAsia" w:ascii="宋体" w:hAnsi="宋体" w:cs="宋体"/>
          <w:color w:val="auto"/>
          <w:sz w:val="21"/>
          <w:szCs w:val="24"/>
        </w:rPr>
        <w:t>计算，分两个档次累进费率计费：</w:t>
      </w:r>
    </w:p>
    <w:p w14:paraId="43D9FC19">
      <w:pPr>
        <w:spacing w:line="360" w:lineRule="auto"/>
        <w:ind w:firstLine="420" w:firstLineChars="200"/>
        <w:rPr>
          <w:rFonts w:ascii="宋体" w:hAnsi="宋体" w:cs="宋体"/>
          <w:color w:val="auto"/>
          <w:sz w:val="21"/>
          <w:szCs w:val="24"/>
        </w:rPr>
      </w:pPr>
      <w:r>
        <w:rPr>
          <w:rFonts w:hint="eastAsia" w:ascii="宋体" w:hAnsi="宋体" w:cs="宋体"/>
          <w:color w:val="auto"/>
          <w:sz w:val="21"/>
          <w:szCs w:val="24"/>
        </w:rPr>
        <w:t>（1）第一个档次为增加量小于等于500万，最高费率为1%。</w:t>
      </w:r>
    </w:p>
    <w:p w14:paraId="610DF5B8">
      <w:pPr>
        <w:spacing w:line="360" w:lineRule="auto"/>
        <w:ind w:firstLine="420" w:firstLineChars="200"/>
        <w:rPr>
          <w:rFonts w:ascii="宋体" w:hAnsi="宋体" w:cs="宋体"/>
          <w:color w:val="auto"/>
          <w:sz w:val="21"/>
        </w:rPr>
      </w:pPr>
      <w:r>
        <w:rPr>
          <w:rFonts w:hint="eastAsia" w:ascii="宋体" w:hAnsi="宋体" w:cs="宋体"/>
          <w:color w:val="auto"/>
          <w:sz w:val="21"/>
          <w:szCs w:val="24"/>
        </w:rPr>
        <w:t>（2）第二个档次为增加量大于500万，最高费率为0.5%。</w:t>
      </w:r>
    </w:p>
    <w:p w14:paraId="519F6B81">
      <w:pPr>
        <w:widowControl/>
        <w:spacing w:line="360" w:lineRule="auto"/>
        <w:ind w:firstLine="420" w:firstLineChars="200"/>
        <w:jc w:val="left"/>
        <w:rPr>
          <w:rFonts w:ascii="宋体" w:hAnsi="宋体" w:cs="宋体"/>
          <w:color w:val="auto"/>
          <w:sz w:val="21"/>
          <w:szCs w:val="24"/>
        </w:rPr>
      </w:pPr>
      <w:r>
        <w:rPr>
          <w:rFonts w:hint="eastAsia" w:ascii="宋体" w:hAnsi="宋体" w:cs="宋体"/>
          <w:color w:val="auto"/>
          <w:sz w:val="21"/>
          <w:szCs w:val="21"/>
        </w:rPr>
        <w:t>3.采购需求：</w:t>
      </w:r>
      <w:r>
        <w:rPr>
          <w:rFonts w:hint="eastAsia" w:ascii="宋体" w:hAnsi="宋体" w:cs="宋体"/>
          <w:color w:val="auto"/>
          <w:sz w:val="21"/>
          <w:szCs w:val="24"/>
        </w:rPr>
        <w:t>采购人根据土地增值税清算工作需要，拟采购供应商为采购人提供工程造价咨询辅助协审服务。</w:t>
      </w:r>
    </w:p>
    <w:p w14:paraId="339F492E">
      <w:pPr>
        <w:widowControl/>
        <w:spacing w:line="360" w:lineRule="auto"/>
        <w:ind w:firstLine="420" w:firstLineChars="200"/>
        <w:jc w:val="left"/>
        <w:rPr>
          <w:rFonts w:ascii="宋体" w:hAnsi="宋体" w:cs="宋体"/>
          <w:color w:val="auto"/>
          <w:sz w:val="21"/>
          <w:szCs w:val="21"/>
        </w:rPr>
      </w:pPr>
      <w:r>
        <w:rPr>
          <w:rFonts w:hint="eastAsia" w:ascii="宋体" w:hAnsi="宋体" w:cs="宋体"/>
          <w:color w:val="auto"/>
          <w:sz w:val="21"/>
          <w:szCs w:val="24"/>
        </w:rPr>
        <w:t>4.评标办法：本次招标评标方法为综合评分法。即在最大限度地满足竞争性磋商文件实质性要求前提下，按照竞争性磋商文件中规定的各项因素进行综合评审后，按综合得分由高到低的顺序依次确定3家中标候选单位。评分细则详见竞争性磋商文件。</w:t>
      </w:r>
    </w:p>
    <w:p w14:paraId="3BD55C6A">
      <w:pPr>
        <w:widowControl/>
        <w:spacing w:line="360" w:lineRule="auto"/>
        <w:ind w:firstLine="420" w:firstLineChars="200"/>
        <w:jc w:val="left"/>
        <w:rPr>
          <w:rFonts w:ascii="宋体" w:hAnsi="宋体" w:cs="宋体"/>
          <w:color w:val="auto"/>
          <w:spacing w:val="2"/>
          <w:sz w:val="21"/>
          <w:szCs w:val="24"/>
        </w:rPr>
      </w:pPr>
      <w:r>
        <w:rPr>
          <w:rFonts w:hint="eastAsia" w:ascii="宋体" w:hAnsi="宋体" w:cs="宋体"/>
          <w:color w:val="auto"/>
          <w:sz w:val="21"/>
          <w:szCs w:val="21"/>
        </w:rPr>
        <w:t>5.</w:t>
      </w:r>
      <w:r>
        <w:rPr>
          <w:rFonts w:hint="eastAsia" w:ascii="宋体" w:hAnsi="宋体" w:cs="宋体"/>
          <w:color w:val="auto"/>
          <w:sz w:val="21"/>
          <w:szCs w:val="24"/>
        </w:rPr>
        <w:t>合同履行期限</w:t>
      </w:r>
      <w:r>
        <w:rPr>
          <w:rFonts w:hint="eastAsia" w:ascii="宋体" w:hAnsi="宋体" w:cs="宋体"/>
          <w:color w:val="auto"/>
          <w:spacing w:val="2"/>
          <w:sz w:val="21"/>
          <w:szCs w:val="24"/>
        </w:rPr>
        <w:t>：服务期限三年（采用1+1+1模式），自合同签订之日起，合同一年一签，经采购人考核合格后，在年度预算满足的情况下续签下一年合同，最多续签两年。</w:t>
      </w:r>
    </w:p>
    <w:p w14:paraId="3004CB80">
      <w:pPr>
        <w:widowControl/>
        <w:spacing w:line="360" w:lineRule="auto"/>
        <w:ind w:firstLine="428" w:firstLineChars="200"/>
        <w:jc w:val="left"/>
        <w:rPr>
          <w:rFonts w:ascii="宋体" w:hAnsi="宋体" w:cs="宋体"/>
          <w:color w:val="auto"/>
          <w:sz w:val="21"/>
          <w:szCs w:val="21"/>
        </w:rPr>
      </w:pPr>
      <w:r>
        <w:rPr>
          <w:rFonts w:hint="eastAsia" w:ascii="宋体" w:hAnsi="宋体" w:cs="宋体"/>
          <w:color w:val="auto"/>
          <w:spacing w:val="2"/>
          <w:sz w:val="21"/>
          <w:szCs w:val="24"/>
        </w:rPr>
        <w:t>6.服务</w:t>
      </w:r>
      <w:r>
        <w:rPr>
          <w:rFonts w:ascii="宋体" w:hAnsi="宋体" w:cs="宋体"/>
          <w:color w:val="auto"/>
          <w:spacing w:val="2"/>
          <w:sz w:val="21"/>
          <w:szCs w:val="24"/>
        </w:rPr>
        <w:t>要求：</w:t>
      </w:r>
      <w:r>
        <w:rPr>
          <w:rFonts w:hint="eastAsia" w:ascii="宋体" w:hAnsi="宋体" w:cs="宋体"/>
          <w:color w:val="auto"/>
          <w:kern w:val="0"/>
          <w:sz w:val="21"/>
          <w:szCs w:val="21"/>
        </w:rPr>
        <w:t>满足磋商文件需求</w:t>
      </w:r>
      <w:r>
        <w:rPr>
          <w:rFonts w:hint="eastAsia" w:ascii="宋体" w:hAnsi="宋体"/>
          <w:color w:val="auto"/>
          <w:sz w:val="21"/>
          <w:szCs w:val="24"/>
          <w:lang w:val="zh-CN"/>
        </w:rPr>
        <w:t>。</w:t>
      </w:r>
    </w:p>
    <w:p w14:paraId="0F6762A3">
      <w:pPr>
        <w:spacing w:line="360" w:lineRule="auto"/>
        <w:ind w:firstLine="420" w:firstLineChars="200"/>
        <w:rPr>
          <w:rFonts w:ascii="宋体" w:hAnsi="宋体" w:cs="宋体"/>
          <w:color w:val="auto"/>
          <w:sz w:val="21"/>
          <w:szCs w:val="21"/>
        </w:rPr>
      </w:pPr>
      <w:r>
        <w:rPr>
          <w:rFonts w:hint="eastAsia" w:ascii="宋体" w:hAnsi="宋体" w:cs="宋体"/>
          <w:color w:val="auto"/>
          <w:sz w:val="21"/>
          <w:szCs w:val="21"/>
        </w:rPr>
        <w:t>7.本项目是否接受联合体：</w:t>
      </w:r>
      <w:r>
        <w:rPr>
          <w:rFonts w:hint="eastAsia" w:ascii="宋体" w:hAnsi="宋体" w:cs="宋体"/>
          <w:color w:val="auto"/>
          <w:sz w:val="21"/>
          <w:szCs w:val="21"/>
        </w:rPr>
        <w:sym w:font="Wingdings 2" w:char="00A3"/>
      </w:r>
      <w:r>
        <w:rPr>
          <w:rFonts w:hint="eastAsia" w:ascii="宋体" w:hAnsi="宋体" w:cs="宋体"/>
          <w:color w:val="auto"/>
          <w:sz w:val="21"/>
          <w:szCs w:val="21"/>
        </w:rPr>
        <w:t>是  ■否。</w:t>
      </w:r>
    </w:p>
    <w:p w14:paraId="2DCAF71F">
      <w:pPr>
        <w:spacing w:line="360" w:lineRule="auto"/>
        <w:ind w:firstLine="420" w:firstLineChars="200"/>
        <w:rPr>
          <w:rFonts w:ascii="宋体" w:hAnsi="宋体" w:cs="宋体"/>
          <w:color w:val="auto"/>
          <w:sz w:val="21"/>
        </w:rPr>
      </w:pPr>
      <w:r>
        <w:rPr>
          <w:rFonts w:hint="eastAsia" w:ascii="宋体" w:hAnsi="宋体" w:cs="宋体"/>
          <w:color w:val="auto"/>
          <w:sz w:val="21"/>
        </w:rPr>
        <w:t>8.</w:t>
      </w:r>
      <w:r>
        <w:rPr>
          <w:rFonts w:hint="eastAsia" w:ascii="宋体" w:hAnsi="宋体" w:cs="宋体"/>
          <w:color w:val="auto"/>
          <w:sz w:val="21"/>
          <w:szCs w:val="21"/>
        </w:rPr>
        <w:t>本项目是否接受进口产品响应：</w:t>
      </w:r>
      <w:r>
        <w:rPr>
          <w:rFonts w:hint="eastAsia" w:ascii="宋体" w:hAnsi="宋体" w:cs="宋体"/>
          <w:color w:val="auto"/>
          <w:sz w:val="21"/>
          <w:szCs w:val="21"/>
        </w:rPr>
        <w:sym w:font="Wingdings 2" w:char="00A3"/>
      </w:r>
      <w:r>
        <w:rPr>
          <w:rFonts w:hint="eastAsia" w:ascii="宋体" w:hAnsi="宋体" w:cs="宋体"/>
          <w:color w:val="auto"/>
          <w:sz w:val="21"/>
          <w:szCs w:val="21"/>
        </w:rPr>
        <w:t>是  ■否</w:t>
      </w:r>
      <w:r>
        <w:rPr>
          <w:rFonts w:hint="eastAsia" w:ascii="宋体" w:hAnsi="宋体" w:cs="宋体"/>
          <w:color w:val="auto"/>
          <w:sz w:val="21"/>
        </w:rPr>
        <w:t>。</w:t>
      </w:r>
    </w:p>
    <w:p w14:paraId="0BC507AF">
      <w:pPr>
        <w:spacing w:line="360" w:lineRule="auto"/>
        <w:rPr>
          <w:rFonts w:ascii="宋体" w:hAnsi="宋体" w:cs="宋体"/>
          <w:b/>
          <w:color w:val="auto"/>
          <w:sz w:val="21"/>
          <w:szCs w:val="21"/>
          <w:lang w:val="zh-CN"/>
        </w:rPr>
      </w:pPr>
      <w:r>
        <w:rPr>
          <w:rFonts w:hint="eastAsia" w:ascii="宋体" w:hAnsi="宋体" w:cs="宋体"/>
          <w:b/>
          <w:color w:val="auto"/>
          <w:sz w:val="21"/>
          <w:szCs w:val="21"/>
        </w:rPr>
        <w:t>四、</w:t>
      </w:r>
      <w:r>
        <w:rPr>
          <w:rFonts w:hint="eastAsia" w:ascii="宋体" w:hAnsi="宋体" w:cs="宋体"/>
          <w:b/>
          <w:color w:val="auto"/>
          <w:sz w:val="21"/>
          <w:szCs w:val="21"/>
          <w:lang w:val="zh-CN"/>
        </w:rPr>
        <w:t>响应人应具备的资格要求：</w:t>
      </w:r>
      <w:r>
        <w:rPr>
          <w:rFonts w:hint="eastAsia" w:ascii="宋体" w:hAnsi="宋体" w:cs="宋体"/>
          <w:bCs/>
          <w:color w:val="auto"/>
          <w:kern w:val="20"/>
          <w:sz w:val="21"/>
          <w:szCs w:val="21"/>
        </w:rPr>
        <w:t>详见磋商公告</w:t>
      </w:r>
    </w:p>
    <w:p w14:paraId="7D21F1E9">
      <w:pPr>
        <w:spacing w:line="360" w:lineRule="auto"/>
        <w:rPr>
          <w:rFonts w:ascii="宋体" w:hAnsi="宋体" w:cs="宋体"/>
          <w:bCs/>
          <w:color w:val="auto"/>
          <w:sz w:val="21"/>
          <w:szCs w:val="21"/>
          <w:lang w:val="zh-CN"/>
        </w:rPr>
      </w:pPr>
      <w:r>
        <w:rPr>
          <w:rFonts w:hint="eastAsia" w:ascii="宋体" w:hAnsi="宋体" w:cs="宋体"/>
          <w:b/>
          <w:color w:val="auto"/>
          <w:sz w:val="21"/>
          <w:szCs w:val="21"/>
          <w:lang w:val="zh-CN"/>
        </w:rPr>
        <w:t>五、磋商文件领取时间、地点：</w:t>
      </w:r>
      <w:r>
        <w:rPr>
          <w:rFonts w:hint="eastAsia" w:ascii="宋体" w:hAnsi="宋体" w:cs="宋体"/>
          <w:bCs/>
          <w:color w:val="auto"/>
          <w:sz w:val="21"/>
          <w:szCs w:val="21"/>
          <w:lang w:val="zh-CN"/>
        </w:rPr>
        <w:t>详见磋商公告</w:t>
      </w:r>
    </w:p>
    <w:p w14:paraId="28986A67">
      <w:pPr>
        <w:numPr>
          <w:ilvl w:val="0"/>
          <w:numId w:val="1"/>
        </w:numPr>
        <w:spacing w:line="360" w:lineRule="auto"/>
        <w:rPr>
          <w:rFonts w:ascii="宋体" w:hAnsi="宋体" w:cs="宋体"/>
          <w:b/>
          <w:color w:val="auto"/>
          <w:sz w:val="21"/>
          <w:szCs w:val="21"/>
        </w:rPr>
      </w:pPr>
      <w:r>
        <w:rPr>
          <w:rFonts w:hint="eastAsia" w:ascii="宋体" w:hAnsi="宋体" w:cs="宋体"/>
          <w:b/>
          <w:color w:val="auto"/>
          <w:sz w:val="21"/>
          <w:szCs w:val="21"/>
          <w:lang w:val="zh-CN"/>
        </w:rPr>
        <w:t>响应文件的提交方式及注意事项</w:t>
      </w:r>
      <w:r>
        <w:rPr>
          <w:rFonts w:hint="eastAsia" w:ascii="宋体" w:hAnsi="宋体" w:cs="宋体"/>
          <w:b/>
          <w:color w:val="auto"/>
          <w:sz w:val="21"/>
          <w:szCs w:val="21"/>
        </w:rPr>
        <w:t xml:space="preserve">   </w:t>
      </w:r>
    </w:p>
    <w:p w14:paraId="4F0AC7B1">
      <w:pPr>
        <w:spacing w:line="360" w:lineRule="auto"/>
        <w:ind w:firstLine="420" w:firstLineChars="200"/>
        <w:rPr>
          <w:rFonts w:ascii="宋体" w:hAnsi="宋体" w:cs="宋体"/>
          <w:color w:val="auto"/>
          <w:sz w:val="21"/>
          <w:szCs w:val="21"/>
        </w:rPr>
      </w:pPr>
      <w:r>
        <w:rPr>
          <w:rFonts w:hint="eastAsia" w:ascii="宋体" w:hAnsi="宋体" w:cs="宋体"/>
          <w:color w:val="auto"/>
          <w:sz w:val="21"/>
          <w:szCs w:val="21"/>
        </w:rPr>
        <w:t>本项目采用线下纸质响应材料进行响应。响应人必须按照磋商文件的时间和地点进行响应，否则响应将被拒绝。</w:t>
      </w:r>
    </w:p>
    <w:p w14:paraId="6BF73252">
      <w:pPr>
        <w:pStyle w:val="46"/>
        <w:snapToGrid w:val="0"/>
        <w:spacing w:before="0" w:after="0"/>
        <w:ind w:left="0" w:leftChars="0" w:firstLine="0" w:firstLineChars="0"/>
        <w:rPr>
          <w:rFonts w:ascii="宋体" w:hAnsi="宋体" w:cs="宋体"/>
          <w:b/>
          <w:color w:val="auto"/>
          <w:szCs w:val="21"/>
        </w:rPr>
      </w:pPr>
      <w:r>
        <w:rPr>
          <w:rFonts w:hint="eastAsia" w:ascii="宋体" w:hAnsi="宋体" w:cs="宋体"/>
          <w:b/>
          <w:color w:val="auto"/>
          <w:szCs w:val="21"/>
        </w:rPr>
        <w:t>七、</w:t>
      </w:r>
      <w:r>
        <w:rPr>
          <w:rFonts w:hint="eastAsia" w:cs="宋体" w:asciiTheme="minorEastAsia" w:hAnsiTheme="minorEastAsia" w:eastAsiaTheme="minorEastAsia"/>
          <w:color w:val="auto"/>
          <w:szCs w:val="21"/>
        </w:rPr>
        <w:t>提交响应文件截止时间、开标时间和地点</w:t>
      </w:r>
    </w:p>
    <w:p w14:paraId="2973ED16">
      <w:pPr>
        <w:pStyle w:val="5"/>
        <w:widowControl/>
        <w:spacing w:before="0" w:after="0" w:line="360" w:lineRule="auto"/>
        <w:ind w:firstLine="420" w:firstLineChars="200"/>
        <w:jc w:val="left"/>
        <w:rPr>
          <w:rFonts w:cs="宋体" w:asciiTheme="minorEastAsia" w:hAnsiTheme="minorEastAsia" w:eastAsiaTheme="minorEastAsia"/>
          <w:color w:val="auto"/>
          <w:sz w:val="21"/>
          <w:szCs w:val="21"/>
          <w:lang w:val="zh-TW"/>
        </w:rPr>
      </w:pPr>
      <w:r>
        <w:rPr>
          <w:rFonts w:hint="eastAsia" w:cs="宋体" w:asciiTheme="minorEastAsia" w:hAnsiTheme="minorEastAsia" w:eastAsiaTheme="minorEastAsia"/>
          <w:color w:val="auto"/>
          <w:sz w:val="21"/>
          <w:szCs w:val="21"/>
        </w:rPr>
        <w:t>截止及开标时间</w:t>
      </w:r>
      <w:r>
        <w:rPr>
          <w:rFonts w:hint="eastAsia" w:cs="宋体" w:asciiTheme="minorEastAsia" w:hAnsiTheme="minorEastAsia" w:eastAsiaTheme="minorEastAsia"/>
          <w:color w:val="auto"/>
          <w:sz w:val="21"/>
          <w:szCs w:val="21"/>
          <w:lang w:val="zh-TW"/>
        </w:rPr>
        <w:t>：</w:t>
      </w:r>
      <w:r>
        <w:rPr>
          <w:rFonts w:hint="eastAsia" w:cs="宋体" w:asciiTheme="minorEastAsia" w:hAnsiTheme="minorEastAsia" w:eastAsiaTheme="minorEastAsia"/>
          <w:color w:val="auto"/>
          <w:sz w:val="21"/>
          <w:szCs w:val="21"/>
          <w:lang w:eastAsia="zh-CN"/>
        </w:rPr>
        <w:t>2024年11月15日</w:t>
      </w:r>
      <w:r>
        <w:rPr>
          <w:rFonts w:hint="eastAsia" w:cs="宋体" w:asciiTheme="minorEastAsia" w:hAnsiTheme="minorEastAsia" w:eastAsiaTheme="minorEastAsia"/>
          <w:color w:val="auto"/>
          <w:sz w:val="21"/>
          <w:szCs w:val="21"/>
        </w:rPr>
        <w:t>上午</w:t>
      </w:r>
      <w:r>
        <w:rPr>
          <w:rFonts w:hint="eastAsia" w:cs="宋体" w:asciiTheme="minorEastAsia" w:hAnsiTheme="minorEastAsia" w:eastAsiaTheme="minorEastAsia"/>
          <w:color w:val="auto"/>
          <w:sz w:val="21"/>
          <w:szCs w:val="21"/>
        </w:rPr>
        <w:t xml:space="preserve"> 9:00</w:t>
      </w:r>
      <w:r>
        <w:rPr>
          <w:rFonts w:hint="eastAsia" w:cs="宋体" w:asciiTheme="minorEastAsia" w:hAnsiTheme="minorEastAsia" w:eastAsiaTheme="minorEastAsia"/>
          <w:color w:val="auto"/>
          <w:sz w:val="21"/>
          <w:szCs w:val="21"/>
          <w:lang w:val="zh-TW"/>
        </w:rPr>
        <w:t>（北京时间）；</w:t>
      </w:r>
    </w:p>
    <w:p w14:paraId="5DAC8FD8">
      <w:pPr>
        <w:pStyle w:val="5"/>
        <w:widowControl/>
        <w:spacing w:before="0" w:after="0" w:line="360" w:lineRule="auto"/>
        <w:ind w:firstLine="420" w:firstLineChars="200"/>
        <w:jc w:val="left"/>
        <w:rPr>
          <w:rFonts w:ascii="宋体" w:hAnsi="宋体" w:eastAsia="宋体" w:cs="宋体"/>
          <w:color w:val="auto"/>
          <w:kern w:val="20"/>
          <w:szCs w:val="21"/>
          <w:lang w:val="zh-CN"/>
        </w:rPr>
      </w:pPr>
      <w:r>
        <w:rPr>
          <w:rFonts w:hint="eastAsia" w:cs="宋体" w:asciiTheme="minorEastAsia" w:hAnsiTheme="minorEastAsia" w:eastAsiaTheme="minorEastAsia"/>
          <w:color w:val="auto"/>
          <w:sz w:val="21"/>
          <w:szCs w:val="21"/>
          <w:lang w:val="zh-TW"/>
        </w:rPr>
        <w:t>地点：</w:t>
      </w:r>
      <w:r>
        <w:rPr>
          <w:rFonts w:hint="eastAsia" w:ascii="宋体" w:hAnsi="宋体" w:cs="宋体"/>
          <w:b/>
          <w:color w:val="auto"/>
          <w:sz w:val="21"/>
          <w:szCs w:val="24"/>
        </w:rPr>
        <w:t>常州市金坛区汇金路227号(筑立方大厦9楼)</w:t>
      </w:r>
      <w:r>
        <w:rPr>
          <w:rFonts w:hint="eastAsia" w:ascii="宋体" w:hAnsi="宋体" w:eastAsia="宋体" w:cs="宋体"/>
          <w:color w:val="auto"/>
          <w:kern w:val="20"/>
          <w:szCs w:val="21"/>
          <w:lang w:val="zh-CN"/>
        </w:rPr>
        <w:t>。</w:t>
      </w:r>
    </w:p>
    <w:p w14:paraId="0B0E108F">
      <w:pPr>
        <w:pStyle w:val="46"/>
        <w:snapToGrid w:val="0"/>
        <w:spacing w:before="0" w:after="0"/>
        <w:ind w:left="0" w:leftChars="0" w:firstLine="0" w:firstLineChars="0"/>
        <w:rPr>
          <w:rFonts w:ascii="宋体" w:hAnsi="宋体" w:cs="宋体"/>
          <w:color w:val="auto"/>
          <w:szCs w:val="21"/>
        </w:rPr>
      </w:pPr>
      <w:r>
        <w:rPr>
          <w:rFonts w:hint="eastAsia" w:ascii="宋体" w:hAnsi="宋体" w:cs="宋体"/>
          <w:color w:val="auto"/>
          <w:szCs w:val="21"/>
        </w:rPr>
        <w:t>八、对本项目提出询问，请按以下方式联系。</w:t>
      </w:r>
    </w:p>
    <w:bookmarkEnd w:id="0"/>
    <w:p w14:paraId="70B654A3">
      <w:pPr>
        <w:spacing w:line="360" w:lineRule="auto"/>
        <w:ind w:firstLine="525" w:firstLineChars="250"/>
        <w:rPr>
          <w:rFonts w:ascii="宋体" w:hAnsi="宋体" w:cs="宋体"/>
          <w:color w:val="auto"/>
          <w:sz w:val="21"/>
          <w:szCs w:val="21"/>
        </w:rPr>
      </w:pPr>
      <w:r>
        <w:rPr>
          <w:rFonts w:hint="eastAsia" w:ascii="宋体" w:hAnsi="宋体" w:cs="宋体"/>
          <w:color w:val="auto"/>
          <w:sz w:val="21"/>
          <w:szCs w:val="21"/>
        </w:rPr>
        <w:t>采购人名称：国家税务总局常州市金坛区税务局</w:t>
      </w:r>
    </w:p>
    <w:p w14:paraId="676FCE42">
      <w:pPr>
        <w:spacing w:line="360" w:lineRule="auto"/>
        <w:ind w:firstLine="525" w:firstLineChars="250"/>
        <w:rPr>
          <w:rFonts w:ascii="宋体" w:hAnsi="宋体" w:cs="宋体"/>
          <w:color w:val="auto"/>
          <w:sz w:val="21"/>
          <w:szCs w:val="21"/>
        </w:rPr>
      </w:pPr>
      <w:r>
        <w:rPr>
          <w:rFonts w:hint="eastAsia" w:ascii="宋体" w:hAnsi="宋体" w:cs="宋体"/>
          <w:color w:val="auto"/>
          <w:sz w:val="21"/>
          <w:szCs w:val="21"/>
        </w:rPr>
        <w:t>联系人：周先生</w:t>
      </w:r>
    </w:p>
    <w:p w14:paraId="54DF4F6D">
      <w:pPr>
        <w:spacing w:line="360" w:lineRule="auto"/>
        <w:ind w:firstLine="525" w:firstLineChars="250"/>
        <w:rPr>
          <w:rFonts w:ascii="宋体" w:hAnsi="宋体" w:cs="宋体"/>
          <w:color w:val="auto"/>
          <w:sz w:val="21"/>
          <w:szCs w:val="21"/>
        </w:rPr>
      </w:pPr>
      <w:r>
        <w:rPr>
          <w:rFonts w:hint="eastAsia" w:ascii="宋体" w:hAnsi="宋体" w:cs="宋体"/>
          <w:color w:val="auto"/>
          <w:sz w:val="21"/>
          <w:szCs w:val="21"/>
        </w:rPr>
        <w:t>联系电话：</w:t>
      </w:r>
      <w:r>
        <w:rPr>
          <w:rFonts w:hint="eastAsia" w:ascii="宋体" w:hAnsi="宋体" w:cs="宋体"/>
          <w:color w:val="auto"/>
          <w:sz w:val="21"/>
          <w:szCs w:val="21"/>
        </w:rPr>
        <w:t>0519-82320272</w:t>
      </w:r>
    </w:p>
    <w:p w14:paraId="41128B37">
      <w:pPr>
        <w:spacing w:line="360" w:lineRule="auto"/>
        <w:ind w:firstLine="525" w:firstLineChars="250"/>
        <w:rPr>
          <w:rFonts w:ascii="宋体" w:hAnsi="宋体" w:cs="宋体"/>
          <w:color w:val="auto"/>
          <w:sz w:val="21"/>
          <w:szCs w:val="21"/>
        </w:rPr>
      </w:pPr>
      <w:r>
        <w:rPr>
          <w:rFonts w:hint="eastAsia" w:ascii="宋体" w:hAnsi="宋体" w:cs="宋体"/>
          <w:color w:val="auto"/>
          <w:sz w:val="21"/>
          <w:szCs w:val="21"/>
        </w:rPr>
        <w:t>地址：江苏省常州市金坛区华城路5号</w:t>
      </w:r>
    </w:p>
    <w:p w14:paraId="41E0F6BB">
      <w:pPr>
        <w:spacing w:line="360" w:lineRule="auto"/>
        <w:ind w:firstLine="525" w:firstLineChars="250"/>
        <w:rPr>
          <w:rFonts w:ascii="宋体" w:hAnsi="宋体" w:cs="宋体"/>
          <w:color w:val="auto"/>
          <w:sz w:val="21"/>
          <w:szCs w:val="21"/>
        </w:rPr>
      </w:pPr>
      <w:r>
        <w:rPr>
          <w:rFonts w:hint="eastAsia" w:ascii="宋体" w:hAnsi="宋体" w:cs="宋体"/>
          <w:color w:val="auto"/>
          <w:sz w:val="21"/>
          <w:szCs w:val="21"/>
        </w:rPr>
        <w:t>采购代理机构名称：江苏信达建设工程咨询有限公司　　</w:t>
      </w:r>
    </w:p>
    <w:p w14:paraId="2F550C4A">
      <w:pPr>
        <w:spacing w:line="360" w:lineRule="auto"/>
        <w:ind w:firstLine="525" w:firstLineChars="250"/>
        <w:rPr>
          <w:rFonts w:ascii="宋体" w:hAnsi="宋体" w:cs="宋体"/>
          <w:color w:val="auto"/>
          <w:sz w:val="21"/>
          <w:szCs w:val="21"/>
        </w:rPr>
      </w:pPr>
      <w:r>
        <w:rPr>
          <w:rFonts w:hint="eastAsia" w:ascii="宋体" w:hAnsi="宋体" w:cs="宋体"/>
          <w:color w:val="auto"/>
          <w:sz w:val="21"/>
          <w:szCs w:val="21"/>
        </w:rPr>
        <w:t>项目经办人：李萍</w:t>
      </w:r>
    </w:p>
    <w:p w14:paraId="123F1D27">
      <w:pPr>
        <w:spacing w:line="360" w:lineRule="auto"/>
        <w:ind w:firstLine="525" w:firstLineChars="250"/>
        <w:rPr>
          <w:rFonts w:ascii="宋体" w:hAnsi="宋体" w:cs="宋体"/>
          <w:color w:val="auto"/>
          <w:sz w:val="21"/>
          <w:szCs w:val="21"/>
        </w:rPr>
      </w:pPr>
      <w:r>
        <w:rPr>
          <w:rFonts w:hint="eastAsia" w:ascii="宋体" w:hAnsi="宋体" w:cs="宋体"/>
          <w:color w:val="auto"/>
          <w:sz w:val="21"/>
          <w:szCs w:val="21"/>
        </w:rPr>
        <w:t>联系电话：0519-82798174</w:t>
      </w:r>
    </w:p>
    <w:p w14:paraId="3C9AB234">
      <w:pPr>
        <w:spacing w:line="360" w:lineRule="auto"/>
        <w:ind w:firstLine="525" w:firstLineChars="250"/>
        <w:rPr>
          <w:rFonts w:ascii="宋体" w:hAnsi="宋体" w:cs="宋体"/>
          <w:color w:val="auto"/>
          <w:sz w:val="21"/>
          <w:szCs w:val="21"/>
        </w:rPr>
      </w:pPr>
      <w:r>
        <w:rPr>
          <w:rFonts w:hint="eastAsia" w:ascii="宋体" w:hAnsi="宋体" w:cs="宋体"/>
          <w:color w:val="auto"/>
          <w:sz w:val="21"/>
          <w:szCs w:val="21"/>
        </w:rPr>
        <w:t>地址：常州市金坛区汇金路227号筑立方大厦9楼</w:t>
      </w:r>
    </w:p>
    <w:p w14:paraId="073F21A7">
      <w:pPr>
        <w:spacing w:line="360" w:lineRule="auto"/>
        <w:rPr>
          <w:rFonts w:ascii="宋体" w:hAnsi="宋体" w:cs="宋体"/>
          <w:b/>
          <w:snapToGrid w:val="0"/>
          <w:color w:val="auto"/>
          <w:spacing w:val="-6"/>
          <w:sz w:val="21"/>
          <w:szCs w:val="21"/>
        </w:rPr>
      </w:pPr>
      <w:r>
        <w:rPr>
          <w:rFonts w:hint="eastAsia" w:ascii="宋体" w:hAnsi="宋体" w:cs="宋体"/>
          <w:b/>
          <w:snapToGrid w:val="0"/>
          <w:color w:val="auto"/>
          <w:spacing w:val="-6"/>
          <w:sz w:val="21"/>
          <w:szCs w:val="21"/>
        </w:rPr>
        <w:br w:type="page"/>
      </w:r>
    </w:p>
    <w:p w14:paraId="14E39A93">
      <w:pPr>
        <w:pStyle w:val="4"/>
        <w:tabs>
          <w:tab w:val="left" w:pos="3097"/>
          <w:tab w:val="clear" w:pos="200"/>
        </w:tabs>
        <w:spacing w:line="400" w:lineRule="exact"/>
        <w:rPr>
          <w:rFonts w:hint="default" w:cs="宋体"/>
          <w:snapToGrid w:val="0"/>
          <w:color w:val="auto"/>
          <w:spacing w:val="-6"/>
          <w:sz w:val="32"/>
        </w:rPr>
      </w:pPr>
      <w:r>
        <w:rPr>
          <w:rFonts w:cs="宋体"/>
          <w:snapToGrid w:val="0"/>
          <w:color w:val="auto"/>
          <w:spacing w:val="-6"/>
          <w:sz w:val="32"/>
        </w:rPr>
        <w:t>第二部分  响应人须知前附表</w:t>
      </w:r>
    </w:p>
    <w:tbl>
      <w:tblPr>
        <w:tblStyle w:val="27"/>
        <w:tblW w:w="92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8"/>
        <w:gridCol w:w="2315"/>
        <w:gridCol w:w="6254"/>
      </w:tblGrid>
      <w:tr w14:paraId="08D99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8" w:type="dxa"/>
            <w:tcBorders>
              <w:top w:val="single" w:color="auto" w:sz="4" w:space="0"/>
              <w:left w:val="single" w:color="auto" w:sz="4" w:space="0"/>
              <w:bottom w:val="single" w:color="auto" w:sz="4" w:space="0"/>
              <w:right w:val="single" w:color="auto" w:sz="4" w:space="0"/>
            </w:tcBorders>
            <w:vAlign w:val="center"/>
          </w:tcPr>
          <w:p w14:paraId="051A96B6">
            <w:pPr>
              <w:spacing w:line="400" w:lineRule="exact"/>
              <w:jc w:val="center"/>
              <w:rPr>
                <w:rFonts w:ascii="宋体" w:hAnsi="宋体" w:cs="宋体"/>
                <w:color w:val="auto"/>
                <w:sz w:val="21"/>
                <w:szCs w:val="21"/>
              </w:rPr>
            </w:pPr>
            <w:r>
              <w:rPr>
                <w:rFonts w:hint="eastAsia" w:ascii="宋体" w:hAnsi="宋体" w:cs="宋体"/>
                <w:color w:val="auto"/>
                <w:sz w:val="21"/>
                <w:szCs w:val="21"/>
              </w:rPr>
              <w:t>序号</w:t>
            </w:r>
          </w:p>
        </w:tc>
        <w:tc>
          <w:tcPr>
            <w:tcW w:w="2315" w:type="dxa"/>
            <w:tcBorders>
              <w:top w:val="single" w:color="auto" w:sz="4" w:space="0"/>
              <w:left w:val="single" w:color="auto" w:sz="4" w:space="0"/>
              <w:bottom w:val="single" w:color="auto" w:sz="4" w:space="0"/>
              <w:right w:val="single" w:color="auto" w:sz="4" w:space="0"/>
            </w:tcBorders>
            <w:vAlign w:val="center"/>
          </w:tcPr>
          <w:p w14:paraId="22E70DCB">
            <w:pPr>
              <w:spacing w:line="400" w:lineRule="exact"/>
              <w:jc w:val="center"/>
              <w:rPr>
                <w:rFonts w:ascii="宋体" w:hAnsi="宋体" w:cs="宋体"/>
                <w:color w:val="auto"/>
                <w:sz w:val="21"/>
                <w:szCs w:val="21"/>
              </w:rPr>
            </w:pPr>
            <w:r>
              <w:rPr>
                <w:rFonts w:hint="eastAsia" w:ascii="宋体" w:hAnsi="宋体" w:cs="宋体"/>
                <w:color w:val="auto"/>
                <w:sz w:val="21"/>
                <w:szCs w:val="21"/>
              </w:rPr>
              <w:t>条款名称</w:t>
            </w:r>
          </w:p>
        </w:tc>
        <w:tc>
          <w:tcPr>
            <w:tcW w:w="6254" w:type="dxa"/>
            <w:tcBorders>
              <w:top w:val="single" w:color="auto" w:sz="4" w:space="0"/>
              <w:left w:val="single" w:color="auto" w:sz="4" w:space="0"/>
              <w:bottom w:val="single" w:color="auto" w:sz="4" w:space="0"/>
              <w:right w:val="single" w:color="auto" w:sz="4" w:space="0"/>
            </w:tcBorders>
            <w:vAlign w:val="center"/>
          </w:tcPr>
          <w:p w14:paraId="474976DF">
            <w:pPr>
              <w:spacing w:line="400" w:lineRule="exact"/>
              <w:jc w:val="center"/>
              <w:rPr>
                <w:rFonts w:ascii="宋体" w:hAnsi="宋体" w:cs="宋体"/>
                <w:b/>
                <w:color w:val="auto"/>
                <w:sz w:val="21"/>
                <w:szCs w:val="21"/>
              </w:rPr>
            </w:pPr>
            <w:r>
              <w:rPr>
                <w:rFonts w:hint="eastAsia" w:ascii="宋体" w:hAnsi="宋体" w:cs="宋体"/>
                <w:b/>
                <w:color w:val="auto"/>
                <w:sz w:val="21"/>
                <w:szCs w:val="21"/>
              </w:rPr>
              <w:t>内 容</w:t>
            </w:r>
          </w:p>
        </w:tc>
      </w:tr>
      <w:tr w14:paraId="29711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8" w:type="dxa"/>
            <w:tcBorders>
              <w:top w:val="single" w:color="auto" w:sz="4" w:space="0"/>
              <w:left w:val="single" w:color="auto" w:sz="4" w:space="0"/>
              <w:bottom w:val="single" w:color="auto" w:sz="4" w:space="0"/>
              <w:right w:val="single" w:color="auto" w:sz="4" w:space="0"/>
            </w:tcBorders>
            <w:vAlign w:val="center"/>
          </w:tcPr>
          <w:p w14:paraId="06FED503">
            <w:pPr>
              <w:spacing w:line="400" w:lineRule="exact"/>
              <w:jc w:val="center"/>
              <w:rPr>
                <w:rFonts w:ascii="宋体" w:hAnsi="宋体" w:cs="宋体"/>
                <w:color w:val="auto"/>
                <w:sz w:val="21"/>
                <w:szCs w:val="21"/>
              </w:rPr>
            </w:pPr>
            <w:r>
              <w:rPr>
                <w:rFonts w:hint="eastAsia" w:ascii="宋体" w:hAnsi="宋体" w:cs="宋体"/>
                <w:color w:val="auto"/>
                <w:sz w:val="21"/>
                <w:szCs w:val="21"/>
              </w:rPr>
              <w:t>1</w:t>
            </w:r>
          </w:p>
        </w:tc>
        <w:tc>
          <w:tcPr>
            <w:tcW w:w="2315" w:type="dxa"/>
            <w:tcBorders>
              <w:top w:val="single" w:color="auto" w:sz="4" w:space="0"/>
              <w:left w:val="single" w:color="auto" w:sz="4" w:space="0"/>
              <w:bottom w:val="single" w:color="auto" w:sz="4" w:space="0"/>
              <w:right w:val="single" w:color="auto" w:sz="4" w:space="0"/>
            </w:tcBorders>
            <w:vAlign w:val="center"/>
          </w:tcPr>
          <w:p w14:paraId="16D315D9">
            <w:pPr>
              <w:spacing w:line="400" w:lineRule="exact"/>
              <w:jc w:val="center"/>
              <w:rPr>
                <w:rFonts w:ascii="宋体" w:hAnsi="宋体" w:cs="宋体"/>
                <w:color w:val="auto"/>
                <w:sz w:val="21"/>
                <w:szCs w:val="21"/>
              </w:rPr>
            </w:pPr>
            <w:r>
              <w:rPr>
                <w:rFonts w:hint="eastAsia" w:ascii="宋体" w:hAnsi="宋体" w:cs="宋体"/>
                <w:color w:val="auto"/>
                <w:sz w:val="21"/>
                <w:szCs w:val="21"/>
              </w:rPr>
              <w:t>采购人名称</w:t>
            </w:r>
          </w:p>
        </w:tc>
        <w:tc>
          <w:tcPr>
            <w:tcW w:w="6254" w:type="dxa"/>
            <w:tcBorders>
              <w:top w:val="single" w:color="auto" w:sz="4" w:space="0"/>
              <w:left w:val="single" w:color="auto" w:sz="4" w:space="0"/>
              <w:bottom w:val="single" w:color="auto" w:sz="4" w:space="0"/>
              <w:right w:val="single" w:color="auto" w:sz="4" w:space="0"/>
            </w:tcBorders>
            <w:vAlign w:val="center"/>
          </w:tcPr>
          <w:p w14:paraId="73C49FDE">
            <w:pPr>
              <w:spacing w:line="400" w:lineRule="exact"/>
              <w:jc w:val="center"/>
              <w:rPr>
                <w:rFonts w:ascii="宋体" w:hAnsi="宋体" w:cs="宋体"/>
                <w:color w:val="auto"/>
                <w:sz w:val="21"/>
                <w:szCs w:val="21"/>
              </w:rPr>
            </w:pPr>
            <w:r>
              <w:rPr>
                <w:rFonts w:hint="eastAsia" w:ascii="宋体" w:hAnsi="宋体" w:cs="宋体"/>
                <w:color w:val="auto"/>
                <w:sz w:val="21"/>
                <w:szCs w:val="21"/>
              </w:rPr>
              <w:t>国家税务总局常州市金坛区税务局</w:t>
            </w:r>
          </w:p>
        </w:tc>
      </w:tr>
      <w:tr w14:paraId="01C6A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8" w:type="dxa"/>
            <w:tcBorders>
              <w:top w:val="single" w:color="auto" w:sz="4" w:space="0"/>
              <w:left w:val="single" w:color="auto" w:sz="4" w:space="0"/>
              <w:bottom w:val="single" w:color="auto" w:sz="4" w:space="0"/>
              <w:right w:val="single" w:color="auto" w:sz="4" w:space="0"/>
            </w:tcBorders>
            <w:vAlign w:val="center"/>
          </w:tcPr>
          <w:p w14:paraId="3E3631B0">
            <w:pPr>
              <w:spacing w:line="400" w:lineRule="exact"/>
              <w:jc w:val="center"/>
              <w:rPr>
                <w:rFonts w:ascii="宋体" w:hAnsi="宋体" w:cs="宋体"/>
                <w:color w:val="auto"/>
                <w:sz w:val="21"/>
                <w:szCs w:val="21"/>
              </w:rPr>
            </w:pPr>
            <w:r>
              <w:rPr>
                <w:rFonts w:hint="eastAsia" w:ascii="宋体" w:hAnsi="宋体" w:cs="宋体"/>
                <w:color w:val="auto"/>
                <w:sz w:val="21"/>
                <w:szCs w:val="21"/>
              </w:rPr>
              <w:t>2</w:t>
            </w:r>
          </w:p>
        </w:tc>
        <w:tc>
          <w:tcPr>
            <w:tcW w:w="2315" w:type="dxa"/>
            <w:tcBorders>
              <w:top w:val="single" w:color="auto" w:sz="4" w:space="0"/>
              <w:left w:val="single" w:color="auto" w:sz="4" w:space="0"/>
              <w:bottom w:val="single" w:color="auto" w:sz="4" w:space="0"/>
              <w:right w:val="single" w:color="auto" w:sz="4" w:space="0"/>
            </w:tcBorders>
            <w:vAlign w:val="center"/>
          </w:tcPr>
          <w:p w14:paraId="483E793C">
            <w:pPr>
              <w:spacing w:line="400" w:lineRule="exact"/>
              <w:jc w:val="center"/>
              <w:rPr>
                <w:rFonts w:ascii="宋体" w:hAnsi="宋体" w:cs="宋体"/>
                <w:color w:val="auto"/>
                <w:sz w:val="21"/>
                <w:szCs w:val="21"/>
              </w:rPr>
            </w:pPr>
            <w:r>
              <w:rPr>
                <w:rFonts w:hint="eastAsia" w:ascii="宋体" w:hAnsi="宋体" w:cs="宋体"/>
                <w:color w:val="auto"/>
                <w:sz w:val="21"/>
                <w:szCs w:val="21"/>
              </w:rPr>
              <w:t>采购类型</w:t>
            </w:r>
          </w:p>
        </w:tc>
        <w:tc>
          <w:tcPr>
            <w:tcW w:w="6254" w:type="dxa"/>
            <w:tcBorders>
              <w:top w:val="single" w:color="auto" w:sz="4" w:space="0"/>
              <w:left w:val="single" w:color="auto" w:sz="4" w:space="0"/>
              <w:bottom w:val="single" w:color="auto" w:sz="4" w:space="0"/>
              <w:right w:val="single" w:color="auto" w:sz="4" w:space="0"/>
            </w:tcBorders>
            <w:vAlign w:val="center"/>
          </w:tcPr>
          <w:p w14:paraId="1EE0AB35">
            <w:pPr>
              <w:spacing w:line="400" w:lineRule="exact"/>
              <w:jc w:val="center"/>
              <w:rPr>
                <w:rFonts w:ascii="宋体" w:hAnsi="宋体" w:cs="宋体"/>
                <w:color w:val="auto"/>
                <w:sz w:val="21"/>
                <w:szCs w:val="21"/>
              </w:rPr>
            </w:pPr>
            <w:r>
              <w:rPr>
                <w:rFonts w:hint="eastAsia" w:ascii="宋体" w:hAnsi="宋体" w:cs="宋体"/>
                <w:color w:val="auto"/>
                <w:sz w:val="21"/>
                <w:szCs w:val="21"/>
              </w:rPr>
              <w:t>服务类</w:t>
            </w:r>
          </w:p>
        </w:tc>
      </w:tr>
      <w:tr w14:paraId="5385E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8" w:type="dxa"/>
            <w:tcBorders>
              <w:top w:val="single" w:color="auto" w:sz="4" w:space="0"/>
              <w:left w:val="single" w:color="auto" w:sz="4" w:space="0"/>
              <w:bottom w:val="single" w:color="auto" w:sz="4" w:space="0"/>
              <w:right w:val="single" w:color="auto" w:sz="4" w:space="0"/>
            </w:tcBorders>
            <w:vAlign w:val="center"/>
          </w:tcPr>
          <w:p w14:paraId="6E3C86AD">
            <w:pPr>
              <w:spacing w:line="400" w:lineRule="exact"/>
              <w:jc w:val="center"/>
              <w:rPr>
                <w:rFonts w:ascii="宋体" w:hAnsi="宋体" w:cs="宋体"/>
                <w:color w:val="auto"/>
                <w:sz w:val="21"/>
                <w:szCs w:val="21"/>
              </w:rPr>
            </w:pPr>
            <w:r>
              <w:rPr>
                <w:rFonts w:hint="eastAsia" w:ascii="宋体" w:hAnsi="宋体" w:cs="宋体"/>
                <w:color w:val="auto"/>
                <w:sz w:val="21"/>
                <w:szCs w:val="21"/>
              </w:rPr>
              <w:t>3</w:t>
            </w:r>
          </w:p>
        </w:tc>
        <w:tc>
          <w:tcPr>
            <w:tcW w:w="2315" w:type="dxa"/>
            <w:tcBorders>
              <w:top w:val="single" w:color="auto" w:sz="4" w:space="0"/>
              <w:left w:val="single" w:color="auto" w:sz="4" w:space="0"/>
              <w:bottom w:val="single" w:color="auto" w:sz="4" w:space="0"/>
              <w:right w:val="single" w:color="auto" w:sz="4" w:space="0"/>
            </w:tcBorders>
            <w:vAlign w:val="center"/>
          </w:tcPr>
          <w:p w14:paraId="150EA216">
            <w:pPr>
              <w:spacing w:line="400" w:lineRule="exact"/>
              <w:jc w:val="center"/>
              <w:rPr>
                <w:rFonts w:ascii="宋体" w:hAnsi="宋体" w:cs="宋体"/>
                <w:color w:val="auto"/>
                <w:kern w:val="0"/>
                <w:sz w:val="21"/>
                <w:szCs w:val="21"/>
              </w:rPr>
            </w:pPr>
            <w:r>
              <w:rPr>
                <w:rFonts w:hint="eastAsia" w:ascii="宋体" w:hAnsi="宋体" w:cs="宋体"/>
                <w:color w:val="auto"/>
                <w:kern w:val="0"/>
                <w:sz w:val="21"/>
                <w:szCs w:val="21"/>
              </w:rPr>
              <w:t>项目预算价</w:t>
            </w:r>
          </w:p>
        </w:tc>
        <w:tc>
          <w:tcPr>
            <w:tcW w:w="6254" w:type="dxa"/>
            <w:tcBorders>
              <w:top w:val="single" w:color="auto" w:sz="4" w:space="0"/>
              <w:left w:val="single" w:color="auto" w:sz="4" w:space="0"/>
              <w:bottom w:val="single" w:color="auto" w:sz="4" w:space="0"/>
              <w:right w:val="single" w:color="auto" w:sz="4" w:space="0"/>
            </w:tcBorders>
            <w:vAlign w:val="center"/>
          </w:tcPr>
          <w:p w14:paraId="212FB90E">
            <w:pPr>
              <w:spacing w:line="400" w:lineRule="exact"/>
              <w:jc w:val="left"/>
              <w:rPr>
                <w:rFonts w:ascii="宋体" w:hAnsi="宋体" w:cs="宋体"/>
                <w:color w:val="auto"/>
                <w:sz w:val="21"/>
                <w:szCs w:val="21"/>
              </w:rPr>
            </w:pPr>
            <w:r>
              <w:rPr>
                <w:rFonts w:hint="eastAsia" w:ascii="宋体" w:hAnsi="宋体" w:cs="宋体"/>
                <w:color w:val="auto"/>
                <w:kern w:val="0"/>
                <w:sz w:val="21"/>
                <w:szCs w:val="21"/>
              </w:rPr>
              <w:t>*15万元/年</w:t>
            </w:r>
          </w:p>
        </w:tc>
      </w:tr>
      <w:tr w14:paraId="50E7D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8" w:type="dxa"/>
            <w:tcBorders>
              <w:top w:val="single" w:color="auto" w:sz="4" w:space="0"/>
              <w:left w:val="single" w:color="auto" w:sz="4" w:space="0"/>
              <w:bottom w:val="single" w:color="auto" w:sz="4" w:space="0"/>
              <w:right w:val="single" w:color="auto" w:sz="4" w:space="0"/>
            </w:tcBorders>
            <w:vAlign w:val="center"/>
          </w:tcPr>
          <w:p w14:paraId="71EFF084">
            <w:pPr>
              <w:spacing w:line="400" w:lineRule="exact"/>
              <w:jc w:val="center"/>
              <w:rPr>
                <w:rFonts w:ascii="宋体" w:hAnsi="宋体" w:cs="宋体"/>
                <w:color w:val="auto"/>
                <w:sz w:val="21"/>
                <w:szCs w:val="21"/>
              </w:rPr>
            </w:pPr>
            <w:r>
              <w:rPr>
                <w:rFonts w:hint="eastAsia" w:ascii="宋体" w:hAnsi="宋体" w:cs="宋体"/>
                <w:color w:val="auto"/>
                <w:sz w:val="21"/>
                <w:szCs w:val="21"/>
              </w:rPr>
              <w:t>4</w:t>
            </w:r>
          </w:p>
        </w:tc>
        <w:tc>
          <w:tcPr>
            <w:tcW w:w="2315" w:type="dxa"/>
            <w:tcBorders>
              <w:top w:val="single" w:color="auto" w:sz="4" w:space="0"/>
              <w:left w:val="single" w:color="auto" w:sz="4" w:space="0"/>
              <w:bottom w:val="single" w:color="auto" w:sz="4" w:space="0"/>
              <w:right w:val="single" w:color="auto" w:sz="4" w:space="0"/>
            </w:tcBorders>
            <w:vAlign w:val="center"/>
          </w:tcPr>
          <w:p w14:paraId="3A659CD4">
            <w:pPr>
              <w:spacing w:line="400" w:lineRule="exact"/>
              <w:jc w:val="center"/>
              <w:rPr>
                <w:rFonts w:ascii="宋体" w:hAnsi="宋体" w:cs="宋体"/>
                <w:color w:val="auto"/>
                <w:kern w:val="0"/>
                <w:sz w:val="21"/>
                <w:szCs w:val="21"/>
              </w:rPr>
            </w:pPr>
            <w:r>
              <w:rPr>
                <w:rFonts w:hint="eastAsia" w:ascii="宋体" w:hAnsi="宋体" w:cs="宋体"/>
                <w:color w:val="auto"/>
                <w:kern w:val="0"/>
                <w:sz w:val="21"/>
                <w:szCs w:val="21"/>
              </w:rPr>
              <w:t>是否有最高限价</w:t>
            </w:r>
          </w:p>
        </w:tc>
        <w:tc>
          <w:tcPr>
            <w:tcW w:w="6254" w:type="dxa"/>
            <w:tcBorders>
              <w:top w:val="single" w:color="auto" w:sz="4" w:space="0"/>
              <w:left w:val="single" w:color="auto" w:sz="4" w:space="0"/>
              <w:bottom w:val="single" w:color="auto" w:sz="4" w:space="0"/>
              <w:right w:val="single" w:color="auto" w:sz="4" w:space="0"/>
            </w:tcBorders>
            <w:vAlign w:val="center"/>
          </w:tcPr>
          <w:p w14:paraId="332C57F0">
            <w:pPr>
              <w:spacing w:line="360" w:lineRule="auto"/>
              <w:rPr>
                <w:rFonts w:ascii="宋体" w:hAnsi="宋体" w:cs="宋体"/>
                <w:color w:val="auto"/>
                <w:sz w:val="21"/>
                <w:szCs w:val="21"/>
              </w:rPr>
            </w:pPr>
            <w:r>
              <w:rPr>
                <w:rFonts w:hint="eastAsia" w:ascii="宋体" w:hAnsi="宋体" w:cs="宋体"/>
                <w:color w:val="auto"/>
                <w:sz w:val="21"/>
                <w:szCs w:val="21"/>
              </w:rPr>
              <w:t>*有。</w:t>
            </w:r>
          </w:p>
          <w:p w14:paraId="52BBD4D4">
            <w:pPr>
              <w:spacing w:line="360" w:lineRule="auto"/>
              <w:ind w:firstLine="420" w:firstLineChars="200"/>
              <w:rPr>
                <w:rFonts w:ascii="宋体" w:hAnsi="宋体" w:cs="宋体"/>
                <w:color w:val="auto"/>
                <w:sz w:val="21"/>
                <w:szCs w:val="24"/>
              </w:rPr>
            </w:pPr>
            <w:r>
              <w:rPr>
                <w:rFonts w:hint="eastAsia" w:ascii="宋体" w:hAnsi="宋体" w:cs="宋体"/>
                <w:color w:val="auto"/>
                <w:sz w:val="21"/>
                <w:szCs w:val="24"/>
              </w:rPr>
              <w:t>咨询服务费用按每个清算项目（分期项目合并）计算，</w:t>
            </w:r>
            <w:r>
              <w:rPr>
                <w:rFonts w:hint="eastAsia" w:ascii="宋体" w:hAnsi="宋体" w:cs="宋体"/>
                <w:color w:val="auto"/>
                <w:sz w:val="21"/>
                <w:szCs w:val="24"/>
              </w:rPr>
              <w:t>采用基础费用和协审影响土地增值税清算税款比例费率</w:t>
            </w:r>
            <w:r>
              <w:rPr>
                <w:rFonts w:hint="eastAsia" w:ascii="宋体" w:hAnsi="宋体" w:cs="宋体"/>
                <w:color w:val="auto"/>
                <w:sz w:val="21"/>
                <w:szCs w:val="24"/>
              </w:rPr>
              <w:t>计算的“绩效费用”相结合的方法确定费用。</w:t>
            </w:r>
          </w:p>
          <w:p w14:paraId="3F8EAADE">
            <w:pPr>
              <w:numPr>
                <w:ilvl w:val="0"/>
                <w:numId w:val="2"/>
              </w:numPr>
              <w:spacing w:line="360" w:lineRule="auto"/>
              <w:ind w:firstLine="420" w:firstLineChars="200"/>
              <w:rPr>
                <w:rFonts w:hint="eastAsia" w:ascii="宋体" w:hAnsi="宋体" w:cs="宋体"/>
                <w:color w:val="auto"/>
                <w:sz w:val="21"/>
                <w:szCs w:val="24"/>
                <w:lang w:eastAsia="zh-CN"/>
              </w:rPr>
            </w:pPr>
            <w:r>
              <w:rPr>
                <w:rFonts w:hint="eastAsia" w:ascii="宋体" w:hAnsi="宋体" w:cs="宋体"/>
                <w:color w:val="auto"/>
                <w:sz w:val="21"/>
                <w:szCs w:val="24"/>
                <w:lang w:eastAsia="zh-CN"/>
              </w:rPr>
              <w:t>申请造价咨询的项目，咨询后清算土地增值税有增加土地增值税税款或者减少土地增值税退税的仅计基础费用，分三个类分别计费：</w:t>
            </w:r>
          </w:p>
          <w:p w14:paraId="34D58069">
            <w:pPr>
              <w:numPr>
                <w:ilvl w:val="0"/>
                <w:numId w:val="0"/>
              </w:numPr>
              <w:spacing w:line="360" w:lineRule="auto"/>
              <w:rPr>
                <w:rFonts w:ascii="宋体" w:hAnsi="宋体" w:cs="宋体"/>
                <w:color w:val="auto"/>
                <w:sz w:val="21"/>
                <w:szCs w:val="24"/>
              </w:rPr>
            </w:pPr>
            <w:r>
              <w:rPr>
                <w:rFonts w:hint="eastAsia" w:ascii="宋体" w:hAnsi="宋体" w:cs="宋体"/>
                <w:color w:val="auto"/>
                <w:sz w:val="21"/>
                <w:szCs w:val="24"/>
              </w:rPr>
              <w:t>（1）第一类为咨询项目建筑面积6万平方米（含）以下，最高限价为8000元。</w:t>
            </w:r>
          </w:p>
          <w:p w14:paraId="15DC9C71">
            <w:pPr>
              <w:spacing w:line="360" w:lineRule="auto"/>
              <w:rPr>
                <w:rFonts w:ascii="宋体" w:hAnsi="宋体" w:cs="宋体"/>
                <w:color w:val="auto"/>
                <w:sz w:val="21"/>
                <w:szCs w:val="24"/>
              </w:rPr>
            </w:pPr>
            <w:r>
              <w:rPr>
                <w:rFonts w:hint="eastAsia" w:ascii="宋体" w:hAnsi="宋体" w:cs="宋体"/>
                <w:color w:val="auto"/>
                <w:sz w:val="21"/>
                <w:szCs w:val="24"/>
              </w:rPr>
              <w:t>（2）第二类为咨询项目建筑面积6—12万平方米之间，最高限价为10000元。</w:t>
            </w:r>
          </w:p>
          <w:p w14:paraId="427582DB">
            <w:pPr>
              <w:spacing w:line="360" w:lineRule="auto"/>
              <w:rPr>
                <w:rFonts w:ascii="宋体" w:hAnsi="宋体" w:cs="宋体"/>
                <w:color w:val="auto"/>
                <w:sz w:val="21"/>
                <w:szCs w:val="24"/>
              </w:rPr>
            </w:pPr>
            <w:r>
              <w:rPr>
                <w:rFonts w:hint="eastAsia" w:ascii="宋体" w:hAnsi="宋体" w:cs="宋体"/>
                <w:color w:val="auto"/>
                <w:sz w:val="21"/>
                <w:szCs w:val="24"/>
              </w:rPr>
              <w:t>（3）第三类为咨询项目建筑面积12万平方米（含）以上，最高限价为15000元。</w:t>
            </w:r>
          </w:p>
          <w:p w14:paraId="1EC8F9D5">
            <w:pPr>
              <w:spacing w:line="360" w:lineRule="auto"/>
              <w:ind w:firstLine="420" w:firstLineChars="200"/>
              <w:rPr>
                <w:rFonts w:ascii="宋体" w:hAnsi="宋体" w:cs="宋体"/>
                <w:color w:val="auto"/>
                <w:sz w:val="21"/>
                <w:szCs w:val="24"/>
              </w:rPr>
            </w:pPr>
            <w:r>
              <w:rPr>
                <w:rFonts w:hint="eastAsia" w:ascii="宋体" w:hAnsi="宋体" w:cs="宋体"/>
                <w:color w:val="auto"/>
                <w:sz w:val="21"/>
                <w:szCs w:val="24"/>
              </w:rPr>
              <w:t>2.在申请造价咨询的工程造价基础上，税务部门、供应商通过组织造价咨询，</w:t>
            </w:r>
            <w:r>
              <w:rPr>
                <w:rFonts w:hint="eastAsia" w:ascii="宋体" w:hAnsi="宋体" w:cs="宋体"/>
                <w:color w:val="auto"/>
                <w:sz w:val="21"/>
                <w:szCs w:val="24"/>
              </w:rPr>
              <w:t>新增加的补税金额或减少的退税金额</w:t>
            </w:r>
            <w:r>
              <w:rPr>
                <w:rFonts w:hint="eastAsia" w:ascii="宋体" w:hAnsi="宋体" w:cs="宋体"/>
                <w:color w:val="auto"/>
                <w:sz w:val="21"/>
                <w:szCs w:val="24"/>
              </w:rPr>
              <w:t>视为增加量，绩效费用</w:t>
            </w:r>
            <w:r>
              <w:rPr>
                <w:rFonts w:hint="eastAsia" w:ascii="宋体" w:hAnsi="宋体" w:cs="宋体"/>
                <w:color w:val="auto"/>
                <w:sz w:val="21"/>
                <w:szCs w:val="24"/>
              </w:rPr>
              <w:t>按增加量的百分比值</w:t>
            </w:r>
            <w:r>
              <w:rPr>
                <w:rFonts w:hint="eastAsia" w:ascii="宋体" w:hAnsi="宋体" w:cs="宋体"/>
                <w:color w:val="auto"/>
                <w:sz w:val="21"/>
                <w:szCs w:val="24"/>
              </w:rPr>
              <w:t>计算，分两个档次累进费率计费：</w:t>
            </w:r>
          </w:p>
          <w:p w14:paraId="68251A52">
            <w:pPr>
              <w:spacing w:line="360" w:lineRule="auto"/>
              <w:ind w:firstLine="420" w:firstLineChars="200"/>
              <w:rPr>
                <w:rFonts w:ascii="宋体" w:hAnsi="宋体" w:cs="宋体"/>
                <w:color w:val="auto"/>
                <w:sz w:val="21"/>
                <w:szCs w:val="24"/>
              </w:rPr>
            </w:pPr>
            <w:r>
              <w:rPr>
                <w:rFonts w:hint="eastAsia" w:ascii="宋体" w:hAnsi="宋体" w:cs="宋体"/>
                <w:color w:val="auto"/>
                <w:sz w:val="21"/>
                <w:szCs w:val="24"/>
              </w:rPr>
              <w:t>（1）第一个档次为增加量小于等于500万，最高费率为1%</w:t>
            </w:r>
          </w:p>
          <w:p w14:paraId="7F191B4B">
            <w:pPr>
              <w:spacing w:line="360" w:lineRule="auto"/>
              <w:ind w:firstLine="420" w:firstLineChars="200"/>
              <w:rPr>
                <w:rFonts w:ascii="宋体" w:hAnsi="宋体" w:cs="宋体"/>
                <w:color w:val="auto"/>
                <w:sz w:val="21"/>
                <w:szCs w:val="21"/>
              </w:rPr>
            </w:pPr>
            <w:r>
              <w:rPr>
                <w:rFonts w:hint="eastAsia" w:ascii="宋体" w:hAnsi="宋体" w:cs="宋体"/>
                <w:color w:val="auto"/>
                <w:sz w:val="21"/>
                <w:szCs w:val="24"/>
              </w:rPr>
              <w:t>（2）第二个档次为增加量大于500万，最高费率为0.5%。</w:t>
            </w:r>
          </w:p>
        </w:tc>
      </w:tr>
      <w:tr w14:paraId="2C261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8" w:type="dxa"/>
            <w:vMerge w:val="restart"/>
            <w:tcBorders>
              <w:top w:val="single" w:color="auto" w:sz="4" w:space="0"/>
              <w:left w:val="single" w:color="auto" w:sz="4" w:space="0"/>
              <w:bottom w:val="single" w:color="auto" w:sz="4" w:space="0"/>
              <w:right w:val="single" w:color="auto" w:sz="4" w:space="0"/>
            </w:tcBorders>
            <w:vAlign w:val="center"/>
          </w:tcPr>
          <w:p w14:paraId="2D5DC3A1">
            <w:pPr>
              <w:spacing w:line="400" w:lineRule="exact"/>
              <w:jc w:val="center"/>
              <w:rPr>
                <w:rFonts w:ascii="宋体" w:hAnsi="宋体" w:cs="宋体"/>
                <w:color w:val="auto"/>
                <w:sz w:val="21"/>
                <w:szCs w:val="21"/>
              </w:rPr>
            </w:pPr>
            <w:r>
              <w:rPr>
                <w:rFonts w:hint="eastAsia" w:ascii="宋体" w:hAnsi="宋体" w:cs="宋体"/>
                <w:color w:val="auto"/>
                <w:sz w:val="21"/>
                <w:szCs w:val="21"/>
              </w:rPr>
              <w:t>5</w:t>
            </w:r>
          </w:p>
        </w:tc>
        <w:tc>
          <w:tcPr>
            <w:tcW w:w="2315" w:type="dxa"/>
            <w:vMerge w:val="restart"/>
            <w:tcBorders>
              <w:top w:val="single" w:color="auto" w:sz="4" w:space="0"/>
              <w:left w:val="single" w:color="auto" w:sz="4" w:space="0"/>
              <w:bottom w:val="single" w:color="auto" w:sz="4" w:space="0"/>
              <w:right w:val="single" w:color="auto" w:sz="4" w:space="0"/>
            </w:tcBorders>
            <w:vAlign w:val="center"/>
          </w:tcPr>
          <w:p w14:paraId="14D1C597">
            <w:pPr>
              <w:spacing w:line="400" w:lineRule="exact"/>
              <w:jc w:val="center"/>
              <w:rPr>
                <w:rFonts w:ascii="宋体" w:hAnsi="宋体" w:cs="宋体"/>
                <w:color w:val="auto"/>
                <w:sz w:val="21"/>
                <w:szCs w:val="21"/>
              </w:rPr>
            </w:pPr>
            <w:r>
              <w:rPr>
                <w:rFonts w:hint="eastAsia" w:ascii="宋体" w:hAnsi="宋体" w:cs="宋体"/>
                <w:color w:val="auto"/>
                <w:sz w:val="21"/>
                <w:szCs w:val="21"/>
              </w:rPr>
              <w:t>响应人资质条件和应具备的特定要求</w:t>
            </w:r>
          </w:p>
        </w:tc>
        <w:tc>
          <w:tcPr>
            <w:tcW w:w="6254" w:type="dxa"/>
            <w:tcBorders>
              <w:top w:val="single" w:color="auto" w:sz="4" w:space="0"/>
              <w:left w:val="single" w:color="auto" w:sz="4" w:space="0"/>
              <w:bottom w:val="single" w:color="auto" w:sz="4" w:space="0"/>
              <w:right w:val="single" w:color="auto" w:sz="4" w:space="0"/>
            </w:tcBorders>
            <w:vAlign w:val="center"/>
          </w:tcPr>
          <w:p w14:paraId="4D625769">
            <w:pPr>
              <w:spacing w:line="410" w:lineRule="exact"/>
              <w:rPr>
                <w:rFonts w:ascii="宋体" w:hAnsi="宋体" w:cs="宋体"/>
                <w:color w:val="auto"/>
                <w:sz w:val="21"/>
                <w:szCs w:val="21"/>
              </w:rPr>
            </w:pPr>
            <w:r>
              <w:rPr>
                <w:rFonts w:hint="eastAsia" w:ascii="宋体" w:hAnsi="宋体" w:cs="宋体"/>
                <w:color w:val="auto"/>
                <w:sz w:val="21"/>
                <w:szCs w:val="21"/>
              </w:rPr>
              <w:t>*5.1响应人基本资格条件（承诺）</w:t>
            </w:r>
          </w:p>
          <w:p w14:paraId="6C65F3A3">
            <w:pPr>
              <w:spacing w:line="410" w:lineRule="exact"/>
              <w:ind w:firstLine="420" w:firstLineChars="200"/>
              <w:rPr>
                <w:rFonts w:ascii="宋体" w:hAnsi="宋体" w:cs="宋体"/>
                <w:color w:val="auto"/>
                <w:sz w:val="21"/>
                <w:szCs w:val="21"/>
              </w:rPr>
            </w:pPr>
            <w:r>
              <w:rPr>
                <w:rFonts w:hint="eastAsia" w:ascii="宋体" w:hAnsi="宋体" w:cs="宋体"/>
                <w:color w:val="auto"/>
                <w:sz w:val="21"/>
                <w:szCs w:val="21"/>
              </w:rPr>
              <w:t>（1）我单位具有独立承担民事责任的能力；</w:t>
            </w:r>
          </w:p>
          <w:p w14:paraId="00FB09E0">
            <w:pPr>
              <w:spacing w:line="410" w:lineRule="exact"/>
              <w:ind w:firstLine="420" w:firstLineChars="200"/>
              <w:rPr>
                <w:rFonts w:ascii="宋体" w:hAnsi="宋体" w:cs="宋体"/>
                <w:color w:val="auto"/>
                <w:sz w:val="21"/>
                <w:szCs w:val="21"/>
              </w:rPr>
            </w:pPr>
            <w:r>
              <w:rPr>
                <w:rFonts w:hint="eastAsia" w:ascii="宋体" w:hAnsi="宋体" w:cs="宋体"/>
                <w:color w:val="auto"/>
                <w:sz w:val="21"/>
                <w:szCs w:val="21"/>
              </w:rPr>
              <w:t>（2）我单位具有良好的商业信誉和健全的财务会计制度；</w:t>
            </w:r>
          </w:p>
          <w:p w14:paraId="09DA68E2">
            <w:pPr>
              <w:spacing w:line="410" w:lineRule="exact"/>
              <w:ind w:firstLine="420" w:firstLineChars="200"/>
              <w:rPr>
                <w:rFonts w:ascii="宋体" w:hAnsi="宋体" w:cs="宋体"/>
                <w:color w:val="auto"/>
                <w:sz w:val="21"/>
                <w:szCs w:val="21"/>
              </w:rPr>
            </w:pPr>
            <w:r>
              <w:rPr>
                <w:rFonts w:hint="eastAsia" w:ascii="宋体" w:hAnsi="宋体" w:cs="宋体"/>
                <w:color w:val="auto"/>
                <w:sz w:val="21"/>
                <w:szCs w:val="21"/>
              </w:rPr>
              <w:t>（3）我单位具有履行合同所必需的设备和专业技术能力；</w:t>
            </w:r>
          </w:p>
          <w:p w14:paraId="578DDC5C">
            <w:pPr>
              <w:spacing w:line="410" w:lineRule="exact"/>
              <w:ind w:firstLine="420" w:firstLineChars="200"/>
              <w:rPr>
                <w:rFonts w:ascii="宋体" w:hAnsi="宋体" w:cs="宋体"/>
                <w:color w:val="auto"/>
                <w:sz w:val="21"/>
                <w:szCs w:val="21"/>
              </w:rPr>
            </w:pPr>
            <w:r>
              <w:rPr>
                <w:rFonts w:hint="eastAsia" w:ascii="宋体" w:hAnsi="宋体" w:cs="宋体"/>
                <w:color w:val="auto"/>
                <w:sz w:val="21"/>
                <w:szCs w:val="21"/>
              </w:rPr>
              <w:t>（4）我单位有依法缴纳税收和社会保障资金的良好记录；</w:t>
            </w:r>
          </w:p>
          <w:p w14:paraId="47383D06">
            <w:pPr>
              <w:spacing w:line="410" w:lineRule="exact"/>
              <w:ind w:firstLine="420" w:firstLineChars="200"/>
              <w:rPr>
                <w:rFonts w:ascii="宋体" w:hAnsi="宋体" w:cs="宋体"/>
                <w:color w:val="auto"/>
                <w:sz w:val="21"/>
                <w:szCs w:val="21"/>
              </w:rPr>
            </w:pPr>
            <w:r>
              <w:rPr>
                <w:rFonts w:hint="eastAsia" w:ascii="宋体" w:hAnsi="宋体" w:cs="宋体"/>
                <w:color w:val="auto"/>
                <w:sz w:val="21"/>
                <w:szCs w:val="21"/>
              </w:rPr>
              <w:t>（5）我单位参加本次采购活动前三年内，在经营活动中没有重大违法记录。（重大违法记录，是指响应人因违法经营受到刑事处罚或者责令停产停业、吊销许可证或者执照、较大数额罚款等行政处罚。）；</w:t>
            </w:r>
          </w:p>
          <w:p w14:paraId="35F5435E">
            <w:pPr>
              <w:spacing w:line="410" w:lineRule="exact"/>
              <w:ind w:firstLine="420" w:firstLineChars="200"/>
              <w:rPr>
                <w:rFonts w:ascii="宋体" w:hAnsi="宋体" w:cs="宋体"/>
                <w:bCs/>
                <w:color w:val="auto"/>
                <w:sz w:val="21"/>
                <w:szCs w:val="21"/>
              </w:rPr>
            </w:pPr>
            <w:r>
              <w:rPr>
                <w:rFonts w:hint="eastAsia" w:ascii="宋体" w:hAnsi="宋体" w:cs="宋体"/>
                <w:bCs/>
                <w:color w:val="auto"/>
                <w:sz w:val="21"/>
                <w:szCs w:val="21"/>
              </w:rPr>
              <w:t>（6）我单位不存在单位负责人为同一人或者存在直接控股、管理关系的不同响应人（包含法定代表人（负责人）为同一个人的两个及两个以上法人，母公司、全资子公司及其控股公司）的情况；</w:t>
            </w:r>
          </w:p>
          <w:p w14:paraId="79588ECF">
            <w:pPr>
              <w:spacing w:line="410" w:lineRule="exact"/>
              <w:ind w:firstLine="420" w:firstLineChars="200"/>
              <w:rPr>
                <w:rFonts w:ascii="宋体" w:hAnsi="宋体" w:cs="宋体"/>
                <w:color w:val="auto"/>
                <w:sz w:val="21"/>
                <w:szCs w:val="21"/>
              </w:rPr>
            </w:pPr>
            <w:r>
              <w:rPr>
                <w:rFonts w:hint="eastAsia" w:ascii="宋体" w:hAnsi="宋体" w:cs="宋体"/>
                <w:color w:val="auto"/>
                <w:sz w:val="21"/>
                <w:szCs w:val="21"/>
              </w:rPr>
              <w:t>（7）我单位遵守法律、行政法规规定的其他条件。</w:t>
            </w:r>
          </w:p>
          <w:p w14:paraId="10C79498">
            <w:pPr>
              <w:spacing w:line="400" w:lineRule="exact"/>
              <w:ind w:firstLine="420" w:firstLineChars="200"/>
              <w:rPr>
                <w:rFonts w:ascii="宋体" w:hAnsi="宋体" w:cs="宋体"/>
                <w:color w:val="auto"/>
                <w:sz w:val="21"/>
                <w:szCs w:val="21"/>
              </w:rPr>
            </w:pPr>
            <w:r>
              <w:rPr>
                <w:rFonts w:hint="eastAsia" w:ascii="宋体" w:hAnsi="宋体" w:cs="宋体"/>
                <w:color w:val="auto"/>
                <w:sz w:val="21"/>
                <w:szCs w:val="21"/>
              </w:rPr>
              <w:t>注：较大数额罚款金额参照《中华人民共和国政府采购法实施条例》第十九条第一款规定的“较大数额罚款”认定为200万元（含）以上的罚款，法律、行政法规以及国务院有关部门明确规定相关领域“较大数额罚款”标准高于200万元的，从其规定，较大数额罚款金额认定参照《财政部关于《中华人民共和国政府采购法实施条例》第十九条第一款“较大数额罚款”具体适用问题的意见》财库【2022】3号文。</w:t>
            </w:r>
          </w:p>
        </w:tc>
      </w:tr>
      <w:tr w14:paraId="0DCB0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8" w:type="dxa"/>
            <w:vMerge w:val="continue"/>
            <w:tcBorders>
              <w:top w:val="single" w:color="auto" w:sz="4" w:space="0"/>
              <w:left w:val="single" w:color="auto" w:sz="4" w:space="0"/>
              <w:bottom w:val="single" w:color="auto" w:sz="4" w:space="0"/>
              <w:right w:val="single" w:color="auto" w:sz="4" w:space="0"/>
            </w:tcBorders>
            <w:vAlign w:val="center"/>
          </w:tcPr>
          <w:p w14:paraId="0DFEF771">
            <w:pPr>
              <w:spacing w:line="400" w:lineRule="exact"/>
              <w:jc w:val="center"/>
              <w:rPr>
                <w:rFonts w:ascii="宋体" w:hAnsi="宋体" w:cs="宋体"/>
                <w:color w:val="auto"/>
                <w:sz w:val="21"/>
                <w:szCs w:val="21"/>
              </w:rPr>
            </w:pPr>
          </w:p>
        </w:tc>
        <w:tc>
          <w:tcPr>
            <w:tcW w:w="2315" w:type="dxa"/>
            <w:vMerge w:val="continue"/>
            <w:tcBorders>
              <w:top w:val="single" w:color="auto" w:sz="4" w:space="0"/>
              <w:left w:val="single" w:color="auto" w:sz="4" w:space="0"/>
              <w:bottom w:val="single" w:color="auto" w:sz="4" w:space="0"/>
              <w:right w:val="single" w:color="auto" w:sz="4" w:space="0"/>
            </w:tcBorders>
            <w:vAlign w:val="center"/>
          </w:tcPr>
          <w:p w14:paraId="1FC1F637">
            <w:pPr>
              <w:spacing w:line="400" w:lineRule="exact"/>
              <w:rPr>
                <w:rFonts w:ascii="宋体" w:hAnsi="宋体" w:cs="宋体"/>
                <w:color w:val="auto"/>
                <w:sz w:val="21"/>
                <w:szCs w:val="21"/>
              </w:rPr>
            </w:pPr>
          </w:p>
        </w:tc>
        <w:tc>
          <w:tcPr>
            <w:tcW w:w="6254" w:type="dxa"/>
            <w:tcBorders>
              <w:top w:val="single" w:color="auto" w:sz="4" w:space="0"/>
              <w:left w:val="single" w:color="auto" w:sz="4" w:space="0"/>
              <w:bottom w:val="single" w:color="auto" w:sz="4" w:space="0"/>
              <w:right w:val="single" w:color="auto" w:sz="4" w:space="0"/>
            </w:tcBorders>
            <w:vAlign w:val="center"/>
          </w:tcPr>
          <w:p w14:paraId="496B4C31">
            <w:pPr>
              <w:spacing w:line="360" w:lineRule="auto"/>
              <w:jc w:val="left"/>
              <w:rPr>
                <w:rFonts w:ascii="宋体" w:hAnsi="宋体" w:cs="宋体"/>
                <w:color w:val="auto"/>
                <w:sz w:val="21"/>
                <w:szCs w:val="21"/>
              </w:rPr>
            </w:pPr>
            <w:r>
              <w:rPr>
                <w:rFonts w:hint="eastAsia" w:ascii="宋体" w:hAnsi="宋体" w:cs="宋体"/>
                <w:color w:val="auto"/>
                <w:sz w:val="21"/>
                <w:szCs w:val="21"/>
              </w:rPr>
              <w:t>*5.2响应人具备的特定资格要求：详见磋商公告。</w:t>
            </w:r>
          </w:p>
          <w:p w14:paraId="4AF27810">
            <w:pPr>
              <w:spacing w:line="360" w:lineRule="auto"/>
              <w:jc w:val="left"/>
              <w:rPr>
                <w:rFonts w:ascii="宋体" w:hAnsi="宋体" w:cs="宋体"/>
                <w:color w:val="auto"/>
                <w:sz w:val="21"/>
                <w:szCs w:val="21"/>
              </w:rPr>
            </w:pPr>
            <w:r>
              <w:rPr>
                <w:rFonts w:hint="eastAsia" w:ascii="宋体" w:hAnsi="宋体" w:cs="宋体"/>
                <w:color w:val="auto"/>
                <w:sz w:val="21"/>
                <w:szCs w:val="21"/>
              </w:rPr>
              <w:t>*5.3本项目采用资格后审方式。</w:t>
            </w:r>
          </w:p>
          <w:p w14:paraId="01E65293">
            <w:pPr>
              <w:pStyle w:val="14"/>
              <w:adjustRightInd w:val="0"/>
              <w:snapToGrid w:val="0"/>
              <w:spacing w:line="360" w:lineRule="auto"/>
              <w:jc w:val="left"/>
              <w:rPr>
                <w:rFonts w:hint="default" w:hAnsi="宋体" w:cs="宋体"/>
                <w:color w:val="auto"/>
                <w:sz w:val="21"/>
                <w:szCs w:val="21"/>
              </w:rPr>
            </w:pPr>
            <w:r>
              <w:rPr>
                <w:rFonts w:hAnsi="宋体" w:cs="宋体"/>
                <w:color w:val="auto"/>
                <w:sz w:val="21"/>
                <w:szCs w:val="21"/>
              </w:rPr>
              <w:t>*5.4资格后审材料：</w:t>
            </w:r>
          </w:p>
          <w:p w14:paraId="55DF5D35">
            <w:pPr>
              <w:pStyle w:val="14"/>
              <w:adjustRightInd w:val="0"/>
              <w:snapToGrid w:val="0"/>
              <w:spacing w:line="360" w:lineRule="auto"/>
              <w:jc w:val="left"/>
              <w:rPr>
                <w:rFonts w:hint="default" w:hAnsi="宋体" w:cs="宋体"/>
                <w:color w:val="auto"/>
                <w:kern w:val="2"/>
                <w:sz w:val="21"/>
                <w:szCs w:val="21"/>
              </w:rPr>
            </w:pPr>
            <w:r>
              <w:rPr>
                <w:rFonts w:hAnsi="宋体" w:cs="宋体"/>
                <w:color w:val="auto"/>
                <w:kern w:val="2"/>
                <w:sz w:val="21"/>
                <w:szCs w:val="21"/>
              </w:rPr>
              <w:t>（1）供应商资格声明函（格式详见响应文件1-1供应商资格声明函）</w:t>
            </w:r>
          </w:p>
          <w:p w14:paraId="6060167C">
            <w:pPr>
              <w:adjustRightInd w:val="0"/>
              <w:snapToGrid w:val="0"/>
              <w:spacing w:line="360" w:lineRule="auto"/>
              <w:jc w:val="left"/>
              <w:rPr>
                <w:rFonts w:ascii="宋体" w:hAnsi="宋体" w:cs="宋体"/>
                <w:color w:val="auto"/>
                <w:sz w:val="21"/>
                <w:szCs w:val="21"/>
              </w:rPr>
            </w:pPr>
            <w:r>
              <w:rPr>
                <w:rFonts w:hint="eastAsia" w:ascii="宋体" w:hAnsi="宋体" w:cs="宋体"/>
                <w:color w:val="auto"/>
                <w:sz w:val="21"/>
                <w:szCs w:val="21"/>
              </w:rPr>
              <w:t>（2）有效的营业执照；</w:t>
            </w:r>
          </w:p>
          <w:p w14:paraId="7BE0CB6C">
            <w:pPr>
              <w:adjustRightInd w:val="0"/>
              <w:snapToGrid w:val="0"/>
              <w:spacing w:line="360" w:lineRule="auto"/>
              <w:jc w:val="left"/>
              <w:rPr>
                <w:rFonts w:ascii="宋体" w:hAnsi="宋体" w:cs="宋体"/>
                <w:color w:val="auto"/>
                <w:sz w:val="21"/>
                <w:szCs w:val="21"/>
              </w:rPr>
            </w:pPr>
            <w:r>
              <w:rPr>
                <w:rFonts w:hint="eastAsia" w:ascii="宋体" w:hAnsi="宋体" w:cs="宋体"/>
                <w:color w:val="auto"/>
                <w:sz w:val="21"/>
                <w:szCs w:val="21"/>
              </w:rPr>
              <w:t>（3）项目负责人国家注册一级造价工程师（或原国家注册造价工程师）的注册证书；</w:t>
            </w:r>
          </w:p>
          <w:p w14:paraId="7D5BBFD5">
            <w:pPr>
              <w:adjustRightInd w:val="0"/>
              <w:snapToGrid w:val="0"/>
              <w:spacing w:line="360" w:lineRule="auto"/>
              <w:jc w:val="left"/>
              <w:rPr>
                <w:rFonts w:ascii="宋体" w:hAnsi="宋体" w:cs="宋体"/>
                <w:color w:val="auto"/>
                <w:sz w:val="21"/>
                <w:szCs w:val="21"/>
              </w:rPr>
            </w:pPr>
            <w:r>
              <w:rPr>
                <w:rFonts w:hint="eastAsia" w:ascii="宋体" w:hAnsi="宋体" w:cs="宋体"/>
                <w:color w:val="auto"/>
                <w:sz w:val="21"/>
                <w:szCs w:val="21"/>
              </w:rPr>
              <w:t>（4）法定代表人参加开标的提供：法定代表人资格证明书原件(格式详见响应文件3法定代表人资格证明书)和本人身份证复印件；委托代理人参加开标的提供：授权委托书原件(格式详见响应文件4法定代表人授权委托书)和本人身份证复印件。</w:t>
            </w:r>
          </w:p>
          <w:p w14:paraId="2E99A76D">
            <w:pPr>
              <w:adjustRightInd w:val="0"/>
              <w:snapToGrid w:val="0"/>
              <w:spacing w:line="360" w:lineRule="auto"/>
              <w:jc w:val="left"/>
              <w:rPr>
                <w:rFonts w:ascii="宋体" w:hAnsi="宋体" w:cs="宋体"/>
                <w:color w:val="auto"/>
                <w:sz w:val="21"/>
                <w:szCs w:val="21"/>
              </w:rPr>
            </w:pPr>
            <w:r>
              <w:rPr>
                <w:rFonts w:hint="eastAsia" w:ascii="宋体" w:hAnsi="宋体" w:cs="宋体"/>
                <w:color w:val="auto"/>
                <w:sz w:val="21"/>
                <w:szCs w:val="21"/>
              </w:rPr>
              <w:t>（5）供应商为委托代理人及项目负责人缴纳的社会基本养老保险凭证原件【凭证原件包括（其中之一均可）：1）该投标供应商经社保机构出具的缴费清单；2）由社保机构打印出具的缴纳凭证；缴纳时间为2024年8月至今任意一月】。</w:t>
            </w:r>
          </w:p>
          <w:p w14:paraId="30E4A73E">
            <w:pPr>
              <w:spacing w:line="400" w:lineRule="exact"/>
              <w:jc w:val="left"/>
              <w:rPr>
                <w:rFonts w:ascii="宋体" w:hAnsi="宋体" w:cs="宋体"/>
                <w:color w:val="auto"/>
                <w:sz w:val="21"/>
                <w:szCs w:val="21"/>
              </w:rPr>
            </w:pPr>
            <w:r>
              <w:rPr>
                <w:rFonts w:hint="eastAsia" w:ascii="宋体" w:hAnsi="宋体" w:cs="宋体"/>
                <w:color w:val="auto"/>
                <w:sz w:val="21"/>
                <w:szCs w:val="21"/>
              </w:rPr>
              <w:t>注：上述材料必须提供二套复印件加盖供应商公章装订成册并与资格审查的的原件(或公证件或带二维码的打印件) 一起单独密封，且须在投标截止时间前随同响应文件一并提交以供核查,过时不予接收。在开标结束后进行资格审查,资料不全或不符合要求的作资格审查不合格处理，资格审查不合格的供应商不再进入后续评审)。</w:t>
            </w:r>
          </w:p>
        </w:tc>
      </w:tr>
      <w:tr w14:paraId="38A65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8" w:type="dxa"/>
            <w:tcBorders>
              <w:top w:val="single" w:color="auto" w:sz="4" w:space="0"/>
              <w:left w:val="single" w:color="auto" w:sz="4" w:space="0"/>
              <w:bottom w:val="single" w:color="auto" w:sz="4" w:space="0"/>
              <w:right w:val="single" w:color="auto" w:sz="4" w:space="0"/>
            </w:tcBorders>
            <w:vAlign w:val="center"/>
          </w:tcPr>
          <w:p w14:paraId="5143308F">
            <w:pPr>
              <w:spacing w:line="400" w:lineRule="exact"/>
              <w:jc w:val="center"/>
              <w:rPr>
                <w:rFonts w:ascii="宋体" w:hAnsi="宋体" w:cs="宋体"/>
                <w:color w:val="auto"/>
                <w:sz w:val="21"/>
                <w:szCs w:val="21"/>
              </w:rPr>
            </w:pPr>
            <w:r>
              <w:rPr>
                <w:rFonts w:hint="eastAsia" w:ascii="宋体" w:hAnsi="宋体" w:cs="宋体"/>
                <w:color w:val="auto"/>
                <w:sz w:val="21"/>
                <w:szCs w:val="21"/>
              </w:rPr>
              <w:t>6</w:t>
            </w:r>
          </w:p>
        </w:tc>
        <w:tc>
          <w:tcPr>
            <w:tcW w:w="2315" w:type="dxa"/>
            <w:tcBorders>
              <w:top w:val="single" w:color="auto" w:sz="4" w:space="0"/>
              <w:left w:val="single" w:color="auto" w:sz="4" w:space="0"/>
              <w:bottom w:val="single" w:color="auto" w:sz="4" w:space="0"/>
              <w:right w:val="single" w:color="auto" w:sz="4" w:space="0"/>
            </w:tcBorders>
            <w:vAlign w:val="center"/>
          </w:tcPr>
          <w:p w14:paraId="6983FFBB">
            <w:pPr>
              <w:spacing w:line="400" w:lineRule="exact"/>
              <w:jc w:val="center"/>
              <w:rPr>
                <w:rFonts w:ascii="宋体" w:hAnsi="宋体" w:cs="宋体"/>
                <w:color w:val="auto"/>
                <w:sz w:val="21"/>
                <w:szCs w:val="21"/>
              </w:rPr>
            </w:pPr>
            <w:r>
              <w:rPr>
                <w:rFonts w:hint="eastAsia" w:ascii="宋体" w:hAnsi="宋体" w:cs="宋体"/>
                <w:color w:val="auto"/>
                <w:sz w:val="21"/>
                <w:szCs w:val="21"/>
              </w:rPr>
              <w:t>是否允许代理商投标</w:t>
            </w:r>
          </w:p>
        </w:tc>
        <w:tc>
          <w:tcPr>
            <w:tcW w:w="6254" w:type="dxa"/>
            <w:tcBorders>
              <w:top w:val="single" w:color="auto" w:sz="4" w:space="0"/>
              <w:left w:val="single" w:color="auto" w:sz="4" w:space="0"/>
              <w:bottom w:val="single" w:color="auto" w:sz="4" w:space="0"/>
              <w:right w:val="single" w:color="auto" w:sz="4" w:space="0"/>
            </w:tcBorders>
            <w:vAlign w:val="center"/>
          </w:tcPr>
          <w:p w14:paraId="387755AE">
            <w:pPr>
              <w:spacing w:line="400" w:lineRule="exact"/>
              <w:jc w:val="center"/>
              <w:rPr>
                <w:rFonts w:ascii="宋体" w:hAnsi="宋体" w:cs="宋体"/>
                <w:color w:val="auto"/>
                <w:sz w:val="21"/>
                <w:szCs w:val="21"/>
              </w:rPr>
            </w:pPr>
            <w:r>
              <w:rPr>
                <w:rFonts w:hint="eastAsia" w:ascii="宋体" w:hAnsi="宋体" w:cs="宋体"/>
                <w:color w:val="auto"/>
                <w:sz w:val="21"/>
                <w:szCs w:val="21"/>
              </w:rPr>
              <w:t>否</w:t>
            </w:r>
          </w:p>
        </w:tc>
      </w:tr>
      <w:tr w14:paraId="602D0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8" w:type="dxa"/>
            <w:tcBorders>
              <w:top w:val="single" w:color="auto" w:sz="4" w:space="0"/>
              <w:left w:val="single" w:color="auto" w:sz="4" w:space="0"/>
              <w:bottom w:val="single" w:color="auto" w:sz="4" w:space="0"/>
              <w:right w:val="single" w:color="auto" w:sz="4" w:space="0"/>
            </w:tcBorders>
            <w:vAlign w:val="center"/>
          </w:tcPr>
          <w:p w14:paraId="4CE345FB">
            <w:pPr>
              <w:spacing w:line="400" w:lineRule="exact"/>
              <w:jc w:val="center"/>
              <w:rPr>
                <w:rFonts w:ascii="宋体" w:hAnsi="宋体" w:cs="宋体"/>
                <w:color w:val="auto"/>
                <w:sz w:val="21"/>
                <w:szCs w:val="21"/>
              </w:rPr>
            </w:pPr>
            <w:r>
              <w:rPr>
                <w:rFonts w:hint="eastAsia" w:ascii="宋体" w:hAnsi="宋体" w:cs="宋体"/>
                <w:color w:val="auto"/>
                <w:sz w:val="21"/>
                <w:szCs w:val="21"/>
              </w:rPr>
              <w:t>7</w:t>
            </w:r>
          </w:p>
        </w:tc>
        <w:tc>
          <w:tcPr>
            <w:tcW w:w="2315" w:type="dxa"/>
            <w:tcBorders>
              <w:top w:val="single" w:color="auto" w:sz="4" w:space="0"/>
              <w:left w:val="single" w:color="auto" w:sz="4" w:space="0"/>
              <w:bottom w:val="single" w:color="auto" w:sz="4" w:space="0"/>
              <w:right w:val="single" w:color="auto" w:sz="4" w:space="0"/>
            </w:tcBorders>
            <w:vAlign w:val="center"/>
          </w:tcPr>
          <w:p w14:paraId="0CC09637">
            <w:pPr>
              <w:spacing w:line="400" w:lineRule="exact"/>
              <w:jc w:val="center"/>
              <w:rPr>
                <w:rFonts w:ascii="宋体" w:hAnsi="宋体" w:cs="宋体"/>
                <w:color w:val="auto"/>
                <w:sz w:val="21"/>
                <w:szCs w:val="21"/>
              </w:rPr>
            </w:pPr>
            <w:r>
              <w:rPr>
                <w:rFonts w:hint="eastAsia" w:ascii="宋体" w:hAnsi="宋体" w:cs="宋体"/>
                <w:color w:val="auto"/>
                <w:sz w:val="21"/>
                <w:szCs w:val="21"/>
              </w:rPr>
              <w:t>是否允许联合体投标</w:t>
            </w:r>
          </w:p>
        </w:tc>
        <w:tc>
          <w:tcPr>
            <w:tcW w:w="6254" w:type="dxa"/>
            <w:tcBorders>
              <w:top w:val="single" w:color="auto" w:sz="4" w:space="0"/>
              <w:left w:val="single" w:color="auto" w:sz="4" w:space="0"/>
              <w:bottom w:val="single" w:color="auto" w:sz="4" w:space="0"/>
              <w:right w:val="single" w:color="auto" w:sz="4" w:space="0"/>
            </w:tcBorders>
            <w:vAlign w:val="center"/>
          </w:tcPr>
          <w:p w14:paraId="1F31A2CF">
            <w:pPr>
              <w:spacing w:line="400" w:lineRule="exact"/>
              <w:jc w:val="center"/>
              <w:rPr>
                <w:rFonts w:ascii="宋体" w:hAnsi="宋体" w:cs="宋体"/>
                <w:color w:val="auto"/>
                <w:sz w:val="21"/>
                <w:szCs w:val="21"/>
              </w:rPr>
            </w:pPr>
            <w:r>
              <w:rPr>
                <w:rFonts w:hint="eastAsia" w:ascii="宋体" w:hAnsi="宋体" w:cs="宋体"/>
                <w:color w:val="auto"/>
                <w:sz w:val="21"/>
                <w:szCs w:val="21"/>
              </w:rPr>
              <w:t>否</w:t>
            </w:r>
          </w:p>
        </w:tc>
      </w:tr>
      <w:tr w14:paraId="552FE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8" w:type="dxa"/>
            <w:tcBorders>
              <w:top w:val="single" w:color="auto" w:sz="4" w:space="0"/>
              <w:left w:val="single" w:color="auto" w:sz="4" w:space="0"/>
              <w:bottom w:val="single" w:color="auto" w:sz="4" w:space="0"/>
              <w:right w:val="single" w:color="auto" w:sz="4" w:space="0"/>
            </w:tcBorders>
            <w:vAlign w:val="center"/>
          </w:tcPr>
          <w:p w14:paraId="5271B5BA">
            <w:pPr>
              <w:spacing w:line="400" w:lineRule="exact"/>
              <w:jc w:val="center"/>
              <w:rPr>
                <w:rFonts w:ascii="宋体" w:hAnsi="宋体" w:cs="宋体"/>
                <w:color w:val="auto"/>
                <w:sz w:val="21"/>
                <w:szCs w:val="21"/>
              </w:rPr>
            </w:pPr>
            <w:r>
              <w:rPr>
                <w:rFonts w:hint="eastAsia" w:ascii="宋体" w:hAnsi="宋体" w:cs="宋体"/>
                <w:color w:val="auto"/>
                <w:sz w:val="21"/>
                <w:szCs w:val="21"/>
              </w:rPr>
              <w:t>8</w:t>
            </w:r>
          </w:p>
        </w:tc>
        <w:tc>
          <w:tcPr>
            <w:tcW w:w="2315" w:type="dxa"/>
            <w:tcBorders>
              <w:top w:val="single" w:color="auto" w:sz="4" w:space="0"/>
              <w:left w:val="single" w:color="auto" w:sz="4" w:space="0"/>
              <w:bottom w:val="single" w:color="auto" w:sz="4" w:space="0"/>
              <w:right w:val="single" w:color="auto" w:sz="4" w:space="0"/>
            </w:tcBorders>
            <w:vAlign w:val="center"/>
          </w:tcPr>
          <w:p w14:paraId="19A2BB68">
            <w:pPr>
              <w:spacing w:line="400" w:lineRule="exact"/>
              <w:jc w:val="center"/>
              <w:rPr>
                <w:rFonts w:ascii="宋体" w:hAnsi="宋体" w:cs="宋体"/>
                <w:color w:val="auto"/>
                <w:sz w:val="21"/>
                <w:szCs w:val="21"/>
              </w:rPr>
            </w:pPr>
            <w:r>
              <w:rPr>
                <w:rFonts w:hint="eastAsia" w:ascii="宋体" w:hAnsi="宋体" w:cs="宋体"/>
                <w:color w:val="auto"/>
                <w:sz w:val="21"/>
                <w:szCs w:val="21"/>
              </w:rPr>
              <w:t>是否组织现场考察</w:t>
            </w:r>
          </w:p>
          <w:p w14:paraId="0F01BE5A">
            <w:pPr>
              <w:spacing w:line="400" w:lineRule="exact"/>
              <w:jc w:val="center"/>
              <w:rPr>
                <w:rFonts w:ascii="宋体" w:hAnsi="宋体" w:cs="宋体"/>
                <w:color w:val="auto"/>
                <w:sz w:val="21"/>
                <w:szCs w:val="21"/>
              </w:rPr>
            </w:pPr>
            <w:r>
              <w:rPr>
                <w:rFonts w:hint="eastAsia" w:ascii="宋体" w:hAnsi="宋体" w:cs="宋体"/>
                <w:color w:val="auto"/>
                <w:sz w:val="21"/>
                <w:szCs w:val="21"/>
              </w:rPr>
              <w:t>（标前答疑会）</w:t>
            </w:r>
          </w:p>
        </w:tc>
        <w:tc>
          <w:tcPr>
            <w:tcW w:w="6254" w:type="dxa"/>
            <w:tcBorders>
              <w:top w:val="single" w:color="auto" w:sz="4" w:space="0"/>
              <w:left w:val="single" w:color="auto" w:sz="4" w:space="0"/>
              <w:bottom w:val="single" w:color="auto" w:sz="4" w:space="0"/>
              <w:right w:val="single" w:color="auto" w:sz="4" w:space="0"/>
            </w:tcBorders>
            <w:vAlign w:val="center"/>
          </w:tcPr>
          <w:p w14:paraId="26C2991C">
            <w:pPr>
              <w:spacing w:line="400" w:lineRule="exact"/>
              <w:jc w:val="center"/>
              <w:rPr>
                <w:rFonts w:ascii="宋体" w:hAnsi="宋体" w:cs="宋体"/>
                <w:color w:val="auto"/>
                <w:sz w:val="21"/>
                <w:szCs w:val="21"/>
              </w:rPr>
            </w:pPr>
            <w:r>
              <w:rPr>
                <w:rFonts w:hint="eastAsia" w:ascii="宋体" w:hAnsi="宋体" w:cs="宋体"/>
                <w:color w:val="auto"/>
                <w:sz w:val="21"/>
                <w:szCs w:val="21"/>
              </w:rPr>
              <w:t>否</w:t>
            </w:r>
          </w:p>
        </w:tc>
      </w:tr>
      <w:tr w14:paraId="1B454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8" w:type="dxa"/>
            <w:tcBorders>
              <w:top w:val="single" w:color="auto" w:sz="4" w:space="0"/>
              <w:left w:val="single" w:color="auto" w:sz="4" w:space="0"/>
              <w:bottom w:val="single" w:color="auto" w:sz="4" w:space="0"/>
              <w:right w:val="single" w:color="auto" w:sz="4" w:space="0"/>
            </w:tcBorders>
            <w:vAlign w:val="center"/>
          </w:tcPr>
          <w:p w14:paraId="6749B5A7">
            <w:pPr>
              <w:spacing w:line="400" w:lineRule="exact"/>
              <w:jc w:val="center"/>
              <w:rPr>
                <w:rFonts w:ascii="宋体" w:hAnsi="宋体" w:cs="宋体"/>
                <w:color w:val="auto"/>
                <w:sz w:val="21"/>
                <w:szCs w:val="21"/>
              </w:rPr>
            </w:pPr>
            <w:r>
              <w:rPr>
                <w:rFonts w:hint="eastAsia" w:ascii="宋体" w:hAnsi="宋体" w:cs="宋体"/>
                <w:color w:val="auto"/>
                <w:sz w:val="21"/>
                <w:szCs w:val="21"/>
              </w:rPr>
              <w:t>9</w:t>
            </w:r>
          </w:p>
        </w:tc>
        <w:tc>
          <w:tcPr>
            <w:tcW w:w="2315" w:type="dxa"/>
            <w:tcBorders>
              <w:top w:val="single" w:color="auto" w:sz="4" w:space="0"/>
              <w:left w:val="single" w:color="auto" w:sz="4" w:space="0"/>
              <w:bottom w:val="single" w:color="auto" w:sz="4" w:space="0"/>
              <w:right w:val="single" w:color="auto" w:sz="4" w:space="0"/>
            </w:tcBorders>
            <w:vAlign w:val="center"/>
          </w:tcPr>
          <w:p w14:paraId="3FD4D439">
            <w:pPr>
              <w:spacing w:line="400" w:lineRule="exact"/>
              <w:jc w:val="center"/>
              <w:rPr>
                <w:rFonts w:ascii="宋体" w:hAnsi="宋体" w:cs="宋体"/>
                <w:color w:val="auto"/>
                <w:sz w:val="21"/>
                <w:szCs w:val="21"/>
              </w:rPr>
            </w:pPr>
            <w:r>
              <w:rPr>
                <w:rFonts w:hint="eastAsia" w:ascii="宋体" w:hAnsi="宋体" w:cs="宋体"/>
                <w:color w:val="auto"/>
                <w:sz w:val="21"/>
                <w:szCs w:val="21"/>
              </w:rPr>
              <w:t>构成磋商文件的其他材料</w:t>
            </w:r>
          </w:p>
        </w:tc>
        <w:tc>
          <w:tcPr>
            <w:tcW w:w="6254" w:type="dxa"/>
            <w:tcBorders>
              <w:top w:val="single" w:color="auto" w:sz="4" w:space="0"/>
              <w:left w:val="single" w:color="auto" w:sz="4" w:space="0"/>
              <w:bottom w:val="single" w:color="auto" w:sz="4" w:space="0"/>
              <w:right w:val="single" w:color="auto" w:sz="4" w:space="0"/>
            </w:tcBorders>
            <w:vAlign w:val="center"/>
          </w:tcPr>
          <w:p w14:paraId="4A1210F1">
            <w:pPr>
              <w:pStyle w:val="24"/>
              <w:widowControl w:val="0"/>
              <w:adjustRightInd w:val="0"/>
              <w:snapToGrid w:val="0"/>
              <w:spacing w:before="0" w:beforeAutospacing="0" w:after="0" w:afterAutospacing="0" w:line="400" w:lineRule="exact"/>
              <w:jc w:val="center"/>
              <w:rPr>
                <w:rFonts w:ascii="宋体" w:hAnsi="宋体" w:eastAsia="宋体" w:cs="宋体"/>
                <w:color w:val="auto"/>
                <w:sz w:val="21"/>
                <w:szCs w:val="21"/>
              </w:rPr>
            </w:pPr>
            <w:r>
              <w:rPr>
                <w:rFonts w:hint="eastAsia" w:ascii="宋体" w:hAnsi="宋体" w:eastAsia="宋体" w:cs="宋体"/>
                <w:color w:val="auto"/>
                <w:sz w:val="21"/>
                <w:szCs w:val="21"/>
              </w:rPr>
              <w:t>磋商文件答疑纪要、澄清、更正、说明等</w:t>
            </w:r>
          </w:p>
        </w:tc>
      </w:tr>
      <w:tr w14:paraId="73EC6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8" w:type="dxa"/>
            <w:tcBorders>
              <w:top w:val="single" w:color="auto" w:sz="4" w:space="0"/>
              <w:left w:val="single" w:color="auto" w:sz="4" w:space="0"/>
              <w:bottom w:val="single" w:color="auto" w:sz="4" w:space="0"/>
              <w:right w:val="single" w:color="auto" w:sz="4" w:space="0"/>
            </w:tcBorders>
            <w:vAlign w:val="center"/>
          </w:tcPr>
          <w:p w14:paraId="73435372">
            <w:pPr>
              <w:spacing w:line="400" w:lineRule="exact"/>
              <w:jc w:val="center"/>
              <w:rPr>
                <w:rFonts w:ascii="宋体" w:hAnsi="宋体" w:cs="宋体"/>
                <w:color w:val="auto"/>
                <w:sz w:val="21"/>
                <w:szCs w:val="21"/>
              </w:rPr>
            </w:pPr>
            <w:r>
              <w:rPr>
                <w:rFonts w:hint="eastAsia" w:ascii="宋体" w:hAnsi="宋体" w:cs="宋体"/>
                <w:color w:val="auto"/>
                <w:sz w:val="21"/>
                <w:szCs w:val="21"/>
              </w:rPr>
              <w:t>10</w:t>
            </w:r>
          </w:p>
        </w:tc>
        <w:tc>
          <w:tcPr>
            <w:tcW w:w="2315" w:type="dxa"/>
            <w:tcBorders>
              <w:top w:val="single" w:color="auto" w:sz="4" w:space="0"/>
              <w:left w:val="single" w:color="auto" w:sz="4" w:space="0"/>
              <w:bottom w:val="single" w:color="auto" w:sz="4" w:space="0"/>
              <w:right w:val="single" w:color="auto" w:sz="4" w:space="0"/>
            </w:tcBorders>
            <w:vAlign w:val="center"/>
          </w:tcPr>
          <w:p w14:paraId="6274B6EE">
            <w:pPr>
              <w:spacing w:line="400" w:lineRule="exact"/>
              <w:jc w:val="center"/>
              <w:rPr>
                <w:rFonts w:ascii="宋体" w:hAnsi="宋体" w:cs="宋体"/>
                <w:color w:val="auto"/>
                <w:sz w:val="21"/>
                <w:szCs w:val="21"/>
              </w:rPr>
            </w:pPr>
            <w:r>
              <w:rPr>
                <w:rFonts w:hint="eastAsia" w:ascii="宋体" w:hAnsi="宋体" w:cs="宋体"/>
                <w:color w:val="auto"/>
                <w:sz w:val="21"/>
                <w:szCs w:val="21"/>
              </w:rPr>
              <w:t>询问</w:t>
            </w:r>
          </w:p>
        </w:tc>
        <w:tc>
          <w:tcPr>
            <w:tcW w:w="6254" w:type="dxa"/>
            <w:tcBorders>
              <w:top w:val="single" w:color="auto" w:sz="4" w:space="0"/>
              <w:left w:val="single" w:color="auto" w:sz="4" w:space="0"/>
              <w:bottom w:val="single" w:color="auto" w:sz="4" w:space="0"/>
              <w:right w:val="single" w:color="auto" w:sz="4" w:space="0"/>
            </w:tcBorders>
            <w:vAlign w:val="center"/>
          </w:tcPr>
          <w:p w14:paraId="386B23B6">
            <w:pPr>
              <w:spacing w:line="400" w:lineRule="exact"/>
              <w:jc w:val="left"/>
              <w:rPr>
                <w:rFonts w:ascii="宋体" w:hAnsi="宋体" w:cs="宋体"/>
                <w:color w:val="auto"/>
                <w:sz w:val="21"/>
                <w:szCs w:val="21"/>
              </w:rPr>
            </w:pPr>
            <w:r>
              <w:rPr>
                <w:rFonts w:hint="eastAsia" w:ascii="宋体" w:hAnsi="宋体" w:cs="宋体"/>
                <w:color w:val="auto"/>
                <w:sz w:val="21"/>
                <w:szCs w:val="21"/>
              </w:rPr>
              <w:t>10.1询问送达形式：对磋商文件需要进行澄清或有异议的投标供应商，均应在</w:t>
            </w:r>
            <w:r>
              <w:rPr>
                <w:rFonts w:hint="eastAsia" w:ascii="宋体" w:hAnsi="宋体" w:cs="宋体"/>
                <w:color w:val="auto"/>
                <w:sz w:val="21"/>
                <w:szCs w:val="21"/>
              </w:rPr>
              <w:t>2024年 11 月</w:t>
            </w:r>
            <w:r>
              <w:rPr>
                <w:rFonts w:hint="eastAsia" w:ascii="宋体" w:hAnsi="宋体" w:cs="宋体"/>
                <w:color w:val="auto"/>
                <w:sz w:val="21"/>
                <w:szCs w:val="21"/>
                <w:lang w:val="en-US" w:eastAsia="zh-CN"/>
              </w:rPr>
              <w:t>8</w:t>
            </w:r>
            <w:r>
              <w:rPr>
                <w:rFonts w:hint="eastAsia" w:ascii="宋体" w:hAnsi="宋体" w:cs="宋体"/>
                <w:color w:val="auto"/>
                <w:sz w:val="21"/>
                <w:szCs w:val="21"/>
              </w:rPr>
              <w:t>日上午11:30</w:t>
            </w:r>
            <w:r>
              <w:rPr>
                <w:rFonts w:hint="eastAsia" w:ascii="宋体" w:hAnsi="宋体" w:cs="宋体"/>
                <w:color w:val="auto"/>
                <w:sz w:val="21"/>
                <w:szCs w:val="21"/>
              </w:rPr>
              <w:t>前按采购公告中的通讯地址，以书面形式（加盖公章）提交采购代理机构，否则视为无效澄清或异议。</w:t>
            </w:r>
          </w:p>
          <w:p w14:paraId="1C929789">
            <w:pPr>
              <w:spacing w:line="400" w:lineRule="exact"/>
              <w:jc w:val="left"/>
              <w:rPr>
                <w:rFonts w:ascii="宋体" w:hAnsi="宋体" w:cs="宋体"/>
                <w:color w:val="auto"/>
                <w:sz w:val="21"/>
                <w:szCs w:val="21"/>
              </w:rPr>
            </w:pPr>
            <w:r>
              <w:rPr>
                <w:rFonts w:hint="eastAsia" w:ascii="宋体" w:hAnsi="宋体" w:cs="宋体"/>
                <w:color w:val="auto"/>
                <w:sz w:val="21"/>
                <w:szCs w:val="21"/>
              </w:rPr>
              <w:t>10.2接收询问的联系方式</w:t>
            </w:r>
          </w:p>
          <w:p w14:paraId="1056A27E">
            <w:pPr>
              <w:spacing w:line="400" w:lineRule="exact"/>
              <w:jc w:val="left"/>
              <w:rPr>
                <w:rFonts w:ascii="宋体" w:hAnsi="宋体" w:cs="宋体"/>
                <w:color w:val="auto"/>
                <w:sz w:val="21"/>
                <w:szCs w:val="21"/>
              </w:rPr>
            </w:pPr>
            <w:r>
              <w:rPr>
                <w:rFonts w:hint="eastAsia" w:ascii="宋体" w:hAnsi="宋体" w:cs="宋体"/>
                <w:color w:val="auto"/>
                <w:sz w:val="21"/>
                <w:szCs w:val="21"/>
              </w:rPr>
              <w:t>联系部门：江苏信达建设工程咨询有限公司招投标办公室；</w:t>
            </w:r>
          </w:p>
          <w:p w14:paraId="01935714">
            <w:pPr>
              <w:spacing w:line="400" w:lineRule="exact"/>
              <w:jc w:val="left"/>
              <w:rPr>
                <w:rFonts w:ascii="宋体" w:hAnsi="宋体" w:cs="宋体"/>
                <w:color w:val="auto"/>
                <w:sz w:val="21"/>
                <w:szCs w:val="21"/>
              </w:rPr>
            </w:pPr>
            <w:r>
              <w:rPr>
                <w:rFonts w:hint="eastAsia" w:ascii="宋体" w:hAnsi="宋体" w:cs="宋体"/>
                <w:color w:val="auto"/>
                <w:sz w:val="21"/>
                <w:szCs w:val="21"/>
              </w:rPr>
              <w:t>联系电话：0519-82798174；</w:t>
            </w:r>
          </w:p>
          <w:p w14:paraId="3D4626AB">
            <w:pPr>
              <w:spacing w:line="400" w:lineRule="exact"/>
              <w:jc w:val="left"/>
              <w:rPr>
                <w:rFonts w:ascii="宋体" w:hAnsi="宋体" w:cs="宋体"/>
                <w:color w:val="auto"/>
                <w:sz w:val="21"/>
                <w:szCs w:val="21"/>
              </w:rPr>
            </w:pPr>
            <w:r>
              <w:rPr>
                <w:rFonts w:hint="eastAsia" w:ascii="宋体" w:hAnsi="宋体" w:cs="宋体"/>
                <w:color w:val="auto"/>
                <w:sz w:val="21"/>
                <w:szCs w:val="21"/>
              </w:rPr>
              <w:t>通讯地址：常州市金坛区汇金路227号筑立方大厦9楼</w:t>
            </w:r>
          </w:p>
        </w:tc>
      </w:tr>
      <w:tr w14:paraId="23D08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8" w:type="dxa"/>
            <w:tcBorders>
              <w:top w:val="single" w:color="auto" w:sz="4" w:space="0"/>
              <w:left w:val="single" w:color="auto" w:sz="4" w:space="0"/>
              <w:bottom w:val="single" w:color="auto" w:sz="4" w:space="0"/>
              <w:right w:val="single" w:color="auto" w:sz="4" w:space="0"/>
            </w:tcBorders>
            <w:vAlign w:val="center"/>
          </w:tcPr>
          <w:p w14:paraId="1652B8E4">
            <w:pPr>
              <w:spacing w:line="400" w:lineRule="exact"/>
              <w:jc w:val="center"/>
              <w:rPr>
                <w:rFonts w:ascii="宋体" w:hAnsi="宋体" w:cs="宋体"/>
                <w:color w:val="auto"/>
                <w:sz w:val="21"/>
                <w:szCs w:val="21"/>
              </w:rPr>
            </w:pPr>
            <w:r>
              <w:rPr>
                <w:rFonts w:hint="eastAsia" w:ascii="宋体" w:hAnsi="宋体" w:cs="宋体"/>
                <w:color w:val="auto"/>
                <w:sz w:val="21"/>
                <w:szCs w:val="21"/>
              </w:rPr>
              <w:t>11</w:t>
            </w:r>
          </w:p>
        </w:tc>
        <w:tc>
          <w:tcPr>
            <w:tcW w:w="2315" w:type="dxa"/>
            <w:tcBorders>
              <w:top w:val="single" w:color="auto" w:sz="4" w:space="0"/>
              <w:left w:val="single" w:color="auto" w:sz="4" w:space="0"/>
              <w:bottom w:val="single" w:color="auto" w:sz="4" w:space="0"/>
              <w:right w:val="single" w:color="auto" w:sz="4" w:space="0"/>
            </w:tcBorders>
            <w:vAlign w:val="center"/>
          </w:tcPr>
          <w:p w14:paraId="562B3169">
            <w:pPr>
              <w:spacing w:line="400" w:lineRule="exact"/>
              <w:jc w:val="center"/>
              <w:rPr>
                <w:rFonts w:ascii="宋体" w:hAnsi="宋体" w:cs="宋体"/>
                <w:color w:val="auto"/>
                <w:sz w:val="21"/>
                <w:szCs w:val="21"/>
              </w:rPr>
            </w:pPr>
            <w:r>
              <w:rPr>
                <w:rFonts w:hint="eastAsia" w:ascii="宋体" w:hAnsi="宋体" w:cs="宋体"/>
                <w:color w:val="auto"/>
                <w:sz w:val="21"/>
                <w:szCs w:val="21"/>
              </w:rPr>
              <w:t>采购人对磋商文件澄清、修改时间</w:t>
            </w:r>
          </w:p>
        </w:tc>
        <w:tc>
          <w:tcPr>
            <w:tcW w:w="6254" w:type="dxa"/>
            <w:tcBorders>
              <w:top w:val="single" w:color="auto" w:sz="4" w:space="0"/>
              <w:left w:val="single" w:color="auto" w:sz="4" w:space="0"/>
              <w:bottom w:val="single" w:color="auto" w:sz="4" w:space="0"/>
              <w:right w:val="single" w:color="auto" w:sz="4" w:space="0"/>
            </w:tcBorders>
            <w:vAlign w:val="center"/>
          </w:tcPr>
          <w:p w14:paraId="420AC83B">
            <w:pPr>
              <w:pStyle w:val="24"/>
              <w:widowControl w:val="0"/>
              <w:adjustRightInd w:val="0"/>
              <w:snapToGrid w:val="0"/>
              <w:spacing w:before="0" w:beforeAutospacing="0" w:after="0" w:afterAutospacing="0" w:line="400" w:lineRule="exact"/>
              <w:jc w:val="center"/>
              <w:rPr>
                <w:rFonts w:ascii="宋体" w:hAnsi="宋体" w:eastAsia="宋体" w:cs="宋体"/>
                <w:color w:val="auto"/>
                <w:sz w:val="21"/>
                <w:szCs w:val="21"/>
              </w:rPr>
            </w:pPr>
            <w:r>
              <w:rPr>
                <w:rFonts w:hint="eastAsia" w:ascii="宋体" w:hAnsi="宋体" w:eastAsia="宋体" w:cs="宋体"/>
                <w:color w:val="auto"/>
                <w:sz w:val="21"/>
                <w:szCs w:val="21"/>
              </w:rPr>
              <w:t>2024年10月</w:t>
            </w:r>
            <w:r>
              <w:rPr>
                <w:rFonts w:hint="eastAsia" w:ascii="宋体" w:hAnsi="宋体" w:eastAsia="宋体" w:cs="宋体"/>
                <w:color w:val="auto"/>
                <w:sz w:val="21"/>
                <w:szCs w:val="21"/>
                <w:lang w:val="en-US" w:eastAsia="zh-CN"/>
              </w:rPr>
              <w:t>31</w:t>
            </w:r>
            <w:r>
              <w:rPr>
                <w:rFonts w:hint="eastAsia" w:ascii="宋体" w:hAnsi="宋体" w:eastAsia="宋体" w:cs="宋体"/>
                <w:color w:val="auto"/>
                <w:sz w:val="21"/>
                <w:szCs w:val="21"/>
              </w:rPr>
              <w:t>日</w:t>
            </w:r>
            <w:r>
              <w:rPr>
                <w:rFonts w:hint="eastAsia" w:ascii="宋体" w:hAnsi="宋体" w:eastAsia="宋体" w:cs="宋体"/>
                <w:color w:val="auto"/>
                <w:sz w:val="21"/>
                <w:szCs w:val="21"/>
              </w:rPr>
              <w:t>至响应文件接收截止之日5日前</w:t>
            </w:r>
          </w:p>
        </w:tc>
      </w:tr>
      <w:tr w14:paraId="14582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8" w:type="dxa"/>
            <w:tcBorders>
              <w:top w:val="single" w:color="auto" w:sz="4" w:space="0"/>
              <w:left w:val="single" w:color="auto" w:sz="4" w:space="0"/>
              <w:bottom w:val="single" w:color="auto" w:sz="4" w:space="0"/>
              <w:right w:val="single" w:color="auto" w:sz="4" w:space="0"/>
            </w:tcBorders>
            <w:vAlign w:val="center"/>
          </w:tcPr>
          <w:p w14:paraId="2D80144F">
            <w:pPr>
              <w:spacing w:line="400" w:lineRule="exact"/>
              <w:jc w:val="center"/>
              <w:rPr>
                <w:rFonts w:ascii="宋体" w:hAnsi="宋体" w:cs="宋体"/>
                <w:color w:val="auto"/>
                <w:sz w:val="21"/>
                <w:szCs w:val="21"/>
              </w:rPr>
            </w:pPr>
            <w:r>
              <w:rPr>
                <w:rFonts w:hint="eastAsia" w:ascii="宋体" w:hAnsi="宋体" w:cs="宋体"/>
                <w:color w:val="auto"/>
                <w:sz w:val="21"/>
                <w:szCs w:val="21"/>
              </w:rPr>
              <w:t>12</w:t>
            </w:r>
          </w:p>
        </w:tc>
        <w:tc>
          <w:tcPr>
            <w:tcW w:w="2315" w:type="dxa"/>
            <w:tcBorders>
              <w:top w:val="single" w:color="auto" w:sz="4" w:space="0"/>
              <w:left w:val="single" w:color="auto" w:sz="4" w:space="0"/>
              <w:bottom w:val="single" w:color="auto" w:sz="4" w:space="0"/>
              <w:right w:val="single" w:color="auto" w:sz="4" w:space="0"/>
            </w:tcBorders>
            <w:vAlign w:val="center"/>
          </w:tcPr>
          <w:p w14:paraId="2AEC4DAF">
            <w:pPr>
              <w:spacing w:line="400" w:lineRule="exact"/>
              <w:jc w:val="center"/>
              <w:rPr>
                <w:rFonts w:ascii="宋体" w:hAnsi="宋体" w:cs="宋体"/>
                <w:color w:val="auto"/>
                <w:sz w:val="21"/>
                <w:szCs w:val="21"/>
              </w:rPr>
            </w:pPr>
            <w:r>
              <w:rPr>
                <w:rFonts w:hint="eastAsia" w:ascii="宋体" w:hAnsi="宋体" w:cs="宋体"/>
                <w:color w:val="auto"/>
                <w:sz w:val="21"/>
                <w:szCs w:val="21"/>
              </w:rPr>
              <w:t>采购人对磋商文件澄清方式</w:t>
            </w:r>
          </w:p>
        </w:tc>
        <w:tc>
          <w:tcPr>
            <w:tcW w:w="6254" w:type="dxa"/>
            <w:tcBorders>
              <w:top w:val="single" w:color="auto" w:sz="4" w:space="0"/>
              <w:left w:val="single" w:color="auto" w:sz="4" w:space="0"/>
              <w:bottom w:val="single" w:color="auto" w:sz="4" w:space="0"/>
              <w:right w:val="single" w:color="auto" w:sz="4" w:space="0"/>
            </w:tcBorders>
            <w:vAlign w:val="center"/>
          </w:tcPr>
          <w:p w14:paraId="4FCDDAA3">
            <w:pPr>
              <w:spacing w:line="400" w:lineRule="exact"/>
              <w:jc w:val="center"/>
              <w:rPr>
                <w:rFonts w:ascii="宋体" w:hAnsi="宋体" w:cs="宋体"/>
                <w:color w:val="auto"/>
                <w:sz w:val="21"/>
                <w:szCs w:val="21"/>
              </w:rPr>
            </w:pPr>
            <w:r>
              <w:rPr>
                <w:rFonts w:hint="eastAsia" w:ascii="宋体" w:hAnsi="宋体" w:cs="宋体"/>
                <w:color w:val="auto"/>
                <w:sz w:val="21"/>
                <w:szCs w:val="21"/>
              </w:rPr>
              <w:t>邮件方式</w:t>
            </w:r>
          </w:p>
        </w:tc>
      </w:tr>
      <w:tr w14:paraId="1D4D8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8" w:type="dxa"/>
            <w:tcBorders>
              <w:top w:val="single" w:color="auto" w:sz="4" w:space="0"/>
              <w:left w:val="single" w:color="auto" w:sz="4" w:space="0"/>
              <w:bottom w:val="single" w:color="auto" w:sz="4" w:space="0"/>
              <w:right w:val="single" w:color="auto" w:sz="4" w:space="0"/>
            </w:tcBorders>
            <w:vAlign w:val="center"/>
          </w:tcPr>
          <w:p w14:paraId="216D9DB6">
            <w:pPr>
              <w:spacing w:line="400" w:lineRule="exact"/>
              <w:jc w:val="center"/>
              <w:rPr>
                <w:rFonts w:ascii="宋体" w:hAnsi="宋体" w:cs="宋体"/>
                <w:color w:val="auto"/>
                <w:sz w:val="21"/>
                <w:szCs w:val="21"/>
              </w:rPr>
            </w:pPr>
            <w:r>
              <w:rPr>
                <w:rFonts w:hint="eastAsia" w:ascii="宋体" w:hAnsi="宋体" w:cs="宋体"/>
                <w:color w:val="auto"/>
                <w:sz w:val="21"/>
                <w:szCs w:val="21"/>
              </w:rPr>
              <w:t>13</w:t>
            </w:r>
          </w:p>
        </w:tc>
        <w:tc>
          <w:tcPr>
            <w:tcW w:w="2315" w:type="dxa"/>
            <w:tcBorders>
              <w:top w:val="single" w:color="auto" w:sz="4" w:space="0"/>
              <w:left w:val="single" w:color="auto" w:sz="4" w:space="0"/>
              <w:bottom w:val="single" w:color="auto" w:sz="4" w:space="0"/>
              <w:right w:val="single" w:color="auto" w:sz="4" w:space="0"/>
            </w:tcBorders>
            <w:vAlign w:val="center"/>
          </w:tcPr>
          <w:p w14:paraId="39EFE07A">
            <w:pPr>
              <w:spacing w:line="400" w:lineRule="exact"/>
              <w:jc w:val="center"/>
              <w:rPr>
                <w:rFonts w:ascii="宋体" w:hAnsi="宋体" w:cs="宋体"/>
                <w:color w:val="auto"/>
                <w:sz w:val="21"/>
                <w:szCs w:val="21"/>
              </w:rPr>
            </w:pPr>
            <w:r>
              <w:rPr>
                <w:rFonts w:hint="eastAsia" w:ascii="宋体" w:hAnsi="宋体" w:cs="宋体"/>
                <w:color w:val="auto"/>
                <w:sz w:val="21"/>
                <w:szCs w:val="21"/>
              </w:rPr>
              <w:t>响应文件递交方式</w:t>
            </w:r>
          </w:p>
        </w:tc>
        <w:tc>
          <w:tcPr>
            <w:tcW w:w="6254" w:type="dxa"/>
            <w:tcBorders>
              <w:top w:val="single" w:color="auto" w:sz="4" w:space="0"/>
              <w:left w:val="single" w:color="auto" w:sz="4" w:space="0"/>
              <w:bottom w:val="single" w:color="auto" w:sz="4" w:space="0"/>
              <w:right w:val="single" w:color="auto" w:sz="4" w:space="0"/>
            </w:tcBorders>
            <w:vAlign w:val="center"/>
          </w:tcPr>
          <w:p w14:paraId="0F7F1C66">
            <w:pPr>
              <w:pStyle w:val="24"/>
              <w:widowControl w:val="0"/>
              <w:snapToGrid w:val="0"/>
              <w:spacing w:before="0" w:beforeAutospacing="0" w:after="0" w:afterAutospacing="0" w:line="400" w:lineRule="exact"/>
              <w:jc w:val="both"/>
              <w:rPr>
                <w:rFonts w:ascii="宋体" w:hAnsi="宋体" w:eastAsia="宋体" w:cs="宋体"/>
                <w:color w:val="auto"/>
                <w:sz w:val="21"/>
                <w:szCs w:val="21"/>
              </w:rPr>
            </w:pPr>
            <w:r>
              <w:rPr>
                <w:rFonts w:hint="eastAsia" w:ascii="宋体" w:hAnsi="宋体" w:eastAsia="宋体" w:cs="宋体"/>
                <w:color w:val="auto"/>
                <w:kern w:val="20"/>
                <w:sz w:val="21"/>
                <w:szCs w:val="21"/>
              </w:rPr>
              <w:t>*本项目采用线下磋商，请符合磋商条件的响应人携带规定的材料于磋商开始前到磋商地点，进行磋商。</w:t>
            </w:r>
            <w:r>
              <w:rPr>
                <w:rFonts w:hint="eastAsia" w:ascii="宋体" w:hAnsi="宋体" w:eastAsia="宋体" w:cs="宋体"/>
                <w:color w:val="auto"/>
                <w:sz w:val="21"/>
                <w:szCs w:val="21"/>
              </w:rPr>
              <w:t>除上述方式之外，不接受响应人以邮箱、快递及其他任何方式提交的响应文件。</w:t>
            </w:r>
          </w:p>
        </w:tc>
      </w:tr>
      <w:tr w14:paraId="27863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8" w:type="dxa"/>
            <w:tcBorders>
              <w:top w:val="single" w:color="auto" w:sz="4" w:space="0"/>
              <w:left w:val="single" w:color="auto" w:sz="4" w:space="0"/>
              <w:bottom w:val="single" w:color="auto" w:sz="4" w:space="0"/>
              <w:right w:val="single" w:color="auto" w:sz="4" w:space="0"/>
            </w:tcBorders>
            <w:vAlign w:val="center"/>
          </w:tcPr>
          <w:p w14:paraId="7C26D66B">
            <w:pPr>
              <w:spacing w:line="400" w:lineRule="exact"/>
              <w:jc w:val="center"/>
              <w:rPr>
                <w:rFonts w:ascii="宋体" w:hAnsi="宋体" w:cs="宋体"/>
                <w:color w:val="auto"/>
                <w:sz w:val="21"/>
                <w:szCs w:val="21"/>
              </w:rPr>
            </w:pPr>
            <w:r>
              <w:rPr>
                <w:rFonts w:hint="eastAsia" w:ascii="宋体" w:hAnsi="宋体" w:cs="宋体"/>
                <w:color w:val="auto"/>
                <w:sz w:val="21"/>
                <w:szCs w:val="21"/>
              </w:rPr>
              <w:t>14</w:t>
            </w:r>
          </w:p>
        </w:tc>
        <w:tc>
          <w:tcPr>
            <w:tcW w:w="2315" w:type="dxa"/>
            <w:tcBorders>
              <w:top w:val="single" w:color="auto" w:sz="4" w:space="0"/>
              <w:left w:val="single" w:color="auto" w:sz="4" w:space="0"/>
              <w:bottom w:val="single" w:color="auto" w:sz="4" w:space="0"/>
              <w:right w:val="single" w:color="auto" w:sz="4" w:space="0"/>
            </w:tcBorders>
            <w:vAlign w:val="center"/>
          </w:tcPr>
          <w:p w14:paraId="4C0BFC23">
            <w:pPr>
              <w:spacing w:line="400" w:lineRule="exact"/>
              <w:jc w:val="center"/>
              <w:rPr>
                <w:rFonts w:ascii="宋体" w:hAnsi="宋体" w:cs="宋体"/>
                <w:color w:val="auto"/>
                <w:sz w:val="21"/>
                <w:szCs w:val="21"/>
              </w:rPr>
            </w:pPr>
            <w:r>
              <w:rPr>
                <w:rFonts w:hint="eastAsia" w:ascii="宋体" w:hAnsi="宋体" w:cs="宋体"/>
                <w:color w:val="auto"/>
                <w:sz w:val="21"/>
                <w:szCs w:val="21"/>
              </w:rPr>
              <w:t>响应文件份数</w:t>
            </w:r>
          </w:p>
          <w:p w14:paraId="4E7D931E">
            <w:pPr>
              <w:spacing w:line="400" w:lineRule="exact"/>
              <w:jc w:val="center"/>
              <w:rPr>
                <w:rFonts w:ascii="宋体" w:hAnsi="宋体" w:cs="宋体"/>
                <w:color w:val="auto"/>
                <w:sz w:val="21"/>
                <w:szCs w:val="21"/>
              </w:rPr>
            </w:pPr>
          </w:p>
        </w:tc>
        <w:tc>
          <w:tcPr>
            <w:tcW w:w="6254" w:type="dxa"/>
            <w:tcBorders>
              <w:top w:val="single" w:color="auto" w:sz="4" w:space="0"/>
              <w:left w:val="single" w:color="auto" w:sz="4" w:space="0"/>
              <w:bottom w:val="single" w:color="auto" w:sz="4" w:space="0"/>
              <w:right w:val="single" w:color="auto" w:sz="4" w:space="0"/>
            </w:tcBorders>
            <w:vAlign w:val="center"/>
          </w:tcPr>
          <w:p w14:paraId="72DB1AD0">
            <w:pPr>
              <w:spacing w:line="400" w:lineRule="exact"/>
              <w:rPr>
                <w:rFonts w:ascii="宋体" w:hAnsi="宋体" w:cs="宋体"/>
                <w:color w:val="auto"/>
                <w:sz w:val="21"/>
                <w:szCs w:val="21"/>
              </w:rPr>
            </w:pPr>
            <w:r>
              <w:rPr>
                <w:rFonts w:hint="eastAsia" w:ascii="宋体" w:hAnsi="宋体" w:cs="宋体"/>
                <w:color w:val="auto"/>
                <w:sz w:val="21"/>
                <w:szCs w:val="21"/>
              </w:rPr>
              <w:t>*14.1响应文件一</w:t>
            </w:r>
            <w:r>
              <w:rPr>
                <w:rFonts w:hint="eastAsia" w:ascii="宋体" w:hAnsi="宋体" w:cs="宋体"/>
                <w:b/>
                <w:bCs/>
                <w:color w:val="auto"/>
                <w:sz w:val="21"/>
                <w:szCs w:val="21"/>
              </w:rPr>
              <w:t>式三份，一份正本、二份副本</w:t>
            </w:r>
            <w:r>
              <w:rPr>
                <w:rFonts w:hint="eastAsia" w:ascii="宋体" w:hAnsi="宋体" w:cs="宋体"/>
                <w:color w:val="auto"/>
                <w:sz w:val="21"/>
                <w:szCs w:val="21"/>
              </w:rPr>
              <w:t>；正本和副本必须分开装订，用封套分别加以密封。</w:t>
            </w:r>
          </w:p>
          <w:p w14:paraId="751F2202">
            <w:pPr>
              <w:spacing w:line="400" w:lineRule="exact"/>
              <w:rPr>
                <w:rFonts w:ascii="宋体" w:hAnsi="宋体" w:cs="宋体"/>
                <w:color w:val="auto"/>
                <w:sz w:val="21"/>
                <w:szCs w:val="21"/>
              </w:rPr>
            </w:pPr>
            <w:r>
              <w:rPr>
                <w:rFonts w:hint="eastAsia" w:ascii="宋体" w:hAnsi="宋体" w:cs="宋体"/>
                <w:color w:val="auto"/>
                <w:sz w:val="21"/>
                <w:szCs w:val="21"/>
              </w:rPr>
              <w:t>14.2响应文件的装订必须采用胶装或线装两种方式之一，不得采用活页装订等方式，否则，其响应将被拒绝。</w:t>
            </w:r>
          </w:p>
          <w:p w14:paraId="47E082D8">
            <w:pPr>
              <w:spacing w:line="400" w:lineRule="exact"/>
              <w:rPr>
                <w:rFonts w:ascii="宋体" w:hAnsi="宋体" w:cs="宋体"/>
                <w:color w:val="auto"/>
                <w:sz w:val="21"/>
                <w:szCs w:val="21"/>
              </w:rPr>
            </w:pPr>
            <w:r>
              <w:rPr>
                <w:rFonts w:hint="eastAsia" w:ascii="宋体" w:hAnsi="宋体" w:cs="宋体"/>
                <w:color w:val="auto"/>
                <w:sz w:val="21"/>
                <w:szCs w:val="21"/>
              </w:rPr>
              <w:t>注：以上材料未按要求提供的，资料不全或不符合要求的作无效报价文件处理。</w:t>
            </w:r>
          </w:p>
        </w:tc>
      </w:tr>
      <w:tr w14:paraId="1A0B8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8" w:type="dxa"/>
            <w:tcBorders>
              <w:top w:val="single" w:color="auto" w:sz="4" w:space="0"/>
              <w:left w:val="single" w:color="auto" w:sz="4" w:space="0"/>
              <w:bottom w:val="single" w:color="auto" w:sz="4" w:space="0"/>
              <w:right w:val="single" w:color="auto" w:sz="4" w:space="0"/>
            </w:tcBorders>
            <w:vAlign w:val="center"/>
          </w:tcPr>
          <w:p w14:paraId="20764E4C">
            <w:pPr>
              <w:spacing w:line="400" w:lineRule="exact"/>
              <w:jc w:val="center"/>
              <w:rPr>
                <w:rFonts w:ascii="宋体" w:hAnsi="宋体" w:cs="宋体"/>
                <w:color w:val="auto"/>
                <w:sz w:val="21"/>
                <w:szCs w:val="21"/>
              </w:rPr>
            </w:pPr>
            <w:r>
              <w:rPr>
                <w:rFonts w:hint="eastAsia" w:ascii="宋体" w:hAnsi="宋体" w:cs="宋体"/>
                <w:color w:val="auto"/>
                <w:sz w:val="21"/>
                <w:szCs w:val="21"/>
              </w:rPr>
              <w:t>15</w:t>
            </w:r>
          </w:p>
        </w:tc>
        <w:tc>
          <w:tcPr>
            <w:tcW w:w="2315" w:type="dxa"/>
            <w:tcBorders>
              <w:top w:val="single" w:color="auto" w:sz="4" w:space="0"/>
              <w:left w:val="single" w:color="auto" w:sz="4" w:space="0"/>
              <w:bottom w:val="single" w:color="auto" w:sz="4" w:space="0"/>
              <w:right w:val="single" w:color="auto" w:sz="4" w:space="0"/>
            </w:tcBorders>
            <w:vAlign w:val="center"/>
          </w:tcPr>
          <w:p w14:paraId="4AE35889">
            <w:pPr>
              <w:snapToGrid w:val="0"/>
              <w:spacing w:line="400" w:lineRule="exact"/>
              <w:jc w:val="center"/>
              <w:rPr>
                <w:rFonts w:ascii="宋体" w:hAnsi="宋体" w:cs="宋体"/>
                <w:color w:val="auto"/>
                <w:sz w:val="21"/>
                <w:szCs w:val="21"/>
              </w:rPr>
            </w:pPr>
            <w:r>
              <w:rPr>
                <w:rFonts w:hint="eastAsia" w:ascii="宋体" w:hAnsi="宋体" w:cs="宋体"/>
                <w:color w:val="auto"/>
                <w:sz w:val="21"/>
                <w:szCs w:val="21"/>
              </w:rPr>
              <w:t>是否允许响应人将项目非主体、非关键性工作交由他人完成</w:t>
            </w:r>
          </w:p>
        </w:tc>
        <w:tc>
          <w:tcPr>
            <w:tcW w:w="6254" w:type="dxa"/>
            <w:tcBorders>
              <w:top w:val="single" w:color="auto" w:sz="4" w:space="0"/>
              <w:left w:val="single" w:color="auto" w:sz="4" w:space="0"/>
              <w:bottom w:val="single" w:color="auto" w:sz="4" w:space="0"/>
              <w:right w:val="single" w:color="auto" w:sz="4" w:space="0"/>
            </w:tcBorders>
            <w:vAlign w:val="center"/>
          </w:tcPr>
          <w:p w14:paraId="11D5E97C">
            <w:pPr>
              <w:snapToGrid w:val="0"/>
              <w:spacing w:line="400" w:lineRule="exact"/>
              <w:jc w:val="left"/>
              <w:rPr>
                <w:rFonts w:ascii="宋体" w:hAnsi="宋体" w:cs="宋体"/>
                <w:color w:val="auto"/>
                <w:kern w:val="20"/>
                <w:sz w:val="21"/>
                <w:szCs w:val="21"/>
                <w:u w:val="single"/>
              </w:rPr>
            </w:pPr>
            <w:r>
              <w:rPr>
                <w:rFonts w:hint="eastAsia" w:ascii="宋体" w:hAnsi="宋体" w:cs="宋体"/>
                <w:color w:val="auto"/>
                <w:sz w:val="21"/>
                <w:szCs w:val="21"/>
              </w:rPr>
              <w:t>否</w:t>
            </w:r>
          </w:p>
        </w:tc>
      </w:tr>
      <w:tr w14:paraId="1EB29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8" w:type="dxa"/>
            <w:tcBorders>
              <w:top w:val="single" w:color="auto" w:sz="4" w:space="0"/>
              <w:left w:val="single" w:color="auto" w:sz="4" w:space="0"/>
              <w:bottom w:val="single" w:color="auto" w:sz="4" w:space="0"/>
              <w:right w:val="single" w:color="auto" w:sz="4" w:space="0"/>
            </w:tcBorders>
            <w:vAlign w:val="center"/>
          </w:tcPr>
          <w:p w14:paraId="3BE2D109">
            <w:pPr>
              <w:spacing w:line="400" w:lineRule="exact"/>
              <w:jc w:val="center"/>
              <w:rPr>
                <w:rFonts w:ascii="宋体" w:hAnsi="宋体" w:cs="宋体"/>
                <w:color w:val="auto"/>
                <w:sz w:val="21"/>
                <w:szCs w:val="21"/>
              </w:rPr>
            </w:pPr>
            <w:r>
              <w:rPr>
                <w:rFonts w:hint="eastAsia" w:ascii="宋体" w:hAnsi="宋体" w:cs="宋体"/>
                <w:color w:val="auto"/>
                <w:sz w:val="21"/>
                <w:szCs w:val="21"/>
              </w:rPr>
              <w:t>16</w:t>
            </w:r>
          </w:p>
        </w:tc>
        <w:tc>
          <w:tcPr>
            <w:tcW w:w="2315" w:type="dxa"/>
            <w:tcBorders>
              <w:top w:val="single" w:color="auto" w:sz="4" w:space="0"/>
              <w:left w:val="single" w:color="auto" w:sz="4" w:space="0"/>
              <w:bottom w:val="single" w:color="auto" w:sz="4" w:space="0"/>
              <w:right w:val="single" w:color="auto" w:sz="4" w:space="0"/>
            </w:tcBorders>
            <w:vAlign w:val="center"/>
          </w:tcPr>
          <w:p w14:paraId="5FEED33F">
            <w:pPr>
              <w:snapToGrid w:val="0"/>
              <w:spacing w:line="40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磋商报价次数</w:t>
            </w:r>
          </w:p>
        </w:tc>
        <w:tc>
          <w:tcPr>
            <w:tcW w:w="6254" w:type="dxa"/>
            <w:tcBorders>
              <w:top w:val="single" w:color="auto" w:sz="4" w:space="0"/>
              <w:left w:val="single" w:color="auto" w:sz="4" w:space="0"/>
              <w:bottom w:val="single" w:color="auto" w:sz="4" w:space="0"/>
              <w:right w:val="single" w:color="auto" w:sz="4" w:space="0"/>
            </w:tcBorders>
            <w:vAlign w:val="center"/>
          </w:tcPr>
          <w:p w14:paraId="062536B2">
            <w:pPr>
              <w:snapToGrid w:val="0"/>
              <w:spacing w:line="400" w:lineRule="exact"/>
              <w:rPr>
                <w:rFonts w:ascii="宋体" w:hAnsi="宋体" w:cs="宋体"/>
                <w:color w:val="auto"/>
                <w:sz w:val="21"/>
                <w:szCs w:val="21"/>
                <w:highlight w:val="none"/>
              </w:rPr>
            </w:pPr>
            <w:r>
              <w:rPr>
                <w:rFonts w:hint="eastAsia" w:ascii="宋体" w:hAnsi="宋体" w:cs="宋体"/>
                <w:color w:val="auto"/>
                <w:sz w:val="21"/>
                <w:szCs w:val="21"/>
                <w:highlight w:val="none"/>
              </w:rPr>
              <w:t>*本项目采用</w:t>
            </w:r>
            <w:r>
              <w:rPr>
                <w:rFonts w:hint="eastAsia" w:ascii="宋体" w:hAnsi="宋体" w:cs="宋体"/>
                <w:b/>
                <w:bCs/>
                <w:color w:val="auto"/>
                <w:sz w:val="21"/>
                <w:szCs w:val="21"/>
                <w:highlight w:val="none"/>
              </w:rPr>
              <w:t>一轮报价</w:t>
            </w:r>
            <w:r>
              <w:rPr>
                <w:rFonts w:hint="eastAsia" w:ascii="宋体" w:hAnsi="宋体" w:cs="宋体"/>
                <w:color w:val="auto"/>
                <w:sz w:val="21"/>
                <w:szCs w:val="21"/>
                <w:highlight w:val="none"/>
              </w:rPr>
              <w:t>，响应文件中书面报价即为最终报价。</w:t>
            </w:r>
          </w:p>
        </w:tc>
      </w:tr>
      <w:tr w14:paraId="2364A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8" w:type="dxa"/>
            <w:tcBorders>
              <w:top w:val="single" w:color="auto" w:sz="4" w:space="0"/>
              <w:left w:val="single" w:color="auto" w:sz="4" w:space="0"/>
              <w:bottom w:val="single" w:color="auto" w:sz="4" w:space="0"/>
              <w:right w:val="single" w:color="auto" w:sz="4" w:space="0"/>
            </w:tcBorders>
            <w:vAlign w:val="center"/>
          </w:tcPr>
          <w:p w14:paraId="73DF4F99">
            <w:pPr>
              <w:spacing w:line="400" w:lineRule="exact"/>
              <w:jc w:val="center"/>
              <w:rPr>
                <w:rFonts w:ascii="宋体" w:hAnsi="宋体" w:cs="宋体"/>
                <w:color w:val="auto"/>
                <w:sz w:val="21"/>
                <w:szCs w:val="21"/>
              </w:rPr>
            </w:pPr>
            <w:r>
              <w:rPr>
                <w:rFonts w:hint="eastAsia" w:ascii="宋体" w:hAnsi="宋体" w:cs="宋体"/>
                <w:color w:val="auto"/>
                <w:sz w:val="21"/>
                <w:szCs w:val="21"/>
              </w:rPr>
              <w:t>17</w:t>
            </w:r>
          </w:p>
        </w:tc>
        <w:tc>
          <w:tcPr>
            <w:tcW w:w="2315" w:type="dxa"/>
            <w:tcBorders>
              <w:top w:val="single" w:color="auto" w:sz="4" w:space="0"/>
              <w:left w:val="single" w:color="auto" w:sz="4" w:space="0"/>
              <w:bottom w:val="single" w:color="auto" w:sz="4" w:space="0"/>
              <w:right w:val="single" w:color="auto" w:sz="4" w:space="0"/>
            </w:tcBorders>
            <w:vAlign w:val="center"/>
          </w:tcPr>
          <w:p w14:paraId="656E973C">
            <w:pPr>
              <w:spacing w:line="400" w:lineRule="exact"/>
              <w:jc w:val="center"/>
              <w:rPr>
                <w:rFonts w:ascii="宋体" w:hAnsi="宋体" w:cs="宋体"/>
                <w:color w:val="auto"/>
                <w:kern w:val="0"/>
                <w:sz w:val="21"/>
                <w:szCs w:val="21"/>
              </w:rPr>
            </w:pPr>
            <w:r>
              <w:rPr>
                <w:rFonts w:hint="eastAsia" w:ascii="宋体" w:hAnsi="宋体" w:cs="宋体"/>
                <w:color w:val="auto"/>
                <w:sz w:val="21"/>
                <w:szCs w:val="21"/>
              </w:rPr>
              <w:t>响应有效期</w:t>
            </w:r>
          </w:p>
        </w:tc>
        <w:tc>
          <w:tcPr>
            <w:tcW w:w="6254" w:type="dxa"/>
            <w:tcBorders>
              <w:top w:val="single" w:color="auto" w:sz="4" w:space="0"/>
              <w:left w:val="single" w:color="auto" w:sz="4" w:space="0"/>
              <w:bottom w:val="single" w:color="auto" w:sz="4" w:space="0"/>
              <w:right w:val="single" w:color="auto" w:sz="4" w:space="0"/>
            </w:tcBorders>
            <w:vAlign w:val="center"/>
          </w:tcPr>
          <w:p w14:paraId="60860578">
            <w:pPr>
              <w:spacing w:line="400" w:lineRule="exact"/>
              <w:rPr>
                <w:rFonts w:ascii="宋体" w:hAnsi="宋体" w:cs="宋体"/>
                <w:color w:val="auto"/>
                <w:sz w:val="21"/>
                <w:szCs w:val="21"/>
              </w:rPr>
            </w:pPr>
            <w:r>
              <w:rPr>
                <w:rFonts w:hint="eastAsia" w:ascii="宋体" w:hAnsi="宋体" w:cs="宋体"/>
                <w:color w:val="auto"/>
                <w:sz w:val="21"/>
                <w:szCs w:val="21"/>
              </w:rPr>
              <w:t>120日历天（有效期从提交响应文件的截止之日起算，有效期短于该规定期限的磋商无效）</w:t>
            </w:r>
          </w:p>
        </w:tc>
      </w:tr>
      <w:tr w14:paraId="01F7F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8" w:type="dxa"/>
            <w:tcBorders>
              <w:top w:val="single" w:color="auto" w:sz="4" w:space="0"/>
              <w:left w:val="single" w:color="auto" w:sz="4" w:space="0"/>
              <w:bottom w:val="single" w:color="auto" w:sz="4" w:space="0"/>
              <w:right w:val="single" w:color="auto" w:sz="4" w:space="0"/>
            </w:tcBorders>
            <w:vAlign w:val="center"/>
          </w:tcPr>
          <w:p w14:paraId="0BCB01A4">
            <w:pPr>
              <w:spacing w:line="400" w:lineRule="exact"/>
              <w:jc w:val="center"/>
              <w:rPr>
                <w:rFonts w:ascii="宋体" w:hAnsi="宋体" w:cs="宋体"/>
                <w:color w:val="auto"/>
                <w:sz w:val="21"/>
                <w:szCs w:val="21"/>
              </w:rPr>
            </w:pPr>
            <w:r>
              <w:rPr>
                <w:rFonts w:hint="eastAsia" w:ascii="宋体" w:hAnsi="宋体" w:cs="宋体"/>
                <w:color w:val="auto"/>
                <w:sz w:val="21"/>
                <w:szCs w:val="21"/>
              </w:rPr>
              <w:t>18</w:t>
            </w:r>
          </w:p>
        </w:tc>
        <w:tc>
          <w:tcPr>
            <w:tcW w:w="2315" w:type="dxa"/>
            <w:tcBorders>
              <w:top w:val="single" w:color="auto" w:sz="4" w:space="0"/>
              <w:left w:val="single" w:color="auto" w:sz="4" w:space="0"/>
              <w:bottom w:val="single" w:color="auto" w:sz="4" w:space="0"/>
              <w:right w:val="single" w:color="auto" w:sz="4" w:space="0"/>
            </w:tcBorders>
            <w:vAlign w:val="center"/>
          </w:tcPr>
          <w:p w14:paraId="4332E907">
            <w:pPr>
              <w:snapToGrid w:val="0"/>
              <w:spacing w:line="400" w:lineRule="exact"/>
              <w:jc w:val="center"/>
              <w:rPr>
                <w:rFonts w:ascii="宋体" w:hAnsi="宋体" w:cs="宋体"/>
                <w:color w:val="auto"/>
                <w:sz w:val="21"/>
                <w:szCs w:val="21"/>
              </w:rPr>
            </w:pPr>
            <w:r>
              <w:rPr>
                <w:rFonts w:hint="eastAsia" w:ascii="宋体" w:hAnsi="宋体" w:cs="宋体"/>
                <w:color w:val="auto"/>
                <w:sz w:val="21"/>
                <w:szCs w:val="21"/>
              </w:rPr>
              <w:t>履约保证金</w:t>
            </w:r>
          </w:p>
        </w:tc>
        <w:tc>
          <w:tcPr>
            <w:tcW w:w="6254" w:type="dxa"/>
            <w:tcBorders>
              <w:top w:val="single" w:color="auto" w:sz="4" w:space="0"/>
              <w:left w:val="single" w:color="auto" w:sz="4" w:space="0"/>
              <w:bottom w:val="single" w:color="auto" w:sz="4" w:space="0"/>
              <w:right w:val="single" w:color="auto" w:sz="4" w:space="0"/>
            </w:tcBorders>
            <w:vAlign w:val="center"/>
          </w:tcPr>
          <w:p w14:paraId="02E8B895">
            <w:pPr>
              <w:snapToGrid w:val="0"/>
              <w:spacing w:line="400" w:lineRule="exact"/>
              <w:rPr>
                <w:rFonts w:ascii="宋体" w:hAnsi="宋体" w:cs="宋体"/>
                <w:color w:val="auto"/>
                <w:sz w:val="21"/>
                <w:szCs w:val="21"/>
              </w:rPr>
            </w:pPr>
            <w:r>
              <w:rPr>
                <w:rFonts w:hint="eastAsia" w:ascii="宋体" w:hAnsi="宋体" w:cs="宋体"/>
                <w:color w:val="auto"/>
                <w:sz w:val="21"/>
                <w:szCs w:val="21"/>
              </w:rPr>
              <w:t>免收</w:t>
            </w:r>
          </w:p>
        </w:tc>
      </w:tr>
      <w:tr w14:paraId="4721D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8" w:type="dxa"/>
            <w:tcBorders>
              <w:top w:val="single" w:color="auto" w:sz="4" w:space="0"/>
              <w:left w:val="single" w:color="auto" w:sz="4" w:space="0"/>
              <w:bottom w:val="single" w:color="auto" w:sz="4" w:space="0"/>
              <w:right w:val="single" w:color="auto" w:sz="4" w:space="0"/>
            </w:tcBorders>
            <w:vAlign w:val="center"/>
          </w:tcPr>
          <w:p w14:paraId="224AB45C">
            <w:pPr>
              <w:spacing w:line="400" w:lineRule="exact"/>
              <w:jc w:val="center"/>
              <w:rPr>
                <w:rFonts w:ascii="宋体" w:hAnsi="宋体" w:cs="宋体"/>
                <w:color w:val="auto"/>
                <w:sz w:val="21"/>
                <w:szCs w:val="21"/>
              </w:rPr>
            </w:pPr>
            <w:r>
              <w:rPr>
                <w:rFonts w:hint="eastAsia" w:ascii="宋体" w:hAnsi="宋体" w:cs="宋体"/>
                <w:color w:val="auto"/>
                <w:sz w:val="21"/>
                <w:szCs w:val="21"/>
              </w:rPr>
              <w:t>19</w:t>
            </w:r>
          </w:p>
        </w:tc>
        <w:tc>
          <w:tcPr>
            <w:tcW w:w="2315" w:type="dxa"/>
            <w:tcBorders>
              <w:top w:val="single" w:color="auto" w:sz="4" w:space="0"/>
              <w:left w:val="single" w:color="auto" w:sz="4" w:space="0"/>
              <w:bottom w:val="single" w:color="auto" w:sz="4" w:space="0"/>
              <w:right w:val="single" w:color="auto" w:sz="4" w:space="0"/>
            </w:tcBorders>
            <w:vAlign w:val="center"/>
          </w:tcPr>
          <w:p w14:paraId="6E353F94">
            <w:pPr>
              <w:snapToGrid w:val="0"/>
              <w:spacing w:line="400" w:lineRule="exact"/>
              <w:jc w:val="center"/>
              <w:rPr>
                <w:rFonts w:ascii="宋体" w:hAnsi="宋体" w:cs="宋体"/>
                <w:color w:val="auto"/>
                <w:sz w:val="21"/>
                <w:szCs w:val="21"/>
              </w:rPr>
            </w:pPr>
            <w:r>
              <w:rPr>
                <w:rFonts w:hint="eastAsia" w:ascii="宋体" w:hAnsi="宋体" w:cs="宋体"/>
                <w:color w:val="auto"/>
                <w:sz w:val="21"/>
                <w:szCs w:val="21"/>
              </w:rPr>
              <w:t>采购资金的支付方式、时间、条件</w:t>
            </w:r>
          </w:p>
        </w:tc>
        <w:tc>
          <w:tcPr>
            <w:tcW w:w="6254" w:type="dxa"/>
            <w:tcBorders>
              <w:top w:val="single" w:color="auto" w:sz="4" w:space="0"/>
              <w:left w:val="single" w:color="auto" w:sz="4" w:space="0"/>
              <w:bottom w:val="single" w:color="auto" w:sz="4" w:space="0"/>
              <w:right w:val="single" w:color="auto" w:sz="4" w:space="0"/>
            </w:tcBorders>
            <w:vAlign w:val="center"/>
          </w:tcPr>
          <w:p w14:paraId="662C4F98">
            <w:pPr>
              <w:snapToGrid w:val="0"/>
              <w:spacing w:line="400" w:lineRule="exact"/>
              <w:rPr>
                <w:rFonts w:ascii="宋体" w:hAnsi="宋体" w:cs="宋体"/>
                <w:color w:val="auto"/>
                <w:sz w:val="21"/>
                <w:szCs w:val="21"/>
              </w:rPr>
            </w:pPr>
            <w:r>
              <w:rPr>
                <w:rFonts w:hint="eastAsia" w:ascii="宋体" w:hAnsi="宋体" w:cs="宋体"/>
                <w:color w:val="auto"/>
                <w:sz w:val="21"/>
                <w:szCs w:val="21"/>
              </w:rPr>
              <w:t>详见采购合同</w:t>
            </w:r>
          </w:p>
        </w:tc>
      </w:tr>
      <w:tr w14:paraId="1ACCA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8" w:type="dxa"/>
            <w:tcBorders>
              <w:top w:val="single" w:color="auto" w:sz="4" w:space="0"/>
              <w:left w:val="single" w:color="auto" w:sz="4" w:space="0"/>
              <w:bottom w:val="single" w:color="auto" w:sz="4" w:space="0"/>
              <w:right w:val="single" w:color="auto" w:sz="4" w:space="0"/>
            </w:tcBorders>
            <w:vAlign w:val="center"/>
          </w:tcPr>
          <w:p w14:paraId="7CA2EAC3">
            <w:pPr>
              <w:spacing w:line="400" w:lineRule="exact"/>
              <w:jc w:val="center"/>
              <w:rPr>
                <w:rFonts w:ascii="宋体" w:hAnsi="宋体" w:cs="宋体"/>
                <w:color w:val="auto"/>
                <w:sz w:val="21"/>
                <w:szCs w:val="21"/>
              </w:rPr>
            </w:pPr>
            <w:r>
              <w:rPr>
                <w:rFonts w:hint="eastAsia" w:ascii="宋体" w:hAnsi="宋体" w:cs="宋体"/>
                <w:color w:val="auto"/>
                <w:sz w:val="21"/>
                <w:szCs w:val="21"/>
              </w:rPr>
              <w:t>20</w:t>
            </w:r>
          </w:p>
        </w:tc>
        <w:tc>
          <w:tcPr>
            <w:tcW w:w="2315" w:type="dxa"/>
            <w:tcBorders>
              <w:top w:val="single" w:color="auto" w:sz="4" w:space="0"/>
              <w:left w:val="single" w:color="auto" w:sz="4" w:space="0"/>
              <w:bottom w:val="single" w:color="auto" w:sz="4" w:space="0"/>
              <w:right w:val="single" w:color="auto" w:sz="4" w:space="0"/>
            </w:tcBorders>
            <w:vAlign w:val="center"/>
          </w:tcPr>
          <w:p w14:paraId="44AB28B2">
            <w:pPr>
              <w:snapToGrid w:val="0"/>
              <w:spacing w:line="400" w:lineRule="exact"/>
              <w:jc w:val="center"/>
              <w:rPr>
                <w:rFonts w:ascii="宋体" w:hAnsi="宋体" w:cs="宋体"/>
                <w:color w:val="auto"/>
                <w:sz w:val="21"/>
                <w:szCs w:val="21"/>
              </w:rPr>
            </w:pPr>
            <w:r>
              <w:rPr>
                <w:rFonts w:hint="eastAsia" w:ascii="宋体" w:hAnsi="宋体" w:cs="宋体"/>
                <w:color w:val="auto"/>
                <w:sz w:val="21"/>
                <w:szCs w:val="21"/>
              </w:rPr>
              <w:t>其他</w:t>
            </w:r>
          </w:p>
        </w:tc>
        <w:tc>
          <w:tcPr>
            <w:tcW w:w="6254" w:type="dxa"/>
            <w:tcBorders>
              <w:top w:val="single" w:color="auto" w:sz="4" w:space="0"/>
              <w:left w:val="single" w:color="auto" w:sz="4" w:space="0"/>
              <w:bottom w:val="single" w:color="auto" w:sz="4" w:space="0"/>
              <w:right w:val="single" w:color="auto" w:sz="4" w:space="0"/>
            </w:tcBorders>
            <w:vAlign w:val="center"/>
          </w:tcPr>
          <w:p w14:paraId="4F0DB6D0">
            <w:pPr>
              <w:spacing w:line="400" w:lineRule="exact"/>
              <w:jc w:val="left"/>
              <w:rPr>
                <w:rFonts w:ascii="宋体" w:hAnsi="宋体" w:cs="宋体"/>
                <w:color w:val="auto"/>
                <w:sz w:val="21"/>
                <w:szCs w:val="21"/>
              </w:rPr>
            </w:pPr>
            <w:r>
              <w:rPr>
                <w:rFonts w:hint="eastAsia" w:ascii="宋体" w:hAnsi="宋体" w:cs="宋体"/>
                <w:color w:val="auto"/>
                <w:sz w:val="21"/>
                <w:szCs w:val="21"/>
              </w:rPr>
              <w:t>1.响应人磋商前须自行现场踏勘，费用自理，充分考虑各种风险，一旦成交不得以不了解现场情况为由，提出增加费用的要求。</w:t>
            </w:r>
          </w:p>
          <w:p w14:paraId="15A11A00">
            <w:pPr>
              <w:spacing w:line="400" w:lineRule="exact"/>
              <w:jc w:val="left"/>
              <w:rPr>
                <w:rFonts w:ascii="宋体" w:hAnsi="宋体" w:cs="宋体"/>
                <w:color w:val="auto"/>
                <w:sz w:val="21"/>
                <w:szCs w:val="21"/>
              </w:rPr>
            </w:pPr>
            <w:r>
              <w:rPr>
                <w:rFonts w:hint="eastAsia" w:ascii="宋体" w:hAnsi="宋体" w:cs="宋体"/>
                <w:color w:val="auto"/>
                <w:sz w:val="21"/>
                <w:szCs w:val="21"/>
              </w:rPr>
              <w:t>2.响应人自行勘察现场。</w:t>
            </w:r>
          </w:p>
          <w:p w14:paraId="6237359B">
            <w:pPr>
              <w:spacing w:line="400" w:lineRule="exact"/>
              <w:jc w:val="left"/>
              <w:rPr>
                <w:rFonts w:ascii="宋体" w:hAnsi="宋体" w:cs="宋体"/>
                <w:color w:val="auto"/>
                <w:sz w:val="21"/>
                <w:szCs w:val="21"/>
              </w:rPr>
            </w:pPr>
            <w:r>
              <w:rPr>
                <w:rFonts w:hint="eastAsia" w:ascii="宋体" w:hAnsi="宋体" w:cs="宋体"/>
                <w:color w:val="auto"/>
                <w:sz w:val="21"/>
                <w:szCs w:val="21"/>
              </w:rPr>
              <w:t>3.本项目不公开报价。</w:t>
            </w:r>
          </w:p>
        </w:tc>
      </w:tr>
      <w:tr w14:paraId="52930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8" w:type="dxa"/>
            <w:tcBorders>
              <w:top w:val="single" w:color="auto" w:sz="4" w:space="0"/>
              <w:left w:val="single" w:color="auto" w:sz="4" w:space="0"/>
              <w:bottom w:val="single" w:color="auto" w:sz="4" w:space="0"/>
              <w:right w:val="single" w:color="auto" w:sz="4" w:space="0"/>
            </w:tcBorders>
            <w:vAlign w:val="center"/>
          </w:tcPr>
          <w:p w14:paraId="5EB8042D">
            <w:pPr>
              <w:spacing w:line="400" w:lineRule="exact"/>
              <w:jc w:val="center"/>
              <w:rPr>
                <w:rFonts w:ascii="宋体" w:hAnsi="宋体" w:cs="宋体"/>
                <w:color w:val="auto"/>
                <w:sz w:val="21"/>
                <w:szCs w:val="21"/>
              </w:rPr>
            </w:pPr>
            <w:r>
              <w:rPr>
                <w:rFonts w:hint="eastAsia" w:ascii="宋体" w:hAnsi="宋体" w:cs="宋体"/>
                <w:color w:val="auto"/>
                <w:sz w:val="21"/>
                <w:szCs w:val="21"/>
              </w:rPr>
              <w:t>21</w:t>
            </w:r>
          </w:p>
        </w:tc>
        <w:tc>
          <w:tcPr>
            <w:tcW w:w="2315" w:type="dxa"/>
            <w:tcBorders>
              <w:top w:val="single" w:color="auto" w:sz="4" w:space="0"/>
              <w:left w:val="single" w:color="auto" w:sz="4" w:space="0"/>
              <w:bottom w:val="single" w:color="auto" w:sz="4" w:space="0"/>
              <w:right w:val="single" w:color="auto" w:sz="4" w:space="0"/>
            </w:tcBorders>
            <w:vAlign w:val="center"/>
          </w:tcPr>
          <w:p w14:paraId="7935CB7A">
            <w:pPr>
              <w:spacing w:line="400" w:lineRule="exact"/>
              <w:jc w:val="center"/>
              <w:rPr>
                <w:rFonts w:ascii="宋体" w:hAnsi="宋体" w:cs="宋体"/>
                <w:color w:val="auto"/>
                <w:sz w:val="21"/>
                <w:szCs w:val="21"/>
              </w:rPr>
            </w:pPr>
            <w:r>
              <w:rPr>
                <w:rFonts w:hint="eastAsia" w:ascii="宋体" w:hAnsi="宋体" w:cs="宋体"/>
                <w:color w:val="auto"/>
                <w:sz w:val="21"/>
                <w:szCs w:val="21"/>
              </w:rPr>
              <w:t>代理服务费</w:t>
            </w:r>
          </w:p>
        </w:tc>
        <w:tc>
          <w:tcPr>
            <w:tcW w:w="6254" w:type="dxa"/>
            <w:tcBorders>
              <w:top w:val="single" w:color="auto" w:sz="4" w:space="0"/>
              <w:left w:val="single" w:color="auto" w:sz="4" w:space="0"/>
              <w:bottom w:val="single" w:color="auto" w:sz="4" w:space="0"/>
              <w:right w:val="single" w:color="auto" w:sz="4" w:space="0"/>
            </w:tcBorders>
            <w:vAlign w:val="center"/>
          </w:tcPr>
          <w:p w14:paraId="6017F304">
            <w:pPr>
              <w:spacing w:line="400" w:lineRule="exact"/>
              <w:jc w:val="left"/>
              <w:rPr>
                <w:rFonts w:ascii="宋体" w:hAnsi="宋体" w:cs="宋体"/>
                <w:color w:val="auto"/>
                <w:sz w:val="21"/>
                <w:szCs w:val="21"/>
              </w:rPr>
            </w:pPr>
            <w:r>
              <w:rPr>
                <w:rFonts w:hint="eastAsia" w:ascii="宋体" w:hAnsi="宋体" w:cs="宋体"/>
                <w:color w:val="auto"/>
                <w:sz w:val="21"/>
                <w:szCs w:val="21"/>
              </w:rPr>
              <w:t>本项目招标代理服务费3000元/</w:t>
            </w:r>
            <w:r>
              <w:rPr>
                <w:rFonts w:hint="eastAsia" w:ascii="宋体" w:hAnsi="宋体" w:cs="宋体"/>
                <w:color w:val="auto"/>
                <w:sz w:val="21"/>
                <w:szCs w:val="21"/>
                <w:lang w:val="en-US" w:eastAsia="zh-CN"/>
              </w:rPr>
              <w:t>成交供应商</w:t>
            </w:r>
            <w:r>
              <w:rPr>
                <w:rFonts w:hint="eastAsia" w:ascii="宋体" w:hAnsi="宋体" w:cs="宋体"/>
                <w:color w:val="auto"/>
                <w:sz w:val="21"/>
                <w:szCs w:val="21"/>
              </w:rPr>
              <w:t>，由各成交供应商领取中标通知书时一次性支付给采购代理单位，供应商在报价时需综合考虑在投标报价中。</w:t>
            </w:r>
          </w:p>
        </w:tc>
      </w:tr>
    </w:tbl>
    <w:p w14:paraId="25DAD95C">
      <w:pPr>
        <w:spacing w:line="400" w:lineRule="exact"/>
        <w:jc w:val="left"/>
        <w:rPr>
          <w:rFonts w:ascii="宋体" w:hAnsi="宋体" w:cs="宋体"/>
          <w:bCs/>
          <w:color w:val="auto"/>
          <w:sz w:val="21"/>
          <w:szCs w:val="21"/>
        </w:rPr>
      </w:pPr>
      <w:r>
        <w:rPr>
          <w:rFonts w:hint="eastAsia" w:ascii="宋体" w:hAnsi="宋体" w:cs="宋体"/>
          <w:bCs/>
          <w:color w:val="auto"/>
          <w:sz w:val="21"/>
          <w:szCs w:val="21"/>
        </w:rPr>
        <w:t>注：</w:t>
      </w:r>
    </w:p>
    <w:p w14:paraId="1CA1E1AF">
      <w:pPr>
        <w:spacing w:line="400" w:lineRule="exact"/>
        <w:jc w:val="left"/>
        <w:rPr>
          <w:rFonts w:ascii="宋体" w:hAnsi="宋体" w:cs="宋体"/>
          <w:bCs/>
          <w:color w:val="auto"/>
          <w:sz w:val="21"/>
          <w:szCs w:val="21"/>
        </w:rPr>
      </w:pPr>
      <w:r>
        <w:rPr>
          <w:rFonts w:hint="eastAsia" w:ascii="宋体" w:hAnsi="宋体" w:cs="宋体"/>
          <w:bCs/>
          <w:color w:val="auto"/>
          <w:sz w:val="21"/>
          <w:szCs w:val="21"/>
        </w:rPr>
        <w:t>1.上表中加 * 项目若有缺失或无效，磋商响应文件将被拒绝或磋商无效且不允许在开标后补正；</w:t>
      </w:r>
    </w:p>
    <w:p w14:paraId="7BEA1A6F">
      <w:pPr>
        <w:spacing w:line="400" w:lineRule="exact"/>
        <w:jc w:val="left"/>
        <w:rPr>
          <w:rFonts w:ascii="宋体" w:hAnsi="宋体" w:cs="宋体"/>
          <w:bCs/>
          <w:color w:val="auto"/>
          <w:sz w:val="21"/>
          <w:szCs w:val="21"/>
        </w:rPr>
      </w:pPr>
      <w:r>
        <w:rPr>
          <w:rFonts w:hint="eastAsia" w:ascii="宋体" w:hAnsi="宋体" w:cs="宋体"/>
          <w:bCs/>
          <w:color w:val="auto"/>
          <w:sz w:val="21"/>
          <w:szCs w:val="21"/>
        </w:rPr>
        <w:t>2.响应人须知前附表内容如与磋商文件其他部分不一致，以响应人须知前附表为准。</w:t>
      </w:r>
    </w:p>
    <w:p w14:paraId="547C7E5E">
      <w:pPr>
        <w:spacing w:line="400" w:lineRule="exact"/>
        <w:jc w:val="left"/>
        <w:rPr>
          <w:rFonts w:ascii="宋体" w:hAnsi="宋体" w:cs="宋体"/>
          <w:bCs/>
          <w:color w:val="auto"/>
          <w:sz w:val="21"/>
          <w:szCs w:val="21"/>
        </w:rPr>
      </w:pPr>
      <w:r>
        <w:rPr>
          <w:rFonts w:hint="eastAsia" w:ascii="宋体" w:hAnsi="宋体" w:cs="宋体"/>
          <w:bCs/>
          <w:color w:val="auto"/>
          <w:sz w:val="21"/>
          <w:szCs w:val="21"/>
        </w:rPr>
        <w:br w:type="page"/>
      </w:r>
    </w:p>
    <w:p w14:paraId="6B88767F">
      <w:pPr>
        <w:keepNext/>
        <w:spacing w:line="400" w:lineRule="exact"/>
        <w:jc w:val="center"/>
        <w:outlineLvl w:val="0"/>
        <w:rPr>
          <w:rFonts w:ascii="宋体" w:hAnsi="宋体" w:cs="宋体"/>
          <w:color w:val="auto"/>
          <w:szCs w:val="28"/>
        </w:rPr>
      </w:pPr>
      <w:r>
        <w:rPr>
          <w:rFonts w:hint="eastAsia" w:ascii="宋体" w:hAnsi="宋体" w:cs="宋体"/>
          <w:b/>
          <w:bCs/>
          <w:color w:val="auto"/>
          <w:szCs w:val="28"/>
        </w:rPr>
        <w:t>第三部分  响应人须知</w:t>
      </w:r>
    </w:p>
    <w:p w14:paraId="0A312ED4">
      <w:pPr>
        <w:spacing w:line="360" w:lineRule="auto"/>
        <w:rPr>
          <w:rFonts w:ascii="宋体" w:hAnsi="宋体" w:cs="宋体"/>
          <w:bCs/>
          <w:color w:val="auto"/>
          <w:sz w:val="21"/>
          <w:szCs w:val="21"/>
        </w:rPr>
      </w:pPr>
      <w:r>
        <w:rPr>
          <w:rFonts w:hint="eastAsia" w:ascii="宋体" w:hAnsi="宋体" w:cs="宋体"/>
          <w:bCs/>
          <w:color w:val="auto"/>
          <w:sz w:val="21"/>
          <w:szCs w:val="21"/>
        </w:rPr>
        <w:t>一、定义</w:t>
      </w:r>
    </w:p>
    <w:p w14:paraId="4E65F767">
      <w:pPr>
        <w:spacing w:line="360" w:lineRule="auto"/>
        <w:ind w:firstLine="420" w:firstLineChars="200"/>
        <w:rPr>
          <w:rFonts w:ascii="宋体" w:hAnsi="宋体" w:cs="宋体"/>
          <w:color w:val="auto"/>
          <w:sz w:val="21"/>
          <w:szCs w:val="21"/>
        </w:rPr>
      </w:pPr>
      <w:r>
        <w:rPr>
          <w:rFonts w:hint="eastAsia" w:ascii="宋体" w:hAnsi="宋体" w:cs="宋体"/>
          <w:color w:val="auto"/>
          <w:sz w:val="21"/>
          <w:szCs w:val="21"/>
        </w:rPr>
        <w:t>1.1“采购人”指本项目的具体采购人，名称详见</w:t>
      </w:r>
      <w:r>
        <w:rPr>
          <w:rFonts w:hint="eastAsia" w:ascii="宋体" w:hAnsi="宋体" w:cs="宋体"/>
          <w:bCs/>
          <w:color w:val="auto"/>
          <w:sz w:val="21"/>
          <w:szCs w:val="21"/>
        </w:rPr>
        <w:t>响应人须知前附表第1条</w:t>
      </w:r>
      <w:r>
        <w:rPr>
          <w:rFonts w:hint="eastAsia" w:ascii="宋体" w:hAnsi="宋体" w:cs="宋体"/>
          <w:color w:val="auto"/>
          <w:sz w:val="21"/>
          <w:szCs w:val="21"/>
        </w:rPr>
        <w:t>。</w:t>
      </w:r>
    </w:p>
    <w:p w14:paraId="1FC1AAC1">
      <w:pPr>
        <w:spacing w:line="360" w:lineRule="auto"/>
        <w:ind w:firstLine="420" w:firstLineChars="200"/>
        <w:rPr>
          <w:rFonts w:ascii="宋体" w:hAnsi="宋体" w:cs="宋体"/>
          <w:color w:val="auto"/>
          <w:sz w:val="21"/>
          <w:szCs w:val="21"/>
        </w:rPr>
      </w:pPr>
      <w:r>
        <w:rPr>
          <w:rFonts w:hint="eastAsia" w:ascii="宋体" w:hAnsi="宋体" w:cs="宋体"/>
          <w:color w:val="auto"/>
          <w:sz w:val="21"/>
          <w:szCs w:val="21"/>
        </w:rPr>
        <w:t>1.2“招标货物”指本磋商文件中第四部分所述所有货物及实现货物功能价值所必须的配套技术和服务。</w:t>
      </w:r>
    </w:p>
    <w:p w14:paraId="1B1EE006">
      <w:pPr>
        <w:spacing w:line="360" w:lineRule="auto"/>
        <w:ind w:firstLine="420" w:firstLineChars="200"/>
        <w:rPr>
          <w:rFonts w:ascii="宋体" w:hAnsi="宋体" w:cs="宋体"/>
          <w:color w:val="auto"/>
          <w:sz w:val="21"/>
          <w:szCs w:val="21"/>
        </w:rPr>
      </w:pPr>
      <w:r>
        <w:rPr>
          <w:rFonts w:hint="eastAsia" w:ascii="宋体" w:hAnsi="宋体" w:cs="宋体"/>
          <w:color w:val="auto"/>
          <w:sz w:val="21"/>
          <w:szCs w:val="21"/>
        </w:rPr>
        <w:t>1.3“服务”指本磋商文件第四部分所述响应人应该履行的承诺和义务。</w:t>
      </w:r>
    </w:p>
    <w:p w14:paraId="12E87EED">
      <w:pPr>
        <w:spacing w:line="360" w:lineRule="auto"/>
        <w:ind w:firstLine="420" w:firstLineChars="200"/>
        <w:rPr>
          <w:rFonts w:ascii="宋体" w:hAnsi="宋体" w:cs="宋体"/>
          <w:color w:val="auto"/>
          <w:sz w:val="21"/>
          <w:szCs w:val="21"/>
        </w:rPr>
      </w:pPr>
      <w:r>
        <w:rPr>
          <w:rFonts w:hint="eastAsia" w:ascii="宋体" w:hAnsi="宋体" w:cs="宋体"/>
          <w:color w:val="auto"/>
          <w:sz w:val="21"/>
          <w:szCs w:val="21"/>
        </w:rPr>
        <w:t>1.4“响应人”指符合本磋商文件规定并参加投标的响应人。</w:t>
      </w:r>
    </w:p>
    <w:p w14:paraId="5997A71E">
      <w:pPr>
        <w:spacing w:line="360" w:lineRule="auto"/>
        <w:ind w:firstLine="420" w:firstLineChars="200"/>
        <w:rPr>
          <w:rFonts w:ascii="宋体" w:hAnsi="宋体" w:cs="宋体"/>
          <w:color w:val="auto"/>
          <w:sz w:val="21"/>
          <w:szCs w:val="21"/>
        </w:rPr>
      </w:pPr>
      <w:r>
        <w:rPr>
          <w:rFonts w:hint="eastAsia" w:ascii="宋体" w:hAnsi="宋体" w:cs="宋体"/>
          <w:color w:val="auto"/>
          <w:sz w:val="21"/>
          <w:szCs w:val="21"/>
        </w:rPr>
        <w:t>1.5“潜在响应人”指符合本磋商文件各项规定的合格响应人。</w:t>
      </w:r>
    </w:p>
    <w:p w14:paraId="58E0E5F3">
      <w:pPr>
        <w:spacing w:line="360" w:lineRule="auto"/>
        <w:ind w:firstLine="420" w:firstLineChars="200"/>
        <w:rPr>
          <w:rFonts w:ascii="宋体" w:hAnsi="宋体" w:cs="宋体"/>
          <w:color w:val="auto"/>
          <w:sz w:val="21"/>
          <w:szCs w:val="21"/>
        </w:rPr>
      </w:pPr>
      <w:r>
        <w:rPr>
          <w:rFonts w:hint="eastAsia" w:ascii="宋体" w:hAnsi="宋体" w:cs="宋体"/>
          <w:color w:val="auto"/>
          <w:sz w:val="21"/>
          <w:szCs w:val="21"/>
        </w:rPr>
        <w:t>1.6 本磋商文件规定按日计算期间的，开始当天不计入，从次日开始计算。期限的最后一日是国家法定节假日的，顺延到节假日后的次日为期限的最后一日。</w:t>
      </w:r>
    </w:p>
    <w:p w14:paraId="38CFCC4A">
      <w:pPr>
        <w:spacing w:line="360" w:lineRule="auto"/>
        <w:rPr>
          <w:rFonts w:ascii="宋体" w:hAnsi="宋体" w:cs="宋体"/>
          <w:color w:val="auto"/>
          <w:sz w:val="21"/>
          <w:szCs w:val="21"/>
        </w:rPr>
      </w:pPr>
      <w:r>
        <w:rPr>
          <w:rFonts w:hint="eastAsia" w:ascii="宋体" w:hAnsi="宋体" w:cs="宋体"/>
          <w:color w:val="auto"/>
          <w:sz w:val="21"/>
          <w:szCs w:val="21"/>
        </w:rPr>
        <w:t>二、合格响应人的条件</w:t>
      </w:r>
    </w:p>
    <w:p w14:paraId="06B06B12">
      <w:pPr>
        <w:spacing w:line="360" w:lineRule="auto"/>
        <w:ind w:firstLine="420" w:firstLineChars="200"/>
        <w:rPr>
          <w:rFonts w:ascii="宋体" w:hAnsi="宋体" w:cs="宋体"/>
          <w:color w:val="auto"/>
          <w:sz w:val="21"/>
          <w:szCs w:val="21"/>
        </w:rPr>
      </w:pPr>
      <w:r>
        <w:rPr>
          <w:rFonts w:hint="eastAsia" w:ascii="宋体" w:hAnsi="宋体" w:cs="宋体"/>
          <w:color w:val="auto"/>
          <w:sz w:val="21"/>
          <w:szCs w:val="21"/>
        </w:rPr>
        <w:t>2.1具有本项目实施能力，符合、承认并承诺履行本磋商文件各项规定的国内响应人均可参加磋商。</w:t>
      </w:r>
    </w:p>
    <w:p w14:paraId="2761C778">
      <w:pPr>
        <w:spacing w:line="360" w:lineRule="auto"/>
        <w:ind w:firstLine="420" w:firstLineChars="200"/>
        <w:rPr>
          <w:rFonts w:ascii="宋体" w:hAnsi="宋体" w:cs="宋体"/>
          <w:color w:val="auto"/>
          <w:sz w:val="21"/>
          <w:szCs w:val="21"/>
        </w:rPr>
      </w:pPr>
      <w:r>
        <w:rPr>
          <w:rFonts w:hint="eastAsia" w:ascii="宋体" w:hAnsi="宋体" w:cs="宋体"/>
          <w:color w:val="auto"/>
          <w:sz w:val="21"/>
          <w:szCs w:val="21"/>
        </w:rPr>
        <w:t>2.2响应人资格条件：详见磋商公告</w:t>
      </w:r>
    </w:p>
    <w:p w14:paraId="0CD9C63A">
      <w:pPr>
        <w:spacing w:line="360" w:lineRule="auto"/>
        <w:ind w:firstLine="420" w:firstLineChars="200"/>
        <w:rPr>
          <w:rFonts w:ascii="宋体" w:hAnsi="宋体" w:cs="宋体"/>
          <w:color w:val="auto"/>
          <w:sz w:val="21"/>
          <w:szCs w:val="21"/>
        </w:rPr>
      </w:pPr>
      <w:r>
        <w:rPr>
          <w:rFonts w:hint="eastAsia" w:ascii="宋体" w:hAnsi="宋体" w:cs="宋体"/>
          <w:color w:val="auto"/>
          <w:sz w:val="21"/>
          <w:szCs w:val="21"/>
        </w:rPr>
        <w:t>2.3响应人单位负责人为同一人或者存在直接控股、管理关系的不同响应人，不得参加同一合同项下的采购活动；</w:t>
      </w:r>
    </w:p>
    <w:p w14:paraId="5743A5C1">
      <w:pPr>
        <w:spacing w:line="360" w:lineRule="auto"/>
        <w:ind w:firstLine="420" w:firstLineChars="200"/>
        <w:rPr>
          <w:rFonts w:ascii="宋体" w:hAnsi="宋体" w:cs="宋体"/>
          <w:color w:val="auto"/>
          <w:sz w:val="21"/>
          <w:szCs w:val="21"/>
        </w:rPr>
      </w:pPr>
      <w:r>
        <w:rPr>
          <w:rFonts w:hint="eastAsia" w:ascii="宋体" w:hAnsi="宋体" w:cs="宋体"/>
          <w:color w:val="auto"/>
          <w:sz w:val="21"/>
          <w:szCs w:val="21"/>
        </w:rPr>
        <w:t>2.4凡为采购项目提供整体设计、规范编制或者项目管理、监理、检测等服务的响应人，不得再参加本项目的采购活动（如有）；</w:t>
      </w:r>
    </w:p>
    <w:p w14:paraId="466BD03E">
      <w:pPr>
        <w:spacing w:line="360" w:lineRule="auto"/>
        <w:ind w:firstLine="420" w:firstLineChars="200"/>
        <w:rPr>
          <w:rFonts w:ascii="宋体" w:hAnsi="宋体" w:cs="宋体"/>
          <w:color w:val="auto"/>
          <w:sz w:val="21"/>
          <w:szCs w:val="21"/>
        </w:rPr>
      </w:pPr>
      <w:r>
        <w:rPr>
          <w:rFonts w:hint="eastAsia" w:ascii="宋体" w:hAnsi="宋体" w:cs="宋体"/>
          <w:color w:val="auto"/>
          <w:sz w:val="21"/>
          <w:szCs w:val="21"/>
        </w:rPr>
        <w:t>2.5本次采购是否允许两个（含）以上响应人组成一个联合体以一个响应人身份共同投标，详见</w:t>
      </w:r>
      <w:r>
        <w:rPr>
          <w:rFonts w:hint="eastAsia" w:ascii="宋体" w:hAnsi="宋体" w:cs="宋体"/>
          <w:bCs/>
          <w:color w:val="auto"/>
          <w:sz w:val="21"/>
          <w:szCs w:val="21"/>
        </w:rPr>
        <w:t>响应人须知前附表第7条</w:t>
      </w:r>
      <w:r>
        <w:rPr>
          <w:rFonts w:hint="eastAsia" w:ascii="宋体" w:hAnsi="宋体" w:cs="宋体"/>
          <w:color w:val="auto"/>
          <w:sz w:val="21"/>
          <w:szCs w:val="21"/>
        </w:rPr>
        <w:t>。</w:t>
      </w:r>
    </w:p>
    <w:p w14:paraId="20BBFA6A">
      <w:pPr>
        <w:spacing w:line="360" w:lineRule="auto"/>
        <w:ind w:firstLine="420" w:firstLineChars="200"/>
        <w:rPr>
          <w:rFonts w:ascii="宋体" w:hAnsi="宋体" w:cs="宋体"/>
          <w:color w:val="auto"/>
          <w:sz w:val="21"/>
          <w:szCs w:val="21"/>
        </w:rPr>
      </w:pPr>
      <w:r>
        <w:rPr>
          <w:rFonts w:hint="eastAsia" w:ascii="宋体" w:hAnsi="宋体" w:cs="宋体"/>
          <w:color w:val="auto"/>
          <w:sz w:val="21"/>
          <w:szCs w:val="21"/>
        </w:rPr>
        <w:t>2.6响应人应按照磋商公告规定的方式获取磋商文件。</w:t>
      </w:r>
    </w:p>
    <w:p w14:paraId="4D4001AF">
      <w:pPr>
        <w:spacing w:line="360" w:lineRule="auto"/>
        <w:rPr>
          <w:rFonts w:ascii="宋体" w:hAnsi="宋体" w:cs="宋体"/>
          <w:bCs/>
          <w:color w:val="auto"/>
          <w:sz w:val="21"/>
          <w:szCs w:val="21"/>
        </w:rPr>
      </w:pPr>
      <w:r>
        <w:rPr>
          <w:rFonts w:hint="eastAsia" w:ascii="宋体" w:hAnsi="宋体" w:cs="宋体"/>
          <w:bCs/>
          <w:color w:val="auto"/>
          <w:sz w:val="21"/>
          <w:szCs w:val="21"/>
        </w:rPr>
        <w:t>三、磋商费用</w:t>
      </w:r>
    </w:p>
    <w:p w14:paraId="32E7C18B">
      <w:pPr>
        <w:spacing w:line="360" w:lineRule="auto"/>
        <w:ind w:firstLine="420" w:firstLineChars="200"/>
        <w:rPr>
          <w:rFonts w:ascii="宋体" w:hAnsi="宋体" w:cs="宋体"/>
          <w:color w:val="auto"/>
          <w:sz w:val="21"/>
          <w:szCs w:val="21"/>
        </w:rPr>
      </w:pPr>
      <w:r>
        <w:rPr>
          <w:rFonts w:hint="eastAsia" w:ascii="宋体" w:hAnsi="宋体" w:cs="宋体"/>
          <w:color w:val="auto"/>
          <w:sz w:val="21"/>
          <w:szCs w:val="21"/>
        </w:rPr>
        <w:t>3.1响应人应自行承担其编制、提交响应文件以及参加竞争性磋商活动所产生之一切费用。无论竞争性磋商活动中的做法和结果如何(包括采购人决定取消采购的)，采购人和采购代理机构对上述费用不负任何责任。</w:t>
      </w:r>
    </w:p>
    <w:p w14:paraId="4A4D8AB9">
      <w:pPr>
        <w:spacing w:line="360" w:lineRule="auto"/>
        <w:rPr>
          <w:rFonts w:ascii="宋体" w:hAnsi="宋体" w:cs="宋体"/>
          <w:bCs/>
          <w:color w:val="auto"/>
          <w:sz w:val="21"/>
          <w:szCs w:val="21"/>
        </w:rPr>
      </w:pPr>
      <w:r>
        <w:rPr>
          <w:rFonts w:hint="eastAsia" w:ascii="宋体" w:hAnsi="宋体" w:cs="宋体"/>
          <w:bCs/>
          <w:color w:val="auto"/>
          <w:sz w:val="21"/>
          <w:szCs w:val="21"/>
        </w:rPr>
        <w:t>四、磋商文件</w:t>
      </w:r>
    </w:p>
    <w:p w14:paraId="7172C0DD">
      <w:pPr>
        <w:spacing w:line="360" w:lineRule="auto"/>
        <w:ind w:firstLine="420" w:firstLineChars="200"/>
        <w:rPr>
          <w:rFonts w:ascii="宋体" w:hAnsi="宋体" w:cs="宋体"/>
          <w:color w:val="auto"/>
          <w:sz w:val="21"/>
          <w:szCs w:val="21"/>
        </w:rPr>
      </w:pPr>
      <w:r>
        <w:rPr>
          <w:rFonts w:hint="eastAsia" w:ascii="宋体" w:hAnsi="宋体" w:cs="宋体"/>
          <w:color w:val="auto"/>
          <w:sz w:val="21"/>
          <w:szCs w:val="21"/>
        </w:rPr>
        <w:t>4.1磋商文件由下列七部分内容组成：</w:t>
      </w:r>
    </w:p>
    <w:p w14:paraId="60D8580B">
      <w:pPr>
        <w:spacing w:line="360" w:lineRule="auto"/>
        <w:ind w:firstLine="1400" w:firstLineChars="500"/>
        <w:rPr>
          <w:rFonts w:ascii="宋体" w:hAnsi="宋体" w:cs="宋体"/>
          <w:color w:val="auto"/>
          <w:sz w:val="21"/>
          <w:szCs w:val="21"/>
          <w:u w:val="single"/>
        </w:rPr>
      </w:pPr>
      <w:r>
        <w:rPr>
          <w:color w:val="auto"/>
        </w:rPr>
        <w:fldChar w:fldCharType="begin"/>
      </w:r>
      <w:r>
        <w:rPr>
          <w:color w:val="auto"/>
        </w:rPr>
        <w:instrText xml:space="preserve"> HYPERLINK \l "_Toc214163612" </w:instrText>
      </w:r>
      <w:r>
        <w:rPr>
          <w:color w:val="auto"/>
        </w:rPr>
        <w:fldChar w:fldCharType="separate"/>
      </w:r>
      <w:r>
        <w:rPr>
          <w:rFonts w:hint="eastAsia" w:ascii="宋体" w:hAnsi="宋体" w:cs="宋体"/>
          <w:color w:val="auto"/>
          <w:sz w:val="21"/>
          <w:szCs w:val="21"/>
          <w:u w:val="single"/>
        </w:rPr>
        <w:t>第一部分 采购邀请</w:t>
      </w:r>
      <w:r>
        <w:rPr>
          <w:rFonts w:hint="eastAsia" w:ascii="宋体" w:hAnsi="宋体" w:cs="宋体"/>
          <w:color w:val="auto"/>
          <w:sz w:val="21"/>
          <w:szCs w:val="21"/>
          <w:u w:val="single"/>
        </w:rPr>
        <w:fldChar w:fldCharType="end"/>
      </w:r>
    </w:p>
    <w:p w14:paraId="6FB178F2">
      <w:pPr>
        <w:spacing w:line="360" w:lineRule="auto"/>
        <w:ind w:firstLine="1400" w:firstLineChars="500"/>
        <w:rPr>
          <w:rFonts w:ascii="宋体" w:hAnsi="宋体" w:cs="宋体"/>
          <w:color w:val="auto"/>
          <w:sz w:val="21"/>
          <w:szCs w:val="21"/>
          <w:u w:val="single"/>
        </w:rPr>
      </w:pPr>
      <w:r>
        <w:rPr>
          <w:color w:val="auto"/>
        </w:rPr>
        <w:fldChar w:fldCharType="begin"/>
      </w:r>
      <w:r>
        <w:rPr>
          <w:color w:val="auto"/>
        </w:rPr>
        <w:instrText xml:space="preserve"> HYPERLINK \l "_Toc214163613" </w:instrText>
      </w:r>
      <w:r>
        <w:rPr>
          <w:color w:val="auto"/>
        </w:rPr>
        <w:fldChar w:fldCharType="separate"/>
      </w:r>
      <w:r>
        <w:rPr>
          <w:rFonts w:hint="eastAsia" w:ascii="宋体" w:hAnsi="宋体" w:cs="宋体"/>
          <w:color w:val="auto"/>
          <w:sz w:val="21"/>
          <w:szCs w:val="21"/>
          <w:u w:val="single"/>
        </w:rPr>
        <w:t>第二部分 响应人须知前附表</w:t>
      </w:r>
      <w:r>
        <w:rPr>
          <w:rFonts w:hint="eastAsia" w:ascii="宋体" w:hAnsi="宋体" w:cs="宋体"/>
          <w:color w:val="auto"/>
          <w:sz w:val="21"/>
          <w:szCs w:val="21"/>
          <w:u w:val="single"/>
        </w:rPr>
        <w:fldChar w:fldCharType="end"/>
      </w:r>
    </w:p>
    <w:p w14:paraId="20CAADDB">
      <w:pPr>
        <w:spacing w:line="360" w:lineRule="auto"/>
        <w:ind w:firstLine="1400" w:firstLineChars="500"/>
        <w:rPr>
          <w:rFonts w:ascii="宋体" w:hAnsi="宋体" w:cs="宋体"/>
          <w:color w:val="auto"/>
          <w:sz w:val="21"/>
          <w:szCs w:val="21"/>
          <w:u w:val="single"/>
        </w:rPr>
      </w:pPr>
      <w:r>
        <w:rPr>
          <w:color w:val="auto"/>
        </w:rPr>
        <w:fldChar w:fldCharType="begin"/>
      </w:r>
      <w:r>
        <w:rPr>
          <w:color w:val="auto"/>
        </w:rPr>
        <w:instrText xml:space="preserve"> HYPERLINK \l "_Toc214163628" </w:instrText>
      </w:r>
      <w:r>
        <w:rPr>
          <w:color w:val="auto"/>
        </w:rPr>
        <w:fldChar w:fldCharType="separate"/>
      </w:r>
      <w:r>
        <w:rPr>
          <w:rFonts w:hint="eastAsia" w:ascii="宋体" w:hAnsi="宋体" w:cs="宋体"/>
          <w:color w:val="auto"/>
          <w:sz w:val="21"/>
          <w:szCs w:val="21"/>
          <w:u w:val="single"/>
        </w:rPr>
        <w:t>第三部分 响应人须知</w:t>
      </w:r>
      <w:r>
        <w:rPr>
          <w:rFonts w:hint="eastAsia" w:ascii="宋体" w:hAnsi="宋体" w:cs="宋体"/>
          <w:color w:val="auto"/>
          <w:sz w:val="21"/>
          <w:szCs w:val="21"/>
          <w:u w:val="single"/>
        </w:rPr>
        <w:fldChar w:fldCharType="end"/>
      </w:r>
    </w:p>
    <w:p w14:paraId="34B9F7E2">
      <w:pPr>
        <w:spacing w:line="360" w:lineRule="auto"/>
        <w:ind w:firstLine="1400" w:firstLineChars="500"/>
        <w:rPr>
          <w:rFonts w:ascii="宋体" w:hAnsi="宋体" w:cs="宋体"/>
          <w:color w:val="auto"/>
          <w:sz w:val="21"/>
          <w:szCs w:val="21"/>
          <w:u w:val="single"/>
        </w:rPr>
      </w:pPr>
      <w:r>
        <w:rPr>
          <w:color w:val="auto"/>
        </w:rPr>
        <w:fldChar w:fldCharType="begin"/>
      </w:r>
      <w:r>
        <w:rPr>
          <w:color w:val="auto"/>
        </w:rPr>
        <w:instrText xml:space="preserve"> HYPERLINK \l "_Toc214163640" </w:instrText>
      </w:r>
      <w:r>
        <w:rPr>
          <w:color w:val="auto"/>
        </w:rPr>
        <w:fldChar w:fldCharType="separate"/>
      </w:r>
      <w:r>
        <w:rPr>
          <w:rFonts w:hint="eastAsia" w:ascii="宋体" w:hAnsi="宋体" w:cs="宋体"/>
          <w:color w:val="auto"/>
          <w:sz w:val="21"/>
          <w:szCs w:val="21"/>
          <w:u w:val="single"/>
        </w:rPr>
        <w:t>第四部分 采购需求</w:t>
      </w:r>
      <w:r>
        <w:rPr>
          <w:rFonts w:hint="eastAsia" w:ascii="宋体" w:hAnsi="宋体" w:cs="宋体"/>
          <w:color w:val="auto"/>
          <w:sz w:val="21"/>
          <w:szCs w:val="21"/>
          <w:u w:val="single"/>
        </w:rPr>
        <w:fldChar w:fldCharType="end"/>
      </w:r>
    </w:p>
    <w:p w14:paraId="166A4748">
      <w:pPr>
        <w:spacing w:line="360" w:lineRule="auto"/>
        <w:ind w:firstLine="1470" w:firstLineChars="700"/>
        <w:rPr>
          <w:rFonts w:ascii="宋体" w:hAnsi="宋体" w:cs="宋体"/>
          <w:color w:val="auto"/>
          <w:sz w:val="21"/>
          <w:szCs w:val="21"/>
          <w:u w:val="single"/>
        </w:rPr>
      </w:pPr>
      <w:r>
        <w:rPr>
          <w:rFonts w:hint="eastAsia" w:ascii="宋体" w:hAnsi="宋体" w:cs="宋体"/>
          <w:color w:val="auto"/>
          <w:sz w:val="21"/>
          <w:szCs w:val="21"/>
          <w:u w:val="single"/>
        </w:rPr>
        <w:t>第五部分 评标办法和评标标准</w:t>
      </w:r>
    </w:p>
    <w:p w14:paraId="044F4811">
      <w:pPr>
        <w:spacing w:line="360" w:lineRule="auto"/>
        <w:ind w:firstLine="1400" w:firstLineChars="500"/>
        <w:rPr>
          <w:rFonts w:ascii="宋体" w:hAnsi="宋体" w:cs="宋体"/>
          <w:color w:val="auto"/>
          <w:sz w:val="21"/>
          <w:szCs w:val="21"/>
          <w:u w:val="single"/>
        </w:rPr>
      </w:pPr>
      <w:r>
        <w:rPr>
          <w:color w:val="auto"/>
        </w:rPr>
        <w:fldChar w:fldCharType="begin"/>
      </w:r>
      <w:r>
        <w:rPr>
          <w:color w:val="auto"/>
        </w:rPr>
        <w:instrText xml:space="preserve"> HYPERLINK \l "_Toc214163666" </w:instrText>
      </w:r>
      <w:r>
        <w:rPr>
          <w:color w:val="auto"/>
        </w:rPr>
        <w:fldChar w:fldCharType="separate"/>
      </w:r>
      <w:r>
        <w:rPr>
          <w:rFonts w:hint="eastAsia" w:ascii="宋体" w:hAnsi="宋体" w:cs="宋体"/>
          <w:color w:val="auto"/>
          <w:sz w:val="21"/>
          <w:szCs w:val="21"/>
          <w:u w:val="single"/>
        </w:rPr>
        <w:t>第六部分 合同</w:t>
      </w:r>
      <w:r>
        <w:rPr>
          <w:rFonts w:hint="eastAsia" w:ascii="宋体" w:hAnsi="宋体" w:cs="宋体"/>
          <w:color w:val="auto"/>
          <w:sz w:val="21"/>
          <w:szCs w:val="21"/>
          <w:u w:val="single"/>
        </w:rPr>
        <w:fldChar w:fldCharType="end"/>
      </w:r>
      <w:r>
        <w:rPr>
          <w:rFonts w:hint="eastAsia" w:ascii="宋体" w:hAnsi="宋体" w:cs="宋体"/>
          <w:color w:val="auto"/>
          <w:sz w:val="21"/>
          <w:szCs w:val="21"/>
          <w:u w:val="single"/>
        </w:rPr>
        <w:t>条款</w:t>
      </w:r>
    </w:p>
    <w:p w14:paraId="6A34512F">
      <w:pPr>
        <w:spacing w:line="360" w:lineRule="auto"/>
        <w:ind w:firstLine="1400" w:firstLineChars="500"/>
        <w:rPr>
          <w:rFonts w:ascii="宋体" w:hAnsi="宋体" w:cs="宋体"/>
          <w:color w:val="auto"/>
          <w:sz w:val="21"/>
          <w:szCs w:val="21"/>
          <w:u w:val="single"/>
        </w:rPr>
      </w:pPr>
      <w:r>
        <w:rPr>
          <w:color w:val="auto"/>
        </w:rPr>
        <w:fldChar w:fldCharType="begin"/>
      </w:r>
      <w:r>
        <w:rPr>
          <w:color w:val="auto"/>
        </w:rPr>
        <w:instrText xml:space="preserve"> HYPERLINK \l "_Toc214163670" </w:instrText>
      </w:r>
      <w:r>
        <w:rPr>
          <w:color w:val="auto"/>
        </w:rPr>
        <w:fldChar w:fldCharType="separate"/>
      </w:r>
      <w:r>
        <w:rPr>
          <w:rFonts w:hint="eastAsia" w:ascii="宋体" w:hAnsi="宋体" w:cs="宋体"/>
          <w:color w:val="auto"/>
          <w:sz w:val="21"/>
          <w:szCs w:val="21"/>
          <w:u w:val="single"/>
        </w:rPr>
        <w:t>第七部分 响应文件格式</w:t>
      </w:r>
      <w:r>
        <w:rPr>
          <w:rFonts w:hint="eastAsia" w:ascii="宋体" w:hAnsi="宋体" w:cs="宋体"/>
          <w:color w:val="auto"/>
          <w:sz w:val="21"/>
          <w:szCs w:val="21"/>
          <w:u w:val="single"/>
        </w:rPr>
        <w:fldChar w:fldCharType="end"/>
      </w:r>
    </w:p>
    <w:p w14:paraId="6AEF09CA">
      <w:pPr>
        <w:spacing w:line="360" w:lineRule="auto"/>
        <w:ind w:firstLine="420" w:firstLineChars="200"/>
        <w:rPr>
          <w:rFonts w:ascii="宋体" w:hAnsi="宋体" w:cs="宋体"/>
          <w:color w:val="auto"/>
          <w:sz w:val="21"/>
          <w:szCs w:val="21"/>
        </w:rPr>
      </w:pPr>
      <w:r>
        <w:rPr>
          <w:rFonts w:hint="eastAsia" w:ascii="宋体" w:hAnsi="宋体" w:cs="宋体"/>
          <w:color w:val="auto"/>
          <w:sz w:val="21"/>
          <w:szCs w:val="21"/>
        </w:rPr>
        <w:t>4.2澄清和修正</w:t>
      </w:r>
    </w:p>
    <w:p w14:paraId="4F965D63">
      <w:pPr>
        <w:snapToGrid w:val="0"/>
        <w:spacing w:line="360" w:lineRule="auto"/>
        <w:ind w:firstLine="420" w:firstLineChars="200"/>
        <w:rPr>
          <w:rFonts w:ascii="宋体" w:hAnsi="宋体" w:cs="宋体"/>
          <w:color w:val="auto"/>
          <w:sz w:val="21"/>
          <w:szCs w:val="21"/>
        </w:rPr>
      </w:pPr>
      <w:r>
        <w:rPr>
          <w:rFonts w:hint="eastAsia" w:ascii="宋体" w:hAnsi="宋体" w:cs="宋体"/>
          <w:color w:val="auto"/>
          <w:sz w:val="21"/>
          <w:szCs w:val="21"/>
        </w:rPr>
        <w:t>（1）响应人应当在法定质疑期内一次性提出针对同一采购程序环节的质疑。</w:t>
      </w:r>
    </w:p>
    <w:p w14:paraId="04C55852">
      <w:pPr>
        <w:snapToGrid w:val="0"/>
        <w:spacing w:line="360" w:lineRule="auto"/>
        <w:ind w:firstLine="420" w:firstLineChars="200"/>
        <w:rPr>
          <w:rFonts w:ascii="宋体" w:hAnsi="宋体" w:cs="宋体"/>
          <w:color w:val="auto"/>
          <w:sz w:val="21"/>
          <w:szCs w:val="21"/>
        </w:rPr>
      </w:pPr>
      <w:r>
        <w:rPr>
          <w:rFonts w:hint="eastAsia" w:ascii="宋体" w:hAnsi="宋体" w:cs="宋体"/>
          <w:color w:val="auto"/>
          <w:sz w:val="21"/>
          <w:szCs w:val="21"/>
        </w:rPr>
        <w:t>（2）响应人在收到磋商文件后，如有疑问需要澄清，应在答疑规定的时间前以书面形式向采购人提出，如无疑问,视作响应人完全响应磋商文件的条款和要求。采购人作出的澄清或修改将以邮件形式通知所有磋商文件收受人。</w:t>
      </w:r>
    </w:p>
    <w:p w14:paraId="3EC51B9B">
      <w:pPr>
        <w:snapToGrid w:val="0"/>
        <w:spacing w:line="360" w:lineRule="auto"/>
        <w:ind w:firstLine="420" w:firstLineChars="200"/>
        <w:rPr>
          <w:rFonts w:ascii="宋体" w:hAnsi="宋体" w:cs="宋体"/>
          <w:color w:val="auto"/>
          <w:sz w:val="21"/>
          <w:szCs w:val="21"/>
        </w:rPr>
      </w:pPr>
      <w:r>
        <w:rPr>
          <w:rFonts w:hint="eastAsia" w:ascii="宋体" w:hAnsi="宋体" w:cs="宋体"/>
          <w:color w:val="auto"/>
          <w:sz w:val="21"/>
          <w:szCs w:val="21"/>
        </w:rPr>
        <w:t>（3）采购人或采购代理机构无论出于自己的考虑，还是出于对响应人提问的澄清，均可对磋商文件以邮件的方式进行修改。</w:t>
      </w:r>
    </w:p>
    <w:p w14:paraId="3ADB0BF7">
      <w:pPr>
        <w:snapToGrid w:val="0"/>
        <w:spacing w:line="360" w:lineRule="auto"/>
        <w:ind w:firstLine="420" w:firstLineChars="200"/>
        <w:rPr>
          <w:rFonts w:ascii="宋体" w:hAnsi="宋体" w:cs="宋体"/>
          <w:color w:val="auto"/>
          <w:sz w:val="21"/>
          <w:szCs w:val="21"/>
        </w:rPr>
      </w:pPr>
      <w:r>
        <w:rPr>
          <w:rFonts w:hint="eastAsia" w:ascii="宋体" w:hAnsi="宋体" w:cs="宋体"/>
          <w:color w:val="auto"/>
          <w:sz w:val="21"/>
          <w:szCs w:val="21"/>
        </w:rPr>
        <w:t>（4）磋商文件及磋商文件的澄清、修改、补充等内容均以发送至报名时委托人预留的邮箱内容为准。</w:t>
      </w:r>
    </w:p>
    <w:p w14:paraId="1C5B2930">
      <w:pPr>
        <w:snapToGrid w:val="0"/>
        <w:spacing w:line="360" w:lineRule="auto"/>
        <w:ind w:firstLine="420" w:firstLineChars="200"/>
        <w:rPr>
          <w:rFonts w:ascii="宋体" w:hAnsi="宋体" w:cs="宋体"/>
          <w:color w:val="auto"/>
          <w:sz w:val="21"/>
          <w:szCs w:val="21"/>
        </w:rPr>
      </w:pPr>
      <w:r>
        <w:rPr>
          <w:rFonts w:hint="eastAsia" w:ascii="宋体" w:hAnsi="宋体" w:cs="宋体"/>
          <w:color w:val="auto"/>
          <w:sz w:val="21"/>
          <w:szCs w:val="21"/>
        </w:rPr>
        <w:t>（5）磋商文件的更正（含澄清、修改等）内容与原磋商文件在同一内容上表述不一致时，以发出日期最接近开标时间的公告为准。磋商文件的更正（含澄清、修改等）内容作为磋商文件的组成部分，对响应人起约束作用。</w:t>
      </w:r>
    </w:p>
    <w:p w14:paraId="3A988224">
      <w:pPr>
        <w:snapToGrid w:val="0"/>
        <w:spacing w:line="360" w:lineRule="auto"/>
        <w:rPr>
          <w:rFonts w:ascii="宋体" w:hAnsi="宋体" w:cs="宋体"/>
          <w:color w:val="auto"/>
          <w:sz w:val="21"/>
          <w:szCs w:val="21"/>
        </w:rPr>
      </w:pPr>
      <w:r>
        <w:rPr>
          <w:rFonts w:hint="eastAsia" w:ascii="宋体" w:hAnsi="宋体" w:cs="宋体"/>
          <w:color w:val="auto"/>
          <w:sz w:val="21"/>
          <w:szCs w:val="21"/>
        </w:rPr>
        <w:t>五、响应人的义务</w:t>
      </w:r>
    </w:p>
    <w:p w14:paraId="1B288870">
      <w:pPr>
        <w:snapToGrid w:val="0"/>
        <w:spacing w:line="360" w:lineRule="auto"/>
        <w:ind w:firstLine="420" w:firstLineChars="200"/>
        <w:rPr>
          <w:rFonts w:ascii="宋体" w:hAnsi="宋体" w:cs="宋体"/>
          <w:color w:val="auto"/>
          <w:sz w:val="21"/>
          <w:szCs w:val="21"/>
        </w:rPr>
      </w:pPr>
      <w:r>
        <w:rPr>
          <w:rFonts w:hint="eastAsia" w:ascii="宋体" w:hAnsi="宋体" w:cs="宋体"/>
          <w:color w:val="auto"/>
          <w:sz w:val="21"/>
          <w:szCs w:val="21"/>
        </w:rPr>
        <w:t>5.1响应人应当认真阅读磋商文件，完全明了采购项目之名称、用途、数量、质量和交货日期，完全明了响应人所应具备的资格条件。</w:t>
      </w:r>
    </w:p>
    <w:p w14:paraId="49562938">
      <w:pPr>
        <w:snapToGrid w:val="0"/>
        <w:spacing w:line="360" w:lineRule="auto"/>
        <w:ind w:firstLine="420" w:firstLineChars="200"/>
        <w:rPr>
          <w:rFonts w:ascii="宋体" w:hAnsi="宋体" w:cs="宋体"/>
          <w:color w:val="auto"/>
          <w:sz w:val="21"/>
          <w:szCs w:val="21"/>
        </w:rPr>
      </w:pPr>
      <w:r>
        <w:rPr>
          <w:rFonts w:hint="eastAsia" w:ascii="宋体" w:hAnsi="宋体" w:cs="宋体"/>
          <w:color w:val="auto"/>
          <w:sz w:val="21"/>
          <w:szCs w:val="21"/>
        </w:rPr>
        <w:t>5.2响应人应当按照磋商文件的要求编制响应文件。响应文件应对磋商文件提出的实质性要求和条件作出完全响应。</w:t>
      </w:r>
    </w:p>
    <w:p w14:paraId="66C08900">
      <w:pPr>
        <w:snapToGrid w:val="0"/>
        <w:spacing w:line="360" w:lineRule="auto"/>
        <w:ind w:firstLine="420" w:firstLineChars="200"/>
        <w:rPr>
          <w:rFonts w:ascii="宋体" w:hAnsi="宋体" w:cs="宋体"/>
          <w:color w:val="auto"/>
          <w:sz w:val="21"/>
          <w:szCs w:val="21"/>
        </w:rPr>
      </w:pPr>
      <w:r>
        <w:rPr>
          <w:rFonts w:hint="eastAsia" w:ascii="宋体" w:hAnsi="宋体" w:cs="宋体"/>
          <w:color w:val="auto"/>
          <w:sz w:val="21"/>
          <w:szCs w:val="21"/>
        </w:rPr>
        <w:t>5.3响应人应在响应文件提交截止时间前，将密封的响应文件送达指定地点。</w:t>
      </w:r>
    </w:p>
    <w:p w14:paraId="727B9C79">
      <w:pPr>
        <w:snapToGrid w:val="0"/>
        <w:spacing w:line="360" w:lineRule="auto"/>
        <w:ind w:firstLine="420" w:firstLineChars="200"/>
        <w:rPr>
          <w:rFonts w:ascii="宋体" w:hAnsi="宋体" w:cs="宋体"/>
          <w:color w:val="auto"/>
          <w:sz w:val="21"/>
          <w:szCs w:val="21"/>
        </w:rPr>
      </w:pPr>
      <w:r>
        <w:rPr>
          <w:rFonts w:hint="eastAsia" w:ascii="宋体" w:hAnsi="宋体" w:cs="宋体"/>
          <w:color w:val="auto"/>
          <w:sz w:val="21"/>
          <w:szCs w:val="21"/>
        </w:rPr>
        <w:t>5.4响应人不得相互串通磋商报价，不得排挤其他响应人的公平竞争，损害采购人或者其他响应人合法权益。响应人不得与采购人串通，损害国家利益，公众利益或者他人的合法权益。</w:t>
      </w:r>
    </w:p>
    <w:p w14:paraId="56B18A9F">
      <w:pPr>
        <w:snapToGrid w:val="0"/>
        <w:spacing w:line="360" w:lineRule="auto"/>
        <w:ind w:firstLine="420" w:firstLineChars="200"/>
        <w:rPr>
          <w:rFonts w:ascii="宋体" w:hAnsi="宋体" w:cs="宋体"/>
          <w:color w:val="auto"/>
          <w:spacing w:val="-6"/>
          <w:sz w:val="21"/>
          <w:szCs w:val="21"/>
        </w:rPr>
      </w:pPr>
      <w:r>
        <w:rPr>
          <w:rFonts w:hint="eastAsia" w:ascii="宋体" w:hAnsi="宋体" w:cs="宋体"/>
          <w:color w:val="auto"/>
          <w:sz w:val="21"/>
          <w:szCs w:val="21"/>
        </w:rPr>
        <w:t>5.5响应人在响应文件提交截止时间前，对所提交的响应文件可以补充、修改或者撤回，并书面通知采购代理机构。补充、修改的内容为响应文件的组成部分。</w:t>
      </w:r>
    </w:p>
    <w:p w14:paraId="4AFF6DFD">
      <w:pPr>
        <w:snapToGrid w:val="0"/>
        <w:spacing w:line="360" w:lineRule="auto"/>
        <w:rPr>
          <w:rFonts w:ascii="宋体" w:hAnsi="宋体" w:cs="宋体"/>
          <w:bCs/>
          <w:color w:val="auto"/>
          <w:sz w:val="21"/>
          <w:szCs w:val="21"/>
        </w:rPr>
      </w:pPr>
      <w:bookmarkStart w:id="1" w:name="_Toc288738799"/>
      <w:bookmarkEnd w:id="1"/>
      <w:bookmarkStart w:id="2" w:name="_Toc288738405"/>
      <w:bookmarkEnd w:id="2"/>
      <w:bookmarkStart w:id="3" w:name="_Toc288738331"/>
      <w:r>
        <w:rPr>
          <w:rFonts w:hint="eastAsia" w:ascii="宋体" w:hAnsi="宋体" w:cs="宋体"/>
          <w:bCs/>
          <w:color w:val="auto"/>
          <w:sz w:val="21"/>
          <w:szCs w:val="21"/>
        </w:rPr>
        <w:t>六、响应文件组成</w:t>
      </w:r>
      <w:bookmarkEnd w:id="3"/>
      <w:r>
        <w:rPr>
          <w:rFonts w:hint="eastAsia" w:ascii="宋体" w:hAnsi="宋体" w:cs="宋体"/>
          <w:bCs/>
          <w:color w:val="auto"/>
          <w:sz w:val="21"/>
          <w:szCs w:val="21"/>
        </w:rPr>
        <w:t>及相关要求</w:t>
      </w:r>
    </w:p>
    <w:p w14:paraId="5ABCC58D">
      <w:pPr>
        <w:snapToGrid w:val="0"/>
        <w:spacing w:line="360" w:lineRule="auto"/>
        <w:ind w:firstLine="420" w:firstLineChars="200"/>
        <w:rPr>
          <w:rFonts w:ascii="宋体" w:hAnsi="宋体" w:cs="宋体"/>
          <w:color w:val="auto"/>
          <w:sz w:val="21"/>
          <w:szCs w:val="21"/>
        </w:rPr>
      </w:pPr>
      <w:r>
        <w:rPr>
          <w:rFonts w:hint="eastAsia" w:ascii="宋体" w:hAnsi="宋体" w:cs="宋体"/>
          <w:color w:val="auto"/>
          <w:sz w:val="21"/>
          <w:szCs w:val="21"/>
        </w:rPr>
        <w:t>6.1</w:t>
      </w:r>
      <w:r>
        <w:rPr>
          <w:rFonts w:hint="eastAsia" w:ascii="宋体" w:hAnsi="宋体" w:cs="宋体"/>
          <w:b/>
          <w:bCs/>
          <w:color w:val="auto"/>
          <w:sz w:val="21"/>
          <w:szCs w:val="21"/>
        </w:rPr>
        <w:t>一式三份，一份正本，二份副本</w:t>
      </w:r>
      <w:r>
        <w:rPr>
          <w:rFonts w:hint="eastAsia" w:ascii="宋体" w:hAnsi="宋体" w:cs="宋体"/>
          <w:color w:val="auto"/>
          <w:sz w:val="21"/>
          <w:szCs w:val="21"/>
        </w:rPr>
        <w:t>，响应文件应当符合磋商文件的要求，并应包括但不限于下列内容。</w:t>
      </w:r>
    </w:p>
    <w:p w14:paraId="5B19014C">
      <w:pPr>
        <w:snapToGrid w:val="0"/>
        <w:spacing w:line="360" w:lineRule="auto"/>
        <w:ind w:firstLine="420" w:firstLineChars="200"/>
        <w:rPr>
          <w:rFonts w:ascii="宋体" w:hAnsi="宋体" w:cs="宋体"/>
          <w:color w:val="auto"/>
          <w:sz w:val="21"/>
          <w:szCs w:val="21"/>
        </w:rPr>
      </w:pPr>
      <w:r>
        <w:rPr>
          <w:rFonts w:hint="eastAsia" w:ascii="宋体" w:hAnsi="宋体" w:cs="宋体"/>
          <w:color w:val="auto"/>
          <w:sz w:val="21"/>
          <w:szCs w:val="21"/>
        </w:rPr>
        <w:t>6.1.1响应文件编写</w:t>
      </w:r>
    </w:p>
    <w:p w14:paraId="0F9D5A65">
      <w:pPr>
        <w:snapToGrid w:val="0"/>
        <w:spacing w:line="360" w:lineRule="auto"/>
        <w:ind w:firstLine="420" w:firstLineChars="200"/>
        <w:rPr>
          <w:rFonts w:ascii="宋体" w:hAnsi="宋体" w:cs="宋体"/>
          <w:color w:val="auto"/>
          <w:sz w:val="21"/>
          <w:szCs w:val="21"/>
        </w:rPr>
      </w:pPr>
      <w:r>
        <w:rPr>
          <w:rFonts w:hint="eastAsia" w:ascii="宋体" w:hAnsi="宋体" w:cs="宋体"/>
          <w:color w:val="auto"/>
          <w:sz w:val="21"/>
          <w:szCs w:val="21"/>
        </w:rPr>
        <w:t>（1）按照磋商文件中</w:t>
      </w:r>
      <w:r>
        <w:rPr>
          <w:rFonts w:hint="eastAsia" w:ascii="宋体" w:hAnsi="宋体" w:cs="宋体"/>
          <w:bCs/>
          <w:color w:val="auto"/>
          <w:sz w:val="21"/>
          <w:szCs w:val="21"/>
        </w:rPr>
        <w:t>本条6.2响应文件格式部分规定的顺序</w:t>
      </w:r>
      <w:r>
        <w:rPr>
          <w:rFonts w:hint="eastAsia" w:ascii="宋体" w:hAnsi="宋体" w:cs="宋体"/>
          <w:color w:val="auto"/>
          <w:sz w:val="21"/>
          <w:szCs w:val="21"/>
        </w:rPr>
        <w:t>，统一编目编码并编制目录。由于编排混乱导致响应文件被误读或查找不到，责任应当由响应人承担。</w:t>
      </w:r>
    </w:p>
    <w:p w14:paraId="03B967F0">
      <w:pPr>
        <w:snapToGrid w:val="0"/>
        <w:spacing w:line="360" w:lineRule="auto"/>
        <w:ind w:firstLine="420" w:firstLineChars="200"/>
        <w:rPr>
          <w:rFonts w:ascii="宋体" w:hAnsi="宋体" w:cs="宋体"/>
          <w:color w:val="auto"/>
          <w:sz w:val="21"/>
          <w:szCs w:val="21"/>
        </w:rPr>
      </w:pPr>
      <w:r>
        <w:rPr>
          <w:rFonts w:hint="eastAsia" w:ascii="宋体" w:hAnsi="宋体" w:cs="宋体"/>
          <w:color w:val="auto"/>
          <w:sz w:val="21"/>
          <w:szCs w:val="21"/>
        </w:rPr>
        <w:t>（2）响应人应详细阅读磋商文件的全部内容。响应文件须对磋商文件中的内容做出实质性和完整的响应，如果响应文件填报的内容资料不详，或没有提供磋商文件中所要求的全部资料及数据，将被视为响应文件完整性有缺陷。</w:t>
      </w:r>
    </w:p>
    <w:p w14:paraId="6618CE97">
      <w:pPr>
        <w:snapToGrid w:val="0"/>
        <w:spacing w:line="360" w:lineRule="auto"/>
        <w:ind w:firstLine="420" w:firstLineChars="200"/>
        <w:rPr>
          <w:rFonts w:ascii="宋体" w:hAnsi="宋体" w:cs="宋体"/>
          <w:color w:val="auto"/>
          <w:sz w:val="21"/>
          <w:szCs w:val="21"/>
        </w:rPr>
      </w:pPr>
      <w:r>
        <w:rPr>
          <w:rFonts w:hint="eastAsia" w:ascii="宋体" w:hAnsi="宋体" w:cs="宋体"/>
          <w:color w:val="auto"/>
          <w:sz w:val="21"/>
          <w:szCs w:val="21"/>
        </w:rPr>
        <w:t>（3）除可填报内容外，对响应函内容的任何实质性修改将被视为非实质性响应投标，该响应将被拒绝。</w:t>
      </w:r>
    </w:p>
    <w:p w14:paraId="05D144FD">
      <w:pPr>
        <w:snapToGrid w:val="0"/>
        <w:spacing w:line="360" w:lineRule="auto"/>
        <w:ind w:firstLine="420" w:firstLineChars="200"/>
        <w:rPr>
          <w:rFonts w:ascii="宋体" w:hAnsi="宋体" w:cs="宋体"/>
          <w:color w:val="auto"/>
          <w:sz w:val="21"/>
          <w:szCs w:val="21"/>
        </w:rPr>
      </w:pPr>
      <w:r>
        <w:rPr>
          <w:rFonts w:hint="eastAsia" w:ascii="宋体" w:hAnsi="宋体" w:cs="宋体"/>
          <w:color w:val="auto"/>
          <w:sz w:val="21"/>
          <w:szCs w:val="21"/>
        </w:rPr>
        <w:t>（4）响应文件应按照磋商文件的格式逐项填写，无相应内容可填的项应填写“无”、“未测试”、“没有相应指标”等明确的回答文字。</w:t>
      </w:r>
    </w:p>
    <w:p w14:paraId="14EBE9D9">
      <w:pPr>
        <w:snapToGrid w:val="0"/>
        <w:spacing w:line="360" w:lineRule="auto"/>
        <w:ind w:firstLine="420" w:firstLineChars="200"/>
        <w:rPr>
          <w:rFonts w:ascii="宋体" w:hAnsi="宋体" w:cs="宋体"/>
          <w:color w:val="auto"/>
          <w:sz w:val="21"/>
          <w:szCs w:val="21"/>
        </w:rPr>
      </w:pPr>
      <w:r>
        <w:rPr>
          <w:rFonts w:hint="eastAsia" w:ascii="宋体" w:hAnsi="宋体" w:cs="宋体"/>
          <w:color w:val="auto"/>
          <w:sz w:val="21"/>
          <w:szCs w:val="21"/>
        </w:rPr>
        <w:t>（5）响应人必须保证响应文件所提供的全部资料真实可靠。</w:t>
      </w:r>
    </w:p>
    <w:p w14:paraId="4EB2A260">
      <w:pPr>
        <w:snapToGrid w:val="0"/>
        <w:spacing w:line="360" w:lineRule="auto"/>
        <w:ind w:firstLine="420" w:firstLineChars="200"/>
        <w:rPr>
          <w:rFonts w:ascii="宋体" w:hAnsi="宋体" w:cs="宋体"/>
          <w:bCs/>
          <w:color w:val="auto"/>
          <w:sz w:val="21"/>
          <w:szCs w:val="21"/>
        </w:rPr>
      </w:pPr>
      <w:bookmarkStart w:id="4" w:name="_Toc288738800"/>
      <w:bookmarkEnd w:id="4"/>
      <w:bookmarkStart w:id="5" w:name="_Toc288738406"/>
      <w:bookmarkEnd w:id="5"/>
      <w:bookmarkStart w:id="6" w:name="_Toc288738332"/>
      <w:r>
        <w:rPr>
          <w:rFonts w:hint="eastAsia" w:ascii="宋体" w:hAnsi="宋体" w:cs="宋体"/>
          <w:color w:val="auto"/>
          <w:sz w:val="21"/>
          <w:szCs w:val="21"/>
        </w:rPr>
        <w:t>6.2</w:t>
      </w:r>
      <w:bookmarkEnd w:id="6"/>
      <w:r>
        <w:rPr>
          <w:rFonts w:hint="eastAsia" w:ascii="宋体" w:hAnsi="宋体" w:cs="宋体"/>
          <w:bCs/>
          <w:color w:val="auto"/>
          <w:sz w:val="21"/>
          <w:szCs w:val="21"/>
        </w:rPr>
        <w:t>响应文件构成</w:t>
      </w:r>
    </w:p>
    <w:p w14:paraId="039C1263">
      <w:pPr>
        <w:snapToGrid w:val="0"/>
        <w:spacing w:line="360" w:lineRule="auto"/>
        <w:ind w:firstLine="420" w:firstLineChars="200"/>
        <w:rPr>
          <w:rFonts w:ascii="宋体" w:hAnsi="宋体" w:cs="宋体"/>
          <w:bCs/>
          <w:color w:val="auto"/>
          <w:sz w:val="21"/>
          <w:szCs w:val="21"/>
        </w:rPr>
      </w:pPr>
      <w:r>
        <w:rPr>
          <w:rFonts w:hint="eastAsia" w:ascii="宋体" w:hAnsi="宋体" w:cs="宋体"/>
          <w:bCs/>
          <w:color w:val="auto"/>
          <w:sz w:val="21"/>
          <w:szCs w:val="21"/>
        </w:rPr>
        <w:t>响应人应当按照磋商文件的要求编制响应文件，见第七章《响应文件格式》。</w:t>
      </w:r>
    </w:p>
    <w:p w14:paraId="5ECAAD1D">
      <w:pPr>
        <w:snapToGrid w:val="0"/>
        <w:spacing w:line="360" w:lineRule="auto"/>
        <w:ind w:firstLine="420" w:firstLineChars="200"/>
        <w:rPr>
          <w:rFonts w:ascii="宋体" w:hAnsi="宋体" w:cs="宋体"/>
          <w:color w:val="auto"/>
          <w:sz w:val="21"/>
          <w:szCs w:val="21"/>
        </w:rPr>
      </w:pPr>
      <w:r>
        <w:rPr>
          <w:rFonts w:hint="eastAsia" w:ascii="宋体" w:hAnsi="宋体" w:cs="宋体"/>
          <w:color w:val="auto"/>
          <w:sz w:val="21"/>
          <w:szCs w:val="21"/>
        </w:rPr>
        <w:t>6.3投标报价：</w:t>
      </w:r>
    </w:p>
    <w:p w14:paraId="325DCDC7">
      <w:pPr>
        <w:snapToGrid w:val="0"/>
        <w:spacing w:line="360" w:lineRule="auto"/>
        <w:ind w:firstLine="420" w:firstLineChars="200"/>
        <w:rPr>
          <w:rFonts w:ascii="宋体" w:hAnsi="宋体" w:cs="宋体"/>
          <w:color w:val="auto"/>
          <w:sz w:val="21"/>
          <w:szCs w:val="21"/>
        </w:rPr>
      </w:pPr>
      <w:r>
        <w:rPr>
          <w:rFonts w:hint="eastAsia" w:ascii="宋体" w:hAnsi="宋体" w:cs="宋体"/>
          <w:color w:val="auto"/>
          <w:sz w:val="21"/>
          <w:szCs w:val="21"/>
        </w:rPr>
        <w:t>（1）所有响应均按磋商文件要求报价；</w:t>
      </w:r>
    </w:p>
    <w:p w14:paraId="0E1BF6F1">
      <w:pPr>
        <w:snapToGrid w:val="0"/>
        <w:spacing w:line="360" w:lineRule="auto"/>
        <w:ind w:firstLine="420" w:firstLineChars="200"/>
        <w:rPr>
          <w:rFonts w:ascii="宋体" w:hAnsi="宋体" w:cs="宋体"/>
          <w:color w:val="auto"/>
          <w:sz w:val="21"/>
          <w:szCs w:val="21"/>
        </w:rPr>
      </w:pPr>
      <w:r>
        <w:rPr>
          <w:rFonts w:hint="eastAsia" w:ascii="宋体" w:hAnsi="宋体" w:cs="宋体"/>
          <w:color w:val="auto"/>
          <w:sz w:val="21"/>
          <w:szCs w:val="21"/>
        </w:rPr>
        <w:t>（2）供应商的报价应包括为完成本项目所发生的一切费用和税费，采购人将不再支付报价以外的任何费用。供应商的报价应包括但不限于下列内容，《供应商须知资料表》中有特殊规定的，从其规定。</w:t>
      </w:r>
    </w:p>
    <w:p w14:paraId="38D24F50">
      <w:pPr>
        <w:snapToGrid w:val="0"/>
        <w:spacing w:line="360" w:lineRule="auto"/>
        <w:ind w:firstLine="420" w:firstLineChars="200"/>
        <w:rPr>
          <w:rFonts w:ascii="宋体" w:hAnsi="宋体" w:cs="宋体"/>
          <w:color w:val="auto"/>
          <w:sz w:val="21"/>
          <w:szCs w:val="21"/>
        </w:rPr>
      </w:pPr>
      <w:r>
        <w:rPr>
          <w:rFonts w:hint="eastAsia" w:ascii="宋体" w:hAnsi="宋体" w:cs="宋体"/>
          <w:color w:val="auto"/>
          <w:sz w:val="21"/>
          <w:szCs w:val="21"/>
        </w:rPr>
        <w:t>（3）咨询服务费用应包括招标文件所确定的采购范围相应服务的提供、人员（包括工资和补贴）、办公场所及设施、保险、劳保、管理、各种税费、利润、税金、政策性文件规定及合同包含的所有风险、责任等各项应有费用，以及为完成该项服务项目所涉及到的一切相关费用。</w:t>
      </w:r>
    </w:p>
    <w:p w14:paraId="748E37C6">
      <w:pPr>
        <w:snapToGrid w:val="0"/>
        <w:spacing w:line="360" w:lineRule="auto"/>
        <w:ind w:firstLine="420" w:firstLineChars="200"/>
        <w:rPr>
          <w:rFonts w:ascii="宋体" w:hAnsi="宋体" w:cs="宋体"/>
          <w:color w:val="auto"/>
          <w:sz w:val="21"/>
          <w:szCs w:val="21"/>
        </w:rPr>
      </w:pPr>
      <w:r>
        <w:rPr>
          <w:rFonts w:hint="eastAsia" w:ascii="宋体" w:hAnsi="宋体" w:cs="宋体"/>
          <w:color w:val="auto"/>
          <w:sz w:val="21"/>
          <w:szCs w:val="21"/>
        </w:rPr>
        <w:t>（4）响应人对投标报价若有说明应在开标一览表显著处注明，只有开标时唱出的报价和优惠才会在评标时予以考虑。</w:t>
      </w:r>
    </w:p>
    <w:p w14:paraId="2919F7BA">
      <w:pPr>
        <w:snapToGrid w:val="0"/>
        <w:spacing w:line="360" w:lineRule="auto"/>
        <w:ind w:firstLine="420" w:firstLineChars="200"/>
        <w:rPr>
          <w:rFonts w:ascii="宋体" w:hAnsi="宋体" w:cs="宋体"/>
          <w:color w:val="auto"/>
          <w:sz w:val="21"/>
          <w:szCs w:val="21"/>
        </w:rPr>
      </w:pPr>
      <w:r>
        <w:rPr>
          <w:rFonts w:hint="eastAsia" w:ascii="宋体" w:hAnsi="宋体" w:cs="宋体"/>
          <w:color w:val="auto"/>
          <w:sz w:val="21"/>
          <w:szCs w:val="21"/>
        </w:rPr>
        <w:t>（5）投标的报价优惠应对应开标一览表、分项报价明细表等提供相应的明细清单。除报价优惠外，任何超出磋商文件要求而额外赠送的货物、免费培训等其他形式的优惠，在评标时将不具有竞争优势。</w:t>
      </w:r>
    </w:p>
    <w:p w14:paraId="38F5511C">
      <w:pPr>
        <w:snapToGrid w:val="0"/>
        <w:spacing w:line="360" w:lineRule="auto"/>
        <w:ind w:firstLine="420" w:firstLineChars="200"/>
        <w:rPr>
          <w:rFonts w:ascii="宋体" w:hAnsi="宋体" w:cs="宋体"/>
          <w:color w:val="auto"/>
          <w:sz w:val="21"/>
          <w:szCs w:val="21"/>
        </w:rPr>
      </w:pPr>
      <w:r>
        <w:rPr>
          <w:rFonts w:hint="eastAsia" w:ascii="宋体" w:hAnsi="宋体" w:cs="宋体"/>
          <w:color w:val="auto"/>
          <w:sz w:val="21"/>
          <w:szCs w:val="21"/>
        </w:rPr>
        <w:t>（6）最低报价不能作为中标的保证。</w:t>
      </w:r>
    </w:p>
    <w:p w14:paraId="335AEF41">
      <w:pPr>
        <w:snapToGrid w:val="0"/>
        <w:spacing w:line="360" w:lineRule="auto"/>
        <w:ind w:firstLine="420" w:firstLineChars="200"/>
        <w:rPr>
          <w:rFonts w:ascii="宋体" w:hAnsi="宋体" w:cs="宋体"/>
          <w:color w:val="auto"/>
          <w:sz w:val="21"/>
          <w:szCs w:val="21"/>
        </w:rPr>
      </w:pPr>
      <w:r>
        <w:rPr>
          <w:rFonts w:hint="eastAsia" w:ascii="宋体" w:hAnsi="宋体" w:cs="宋体"/>
          <w:color w:val="auto"/>
          <w:sz w:val="21"/>
          <w:szCs w:val="21"/>
        </w:rPr>
        <w:t>6.4项目技术方案。</w:t>
      </w:r>
    </w:p>
    <w:p w14:paraId="1E77480E">
      <w:pPr>
        <w:snapToGrid w:val="0"/>
        <w:spacing w:line="360" w:lineRule="auto"/>
        <w:ind w:firstLine="420" w:firstLineChars="200"/>
        <w:rPr>
          <w:rFonts w:ascii="宋体" w:hAnsi="宋体" w:cs="宋体"/>
          <w:color w:val="auto"/>
          <w:sz w:val="21"/>
          <w:szCs w:val="21"/>
        </w:rPr>
      </w:pPr>
      <w:r>
        <w:rPr>
          <w:rFonts w:hint="eastAsia" w:ascii="宋体" w:hAnsi="宋体" w:cs="宋体"/>
          <w:color w:val="auto"/>
          <w:sz w:val="21"/>
          <w:szCs w:val="21"/>
        </w:rPr>
        <w:t>6.5其他评审相关材料：</w:t>
      </w:r>
    </w:p>
    <w:p w14:paraId="481BC114">
      <w:pPr>
        <w:snapToGrid w:val="0"/>
        <w:spacing w:line="360" w:lineRule="auto"/>
        <w:ind w:firstLine="420" w:firstLineChars="200"/>
        <w:rPr>
          <w:rFonts w:ascii="宋体" w:hAnsi="宋体" w:cs="宋体"/>
          <w:color w:val="auto"/>
          <w:sz w:val="21"/>
          <w:szCs w:val="21"/>
        </w:rPr>
      </w:pPr>
      <w:r>
        <w:rPr>
          <w:rFonts w:hint="eastAsia" w:ascii="宋体" w:hAnsi="宋体" w:cs="宋体"/>
          <w:color w:val="auto"/>
          <w:sz w:val="21"/>
          <w:szCs w:val="21"/>
        </w:rPr>
        <w:t>（1）响应人依据评分办法应提交的各类证明资料(要求“原件核查”的材料应当将原件（或公证件）在投标截止时间前随同响应文件一并提交以供核查，过时不予接收，未提供的评审中将不予计分。)</w:t>
      </w:r>
    </w:p>
    <w:p w14:paraId="0B28FD17">
      <w:pPr>
        <w:snapToGrid w:val="0"/>
        <w:spacing w:line="360" w:lineRule="auto"/>
        <w:ind w:firstLine="420" w:firstLineChars="200"/>
        <w:rPr>
          <w:rFonts w:ascii="宋体" w:hAnsi="宋体" w:cs="宋体"/>
          <w:color w:val="auto"/>
          <w:sz w:val="21"/>
          <w:szCs w:val="21"/>
        </w:rPr>
      </w:pPr>
      <w:r>
        <w:rPr>
          <w:rFonts w:hint="eastAsia" w:ascii="宋体" w:hAnsi="宋体" w:cs="宋体"/>
          <w:color w:val="auto"/>
          <w:sz w:val="21"/>
          <w:szCs w:val="21"/>
        </w:rPr>
        <w:t>（2）其他需响应人对本次投标的详细说明（响应人视具体项目情况自行编制）；</w:t>
      </w:r>
    </w:p>
    <w:p w14:paraId="70A02109">
      <w:pPr>
        <w:snapToGrid w:val="0"/>
        <w:spacing w:line="360" w:lineRule="auto"/>
        <w:rPr>
          <w:rFonts w:ascii="宋体" w:hAnsi="宋体" w:cs="宋体"/>
          <w:color w:val="auto"/>
          <w:sz w:val="21"/>
          <w:szCs w:val="21"/>
        </w:rPr>
      </w:pPr>
      <w:r>
        <w:rPr>
          <w:rFonts w:hint="eastAsia" w:ascii="宋体" w:hAnsi="宋体" w:cs="宋体"/>
          <w:b/>
          <w:color w:val="auto"/>
          <w:sz w:val="21"/>
          <w:szCs w:val="21"/>
        </w:rPr>
        <w:t>七、响应人应认真检查磋商文件的内容是否齐全，如有遗漏，应及时向采购代理机构索取，否则责任自负。</w:t>
      </w:r>
      <w:bookmarkStart w:id="7" w:name="_Toc288738407"/>
      <w:bookmarkStart w:id="8" w:name="_Toc288738801"/>
      <w:bookmarkStart w:id="9" w:name="_Toc288738333"/>
    </w:p>
    <w:p w14:paraId="4C803CA0">
      <w:pPr>
        <w:snapToGrid w:val="0"/>
        <w:spacing w:line="360" w:lineRule="auto"/>
        <w:rPr>
          <w:rFonts w:ascii="宋体" w:hAnsi="宋体" w:cs="宋体"/>
          <w:b/>
          <w:color w:val="auto"/>
          <w:sz w:val="21"/>
          <w:szCs w:val="21"/>
        </w:rPr>
      </w:pPr>
      <w:r>
        <w:rPr>
          <w:rFonts w:hint="eastAsia" w:ascii="宋体" w:hAnsi="宋体" w:cs="宋体"/>
          <w:b/>
          <w:color w:val="auto"/>
          <w:sz w:val="21"/>
          <w:szCs w:val="21"/>
        </w:rPr>
        <w:t>八、响应文件的制作应当符合以下要求</w:t>
      </w:r>
      <w:bookmarkEnd w:id="7"/>
      <w:bookmarkEnd w:id="8"/>
      <w:bookmarkEnd w:id="9"/>
    </w:p>
    <w:p w14:paraId="75FBF73C">
      <w:pPr>
        <w:snapToGrid w:val="0"/>
        <w:spacing w:line="360" w:lineRule="auto"/>
        <w:ind w:firstLine="420" w:firstLineChars="200"/>
        <w:rPr>
          <w:rFonts w:ascii="宋体" w:hAnsi="宋体" w:cs="宋体"/>
          <w:color w:val="auto"/>
          <w:sz w:val="21"/>
          <w:szCs w:val="21"/>
        </w:rPr>
      </w:pPr>
      <w:bookmarkStart w:id="10" w:name="_Toc288738802"/>
      <w:bookmarkStart w:id="11" w:name="_Toc288738408"/>
      <w:bookmarkStart w:id="12" w:name="_Toc288738334"/>
      <w:r>
        <w:rPr>
          <w:rFonts w:hint="eastAsia" w:ascii="宋体" w:hAnsi="宋体" w:cs="宋体"/>
          <w:color w:val="auto"/>
          <w:sz w:val="21"/>
          <w:szCs w:val="21"/>
        </w:rPr>
        <w:t>8.1响应人应准备</w:t>
      </w:r>
      <w:r>
        <w:rPr>
          <w:rFonts w:hint="eastAsia" w:ascii="宋体" w:hAnsi="宋体" w:cs="宋体"/>
          <w:b/>
          <w:bCs/>
          <w:color w:val="auto"/>
          <w:sz w:val="21"/>
          <w:szCs w:val="21"/>
        </w:rPr>
        <w:t>响应文件的正本1套，副本2套</w:t>
      </w:r>
      <w:r>
        <w:rPr>
          <w:rFonts w:hint="eastAsia" w:ascii="宋体" w:hAnsi="宋体" w:cs="宋体"/>
          <w:color w:val="auto"/>
          <w:sz w:val="21"/>
          <w:szCs w:val="21"/>
        </w:rPr>
        <w:t>，响应文件的正本和副本均需打印或使用不褪色的蓝、黑墨水笔书写，字迹应清晰易于辨认，并应在响应文件封面的右上角清楚地注明“正本”或“副本”。正本和副本如有不一致之处，以正本为准。</w:t>
      </w:r>
    </w:p>
    <w:p w14:paraId="52B88AC7">
      <w:pPr>
        <w:snapToGrid w:val="0"/>
        <w:spacing w:line="360" w:lineRule="auto"/>
        <w:ind w:firstLine="420" w:firstLineChars="200"/>
        <w:rPr>
          <w:rFonts w:ascii="宋体" w:hAnsi="宋体" w:cs="宋体"/>
          <w:color w:val="auto"/>
          <w:sz w:val="21"/>
          <w:szCs w:val="21"/>
        </w:rPr>
      </w:pPr>
      <w:r>
        <w:rPr>
          <w:rFonts w:hint="eastAsia" w:ascii="宋体" w:hAnsi="宋体" w:cs="宋体"/>
          <w:color w:val="auto"/>
          <w:sz w:val="21"/>
          <w:szCs w:val="21"/>
        </w:rPr>
        <w:t>8.2响应文件由响应人按给定格式如实填写（编写），须有法人、法定代表人或法定代表人授权代表签字（盖章）处必须按要求签字（盖章）后，方为有效，否则作无效响应文件处理。副本可通过正本复印并在规定地方加盖公章。</w:t>
      </w:r>
    </w:p>
    <w:p w14:paraId="794D6543">
      <w:pPr>
        <w:snapToGrid w:val="0"/>
        <w:spacing w:line="360" w:lineRule="auto"/>
        <w:ind w:firstLine="420" w:firstLineChars="200"/>
        <w:rPr>
          <w:rFonts w:ascii="宋体" w:hAnsi="宋体" w:cs="宋体"/>
          <w:color w:val="auto"/>
          <w:sz w:val="21"/>
          <w:szCs w:val="21"/>
        </w:rPr>
      </w:pPr>
      <w:r>
        <w:rPr>
          <w:rFonts w:hint="eastAsia" w:ascii="宋体" w:hAnsi="宋体" w:cs="宋体"/>
          <w:color w:val="auto"/>
          <w:sz w:val="21"/>
          <w:szCs w:val="21"/>
        </w:rPr>
        <w:t>8.3响应人违反上述规定的，其响应文件将被作为无效响应文件处理，不予拆封和参加评审。</w:t>
      </w:r>
    </w:p>
    <w:p w14:paraId="4CD01A85">
      <w:pPr>
        <w:snapToGrid w:val="0"/>
        <w:spacing w:line="360" w:lineRule="auto"/>
        <w:ind w:firstLine="420" w:firstLineChars="200"/>
        <w:rPr>
          <w:rFonts w:ascii="宋体" w:hAnsi="宋体" w:cs="宋体"/>
          <w:color w:val="auto"/>
          <w:sz w:val="21"/>
          <w:szCs w:val="21"/>
        </w:rPr>
      </w:pPr>
      <w:r>
        <w:rPr>
          <w:rFonts w:hint="eastAsia" w:ascii="宋体" w:hAnsi="宋体" w:cs="宋体"/>
          <w:color w:val="auto"/>
          <w:sz w:val="21"/>
          <w:szCs w:val="21"/>
        </w:rPr>
        <w:t>8.4全套响应文件应无修改和行间插字。</w:t>
      </w:r>
    </w:p>
    <w:p w14:paraId="43846A7A">
      <w:pPr>
        <w:snapToGrid w:val="0"/>
        <w:spacing w:line="360" w:lineRule="auto"/>
        <w:ind w:firstLine="420" w:firstLineChars="200"/>
        <w:rPr>
          <w:rFonts w:ascii="宋体" w:hAnsi="宋体" w:cs="宋体"/>
          <w:color w:val="auto"/>
          <w:sz w:val="21"/>
          <w:szCs w:val="21"/>
        </w:rPr>
      </w:pPr>
      <w:r>
        <w:rPr>
          <w:rFonts w:hint="eastAsia" w:ascii="宋体" w:hAnsi="宋体" w:cs="宋体"/>
          <w:color w:val="auto"/>
          <w:sz w:val="21"/>
          <w:szCs w:val="21"/>
        </w:rPr>
        <w:t>8.5投标报价清晰准确，不存在影响其他响应人评分的严重错误。</w:t>
      </w:r>
    </w:p>
    <w:p w14:paraId="21ADE205">
      <w:pPr>
        <w:snapToGrid w:val="0"/>
        <w:spacing w:line="360" w:lineRule="auto"/>
        <w:ind w:firstLine="420" w:firstLineChars="200"/>
        <w:rPr>
          <w:rFonts w:ascii="宋体" w:hAnsi="宋体" w:cs="宋体"/>
          <w:color w:val="auto"/>
          <w:sz w:val="21"/>
          <w:szCs w:val="21"/>
        </w:rPr>
      </w:pPr>
      <w:r>
        <w:rPr>
          <w:rFonts w:hint="eastAsia" w:ascii="宋体" w:hAnsi="宋体" w:cs="宋体"/>
          <w:color w:val="auto"/>
          <w:sz w:val="21"/>
          <w:szCs w:val="21"/>
        </w:rPr>
        <w:t>8.6所有文件、往来函件均应使用简体中文（规格、型号辅助符号例外）。</w:t>
      </w:r>
    </w:p>
    <w:p w14:paraId="0F124FA7">
      <w:pPr>
        <w:snapToGrid w:val="0"/>
        <w:spacing w:line="360" w:lineRule="auto"/>
        <w:ind w:firstLine="420" w:firstLineChars="200"/>
        <w:rPr>
          <w:rFonts w:ascii="宋体" w:hAnsi="宋体" w:cs="宋体"/>
          <w:color w:val="auto"/>
          <w:sz w:val="21"/>
          <w:szCs w:val="21"/>
        </w:rPr>
      </w:pPr>
      <w:r>
        <w:rPr>
          <w:rFonts w:hint="eastAsia" w:ascii="宋体" w:hAnsi="宋体" w:cs="宋体"/>
          <w:color w:val="auto"/>
          <w:sz w:val="21"/>
          <w:szCs w:val="21"/>
        </w:rPr>
        <w:t>8.7响应人投标一律以人民币为投标结算货币,结算单位为“元”。</w:t>
      </w:r>
    </w:p>
    <w:p w14:paraId="393F20EC">
      <w:pPr>
        <w:snapToGrid w:val="0"/>
        <w:spacing w:line="360" w:lineRule="auto"/>
        <w:ind w:firstLine="420" w:firstLineChars="200"/>
        <w:rPr>
          <w:rFonts w:ascii="宋体" w:hAnsi="宋体" w:cs="宋体"/>
          <w:color w:val="auto"/>
          <w:sz w:val="21"/>
          <w:szCs w:val="21"/>
        </w:rPr>
      </w:pPr>
      <w:r>
        <w:rPr>
          <w:rFonts w:hint="eastAsia" w:ascii="宋体" w:hAnsi="宋体" w:cs="宋体"/>
          <w:color w:val="auto"/>
          <w:sz w:val="21"/>
          <w:szCs w:val="21"/>
        </w:rPr>
        <w:t>8.8投标材料格式部分，应由响应人按给定格式提供，不得更改，否则视为无效响应文件处理。</w:t>
      </w:r>
    </w:p>
    <w:p w14:paraId="4FD29EE9">
      <w:pPr>
        <w:snapToGrid w:val="0"/>
        <w:spacing w:line="360" w:lineRule="auto"/>
        <w:ind w:firstLine="420" w:firstLineChars="200"/>
        <w:rPr>
          <w:rFonts w:ascii="宋体" w:hAnsi="宋体" w:cs="宋体"/>
          <w:color w:val="auto"/>
          <w:sz w:val="21"/>
          <w:szCs w:val="21"/>
        </w:rPr>
      </w:pPr>
      <w:r>
        <w:rPr>
          <w:rFonts w:hint="eastAsia" w:ascii="宋体" w:hAnsi="宋体" w:cs="宋体"/>
          <w:color w:val="auto"/>
          <w:sz w:val="21"/>
          <w:szCs w:val="21"/>
        </w:rPr>
        <w:t>8.9响应文件不应有涂改、增删和潦草之处，如有必须修改时，修改处必须有法人、法定代表人或法定代表人授权代表的签字和盖章。</w:t>
      </w:r>
    </w:p>
    <w:p w14:paraId="17F723A4">
      <w:pPr>
        <w:snapToGrid w:val="0"/>
        <w:spacing w:line="360" w:lineRule="auto"/>
        <w:ind w:firstLine="420" w:firstLineChars="200"/>
        <w:rPr>
          <w:rFonts w:ascii="宋体" w:hAnsi="宋体" w:cs="宋体"/>
          <w:color w:val="auto"/>
          <w:sz w:val="21"/>
          <w:szCs w:val="21"/>
        </w:rPr>
      </w:pPr>
      <w:r>
        <w:rPr>
          <w:rFonts w:hint="eastAsia" w:ascii="宋体" w:hAnsi="宋体" w:cs="宋体"/>
          <w:color w:val="auto"/>
          <w:sz w:val="21"/>
          <w:szCs w:val="21"/>
        </w:rPr>
        <w:t>8.10响应人在响应文件中应加盖与响应人全称相一致的标准公章，不得使用其他形式如带有“专用章”等字样的印章，否则视为无效响应文件处理；响应人法定代表人或授权代表的签字或盖章须为全名，否则视为无效响应文件处理。</w:t>
      </w:r>
    </w:p>
    <w:p w14:paraId="0CC949A0">
      <w:pPr>
        <w:snapToGrid w:val="0"/>
        <w:spacing w:line="360" w:lineRule="auto"/>
        <w:rPr>
          <w:rFonts w:ascii="宋体" w:hAnsi="宋体" w:cs="宋体"/>
          <w:b/>
          <w:bCs/>
          <w:color w:val="auto"/>
          <w:sz w:val="21"/>
          <w:szCs w:val="21"/>
        </w:rPr>
      </w:pPr>
      <w:r>
        <w:rPr>
          <w:rFonts w:hint="eastAsia" w:ascii="宋体" w:hAnsi="宋体" w:cs="宋体"/>
          <w:b/>
          <w:bCs/>
          <w:color w:val="auto"/>
          <w:sz w:val="21"/>
          <w:szCs w:val="21"/>
        </w:rPr>
        <w:t>九、在响应文件提交截止时间之前的密封完好的响应文件可以接受。</w:t>
      </w:r>
      <w:bookmarkEnd w:id="10"/>
      <w:bookmarkEnd w:id="11"/>
      <w:bookmarkEnd w:id="12"/>
    </w:p>
    <w:p w14:paraId="10190156">
      <w:pPr>
        <w:snapToGrid w:val="0"/>
        <w:spacing w:line="360" w:lineRule="auto"/>
        <w:rPr>
          <w:rFonts w:ascii="宋体" w:hAnsi="宋体" w:cs="宋体"/>
          <w:b/>
          <w:bCs/>
          <w:color w:val="auto"/>
          <w:sz w:val="21"/>
          <w:szCs w:val="21"/>
        </w:rPr>
      </w:pPr>
      <w:bookmarkStart w:id="13" w:name="_Toc288738335"/>
      <w:bookmarkStart w:id="14" w:name="_Toc288738803"/>
      <w:bookmarkStart w:id="15" w:name="_Toc288738409"/>
      <w:r>
        <w:rPr>
          <w:rFonts w:hint="eastAsia" w:ascii="宋体" w:hAnsi="宋体" w:cs="宋体"/>
          <w:b/>
          <w:bCs/>
          <w:color w:val="auto"/>
          <w:sz w:val="21"/>
          <w:szCs w:val="21"/>
        </w:rPr>
        <w:t>十、投标保证金</w:t>
      </w:r>
      <w:bookmarkEnd w:id="13"/>
      <w:bookmarkEnd w:id="14"/>
      <w:bookmarkEnd w:id="15"/>
      <w:r>
        <w:rPr>
          <w:rFonts w:hint="eastAsia" w:ascii="宋体" w:hAnsi="宋体" w:cs="宋体"/>
          <w:b/>
          <w:bCs/>
          <w:color w:val="auto"/>
          <w:sz w:val="21"/>
          <w:szCs w:val="21"/>
        </w:rPr>
        <w:t>：无。</w:t>
      </w:r>
    </w:p>
    <w:p w14:paraId="0F3BC2E9">
      <w:pPr>
        <w:snapToGrid w:val="0"/>
        <w:spacing w:line="360" w:lineRule="auto"/>
        <w:rPr>
          <w:rFonts w:ascii="宋体" w:hAnsi="宋体" w:cs="宋体"/>
          <w:b/>
          <w:color w:val="auto"/>
          <w:sz w:val="21"/>
          <w:szCs w:val="21"/>
        </w:rPr>
      </w:pPr>
      <w:bookmarkStart w:id="16" w:name="_Toc288738337"/>
      <w:bookmarkStart w:id="17" w:name="_Toc288738411"/>
      <w:bookmarkStart w:id="18" w:name="_Toc288738805"/>
      <w:r>
        <w:rPr>
          <w:rFonts w:hint="eastAsia" w:ascii="宋体" w:hAnsi="宋体" w:cs="宋体"/>
          <w:b/>
          <w:color w:val="auto"/>
          <w:sz w:val="21"/>
          <w:szCs w:val="21"/>
        </w:rPr>
        <w:t>十一、响应文件的密封与标志</w:t>
      </w:r>
      <w:bookmarkEnd w:id="16"/>
      <w:bookmarkEnd w:id="17"/>
      <w:bookmarkEnd w:id="18"/>
    </w:p>
    <w:p w14:paraId="5198FC2C">
      <w:pPr>
        <w:snapToGrid w:val="0"/>
        <w:spacing w:line="360" w:lineRule="auto"/>
        <w:ind w:firstLine="420" w:firstLineChars="200"/>
        <w:rPr>
          <w:rFonts w:ascii="宋体" w:hAnsi="宋体" w:cs="宋体"/>
          <w:color w:val="auto"/>
          <w:sz w:val="21"/>
          <w:szCs w:val="21"/>
        </w:rPr>
      </w:pPr>
      <w:bookmarkStart w:id="19" w:name="_Toc288738806"/>
      <w:bookmarkStart w:id="20" w:name="_Toc288738412"/>
      <w:bookmarkStart w:id="21" w:name="_Toc288738338"/>
      <w:r>
        <w:rPr>
          <w:rFonts w:hint="eastAsia" w:ascii="宋体" w:hAnsi="宋体" w:cs="宋体"/>
          <w:color w:val="auto"/>
          <w:sz w:val="21"/>
          <w:szCs w:val="21"/>
        </w:rPr>
        <w:t>11.1响应人应将响应文件密封。</w:t>
      </w:r>
    </w:p>
    <w:p w14:paraId="4DB4A5AB">
      <w:pPr>
        <w:snapToGrid w:val="0"/>
        <w:spacing w:line="360" w:lineRule="auto"/>
        <w:ind w:firstLine="420" w:firstLineChars="200"/>
        <w:rPr>
          <w:rFonts w:ascii="宋体" w:hAnsi="宋体" w:cs="宋体"/>
          <w:color w:val="auto"/>
          <w:sz w:val="21"/>
          <w:szCs w:val="21"/>
        </w:rPr>
      </w:pPr>
      <w:r>
        <w:rPr>
          <w:rFonts w:hint="eastAsia" w:ascii="宋体" w:hAnsi="宋体" w:cs="宋体"/>
          <w:color w:val="auto"/>
          <w:sz w:val="21"/>
          <w:szCs w:val="21"/>
        </w:rPr>
        <w:t>11.2所有封袋上都应写明响应人名称、采购项目名称，采购项目编号，年月日，加盖响应人公章。</w:t>
      </w:r>
    </w:p>
    <w:p w14:paraId="62399B2A">
      <w:pPr>
        <w:snapToGrid w:val="0"/>
        <w:spacing w:line="360" w:lineRule="auto"/>
        <w:ind w:firstLine="420" w:firstLineChars="200"/>
        <w:rPr>
          <w:rFonts w:ascii="宋体" w:hAnsi="宋体" w:cs="宋体"/>
          <w:b/>
          <w:color w:val="auto"/>
          <w:sz w:val="21"/>
          <w:szCs w:val="21"/>
        </w:rPr>
      </w:pPr>
      <w:r>
        <w:rPr>
          <w:rFonts w:hint="eastAsia" w:ascii="宋体" w:hAnsi="宋体" w:cs="宋体"/>
          <w:color w:val="auto"/>
          <w:sz w:val="21"/>
          <w:szCs w:val="21"/>
        </w:rPr>
        <w:t>11.3响应人违反上述规定的，其响应文件将被作为无效响应文件，不予拆封和参加评审。</w:t>
      </w:r>
    </w:p>
    <w:p w14:paraId="7EFAA036">
      <w:pPr>
        <w:snapToGrid w:val="0"/>
        <w:spacing w:line="360" w:lineRule="auto"/>
        <w:rPr>
          <w:rFonts w:ascii="宋体" w:hAnsi="宋体" w:cs="宋体"/>
          <w:b/>
          <w:color w:val="auto"/>
          <w:sz w:val="21"/>
          <w:szCs w:val="21"/>
        </w:rPr>
      </w:pPr>
      <w:r>
        <w:rPr>
          <w:rFonts w:hint="eastAsia" w:ascii="宋体" w:hAnsi="宋体" w:cs="宋体"/>
          <w:b/>
          <w:color w:val="auto"/>
          <w:sz w:val="21"/>
          <w:szCs w:val="21"/>
        </w:rPr>
        <w:t>十二、响应文件提交，截止时间和地</w:t>
      </w:r>
      <w:bookmarkEnd w:id="19"/>
      <w:bookmarkEnd w:id="20"/>
      <w:bookmarkEnd w:id="21"/>
      <w:r>
        <w:rPr>
          <w:rFonts w:hint="eastAsia" w:ascii="宋体" w:hAnsi="宋体" w:cs="宋体"/>
          <w:b/>
          <w:color w:val="auto"/>
          <w:sz w:val="21"/>
          <w:szCs w:val="21"/>
        </w:rPr>
        <w:t>点</w:t>
      </w:r>
    </w:p>
    <w:p w14:paraId="19F8E978">
      <w:pPr>
        <w:snapToGrid w:val="0"/>
        <w:spacing w:line="360" w:lineRule="auto"/>
        <w:ind w:firstLine="420" w:firstLineChars="200"/>
        <w:rPr>
          <w:rFonts w:ascii="宋体" w:hAnsi="宋体" w:cs="宋体"/>
          <w:color w:val="auto"/>
          <w:sz w:val="21"/>
          <w:szCs w:val="21"/>
        </w:rPr>
      </w:pPr>
      <w:r>
        <w:rPr>
          <w:rFonts w:hint="eastAsia" w:ascii="宋体" w:hAnsi="宋体" w:cs="宋体"/>
          <w:color w:val="auto"/>
          <w:sz w:val="21"/>
          <w:szCs w:val="21"/>
        </w:rPr>
        <w:t>12.1响应人须在磋商公告规定的响应文件提交截止时间之前在指定地点将响应文件提交给采购代理机构。</w:t>
      </w:r>
    </w:p>
    <w:p w14:paraId="7A409E70">
      <w:pPr>
        <w:spacing w:line="360" w:lineRule="auto"/>
        <w:ind w:firstLine="430" w:firstLineChars="200"/>
        <w:rPr>
          <w:rFonts w:ascii="宋体" w:hAnsi="宋体" w:cs="宋体"/>
          <w:b/>
          <w:color w:val="auto"/>
          <w:sz w:val="21"/>
          <w:szCs w:val="21"/>
        </w:rPr>
      </w:pPr>
      <w:r>
        <w:rPr>
          <w:rFonts w:hint="eastAsia" w:ascii="宋体" w:hAnsi="宋体" w:cs="宋体"/>
          <w:b/>
          <w:color w:val="auto"/>
          <w:spacing w:val="2"/>
          <w:sz w:val="21"/>
          <w:szCs w:val="21"/>
        </w:rPr>
        <w:t>12.2响应人在提交响应文件时须提供法定代表人或代理人身份证原件</w:t>
      </w:r>
      <w:r>
        <w:rPr>
          <w:rFonts w:hint="eastAsia" w:ascii="宋体" w:hAnsi="宋体" w:cs="宋体"/>
          <w:b/>
          <w:color w:val="auto"/>
          <w:spacing w:val="2"/>
          <w:sz w:val="21"/>
          <w:szCs w:val="21"/>
        </w:rPr>
        <w:t>（</w:t>
      </w:r>
      <w:r>
        <w:rPr>
          <w:rFonts w:hint="eastAsia" w:ascii="宋体" w:hAnsi="宋体" w:cs="宋体"/>
          <w:b/>
          <w:color w:val="auto"/>
          <w:sz w:val="21"/>
          <w:szCs w:val="21"/>
        </w:rPr>
        <w:t>若身份证遗失的，可提供临时身份证或居民户口簿</w:t>
      </w:r>
      <w:r>
        <w:rPr>
          <w:rFonts w:hint="eastAsia" w:ascii="宋体" w:hAnsi="宋体" w:cs="宋体"/>
          <w:b/>
          <w:color w:val="auto"/>
          <w:spacing w:val="2"/>
          <w:sz w:val="21"/>
          <w:szCs w:val="21"/>
        </w:rPr>
        <w:t>），</w:t>
      </w:r>
      <w:r>
        <w:rPr>
          <w:rFonts w:hint="eastAsia" w:ascii="宋体" w:hAnsi="宋体" w:cs="宋体"/>
          <w:b/>
          <w:color w:val="auto"/>
          <w:spacing w:val="2"/>
          <w:sz w:val="21"/>
          <w:szCs w:val="21"/>
        </w:rPr>
        <w:t>未提供的，采购代理机构不接受其响应文件，不予参加招标和评审。</w:t>
      </w:r>
      <w:bookmarkStart w:id="22" w:name="_Toc288738413"/>
      <w:bookmarkStart w:id="23" w:name="_Toc288738339"/>
      <w:bookmarkStart w:id="24" w:name="_Toc288738807"/>
    </w:p>
    <w:p w14:paraId="6A64DEC2">
      <w:pPr>
        <w:snapToGrid w:val="0"/>
        <w:spacing w:line="360" w:lineRule="auto"/>
        <w:rPr>
          <w:rFonts w:ascii="宋体" w:hAnsi="宋体" w:cs="宋体"/>
          <w:b/>
          <w:color w:val="auto"/>
          <w:sz w:val="21"/>
          <w:szCs w:val="21"/>
        </w:rPr>
      </w:pPr>
      <w:r>
        <w:rPr>
          <w:rFonts w:hint="eastAsia" w:ascii="宋体" w:hAnsi="宋体" w:cs="宋体"/>
          <w:b/>
          <w:color w:val="auto"/>
          <w:sz w:val="21"/>
          <w:szCs w:val="21"/>
        </w:rPr>
        <w:t>十三、响应文件的修改和撤回</w:t>
      </w:r>
      <w:bookmarkEnd w:id="22"/>
      <w:bookmarkEnd w:id="23"/>
      <w:bookmarkEnd w:id="24"/>
    </w:p>
    <w:p w14:paraId="6A02A835">
      <w:pPr>
        <w:snapToGrid w:val="0"/>
        <w:spacing w:line="360" w:lineRule="auto"/>
        <w:ind w:firstLine="420" w:firstLineChars="200"/>
        <w:rPr>
          <w:rFonts w:ascii="宋体" w:hAnsi="宋体" w:cs="宋体"/>
          <w:b/>
          <w:color w:val="auto"/>
          <w:sz w:val="21"/>
          <w:szCs w:val="21"/>
        </w:rPr>
      </w:pPr>
      <w:r>
        <w:rPr>
          <w:rFonts w:hint="eastAsia" w:ascii="宋体" w:hAnsi="宋体" w:cs="宋体"/>
          <w:color w:val="auto"/>
          <w:sz w:val="21"/>
          <w:szCs w:val="21"/>
        </w:rPr>
        <w:t>13.1在响应文件提交截止时间之前，响应人可以对所提交的响应文件进行修改和撤回，但所提交的修改或撤回通知必须按磋商文件的规定进行编制、密封、标志（在包封上标明“修改”或“撤回”字样，并注</w:t>
      </w:r>
      <w:r>
        <w:rPr>
          <w:rFonts w:hint="eastAsia" w:ascii="宋体" w:hAnsi="宋体" w:cs="宋体"/>
          <w:b/>
          <w:color w:val="auto"/>
          <w:sz w:val="21"/>
          <w:szCs w:val="21"/>
        </w:rPr>
        <w:t>明修改或撤回的时间）和提交。响应文件提交截止时间之后，响应人不得修改或撤回响应文件。</w:t>
      </w:r>
      <w:bookmarkStart w:id="25" w:name="_Toc288738340"/>
      <w:bookmarkStart w:id="26" w:name="_Toc471819247"/>
      <w:bookmarkStart w:id="27" w:name="_Toc288738808"/>
    </w:p>
    <w:bookmarkEnd w:id="25"/>
    <w:bookmarkEnd w:id="26"/>
    <w:bookmarkEnd w:id="27"/>
    <w:p w14:paraId="2A49ABAC">
      <w:pPr>
        <w:snapToGrid w:val="0"/>
        <w:spacing w:line="360" w:lineRule="auto"/>
        <w:rPr>
          <w:rFonts w:ascii="宋体" w:hAnsi="宋体" w:cs="宋体"/>
          <w:b/>
          <w:color w:val="auto"/>
          <w:sz w:val="21"/>
          <w:szCs w:val="21"/>
        </w:rPr>
      </w:pPr>
      <w:r>
        <w:rPr>
          <w:rFonts w:hint="eastAsia" w:ascii="宋体" w:hAnsi="宋体" w:cs="宋体"/>
          <w:b/>
          <w:color w:val="auto"/>
          <w:sz w:val="21"/>
          <w:szCs w:val="21"/>
        </w:rPr>
        <w:t>十四、</w:t>
      </w:r>
      <w:bookmarkStart w:id="28" w:name="_Toc288738812"/>
      <w:bookmarkStart w:id="29" w:name="_Toc288738418"/>
      <w:bookmarkStart w:id="30" w:name="_Toc288738344"/>
      <w:r>
        <w:rPr>
          <w:rFonts w:hint="eastAsia" w:ascii="宋体" w:hAnsi="宋体" w:cs="宋体"/>
          <w:b/>
          <w:color w:val="auto"/>
          <w:sz w:val="21"/>
          <w:szCs w:val="21"/>
        </w:rPr>
        <w:t>响应文件的有效期</w:t>
      </w:r>
    </w:p>
    <w:p w14:paraId="4F8E08FD">
      <w:pPr>
        <w:snapToGrid w:val="0"/>
        <w:spacing w:line="360" w:lineRule="auto"/>
        <w:ind w:firstLine="420" w:firstLineChars="200"/>
        <w:rPr>
          <w:rFonts w:ascii="宋体" w:hAnsi="宋体" w:cs="宋体"/>
          <w:bCs/>
          <w:color w:val="auto"/>
          <w:sz w:val="21"/>
          <w:szCs w:val="21"/>
        </w:rPr>
      </w:pPr>
      <w:r>
        <w:rPr>
          <w:rFonts w:hint="eastAsia" w:ascii="宋体" w:hAnsi="宋体" w:cs="宋体"/>
          <w:bCs/>
          <w:color w:val="auto"/>
          <w:sz w:val="21"/>
          <w:szCs w:val="21"/>
        </w:rPr>
        <w:t>14.1本项目响应文件的有效期</w:t>
      </w:r>
      <w:r>
        <w:rPr>
          <w:rFonts w:hint="eastAsia" w:ascii="宋体" w:hAnsi="宋体" w:cs="宋体"/>
          <w:b/>
          <w:color w:val="auto"/>
          <w:sz w:val="21"/>
          <w:szCs w:val="21"/>
        </w:rPr>
        <w:t>详见响应人须知前附表第17条</w:t>
      </w:r>
      <w:r>
        <w:rPr>
          <w:rFonts w:hint="eastAsia" w:ascii="宋体" w:hAnsi="宋体" w:cs="宋体"/>
          <w:bCs/>
          <w:color w:val="auto"/>
          <w:sz w:val="21"/>
          <w:szCs w:val="21"/>
        </w:rPr>
        <w:t>。投标截止时间后，响应人在投标有效期内不得撤销响应文件。</w:t>
      </w:r>
    </w:p>
    <w:p w14:paraId="184C5F3F">
      <w:pPr>
        <w:snapToGrid w:val="0"/>
        <w:spacing w:line="360" w:lineRule="auto"/>
        <w:ind w:firstLine="420" w:firstLineChars="200"/>
        <w:rPr>
          <w:rFonts w:ascii="宋体" w:hAnsi="宋体" w:cs="宋体"/>
          <w:bCs/>
          <w:color w:val="auto"/>
          <w:sz w:val="21"/>
          <w:szCs w:val="21"/>
        </w:rPr>
      </w:pPr>
      <w:r>
        <w:rPr>
          <w:rFonts w:hint="eastAsia" w:ascii="宋体" w:hAnsi="宋体" w:cs="宋体"/>
          <w:bCs/>
          <w:color w:val="auto"/>
          <w:sz w:val="21"/>
          <w:szCs w:val="21"/>
        </w:rPr>
        <w:t>14.2在特殊情况下，采购人或采购代理机构可与响应人协商延长响应文件的有效期。这种要求和答复都应以书面形式进行。同意延长有效期的响应人除按照采购人或代理机构要求修改响应文件有效期外，不得修改响应文件的其他内容。</w:t>
      </w:r>
    </w:p>
    <w:p w14:paraId="0DD2EF88">
      <w:pPr>
        <w:snapToGrid w:val="0"/>
        <w:spacing w:line="360" w:lineRule="auto"/>
        <w:rPr>
          <w:rFonts w:ascii="宋体" w:hAnsi="宋体" w:cs="宋体"/>
          <w:b/>
          <w:color w:val="auto"/>
          <w:sz w:val="21"/>
          <w:szCs w:val="21"/>
        </w:rPr>
      </w:pPr>
      <w:r>
        <w:rPr>
          <w:rFonts w:hint="eastAsia" w:ascii="宋体" w:hAnsi="宋体" w:cs="宋体"/>
          <w:b/>
          <w:color w:val="auto"/>
          <w:sz w:val="21"/>
          <w:szCs w:val="21"/>
        </w:rPr>
        <w:t>十五、</w:t>
      </w:r>
      <w:bookmarkEnd w:id="28"/>
      <w:bookmarkEnd w:id="29"/>
      <w:bookmarkEnd w:id="30"/>
      <w:r>
        <w:rPr>
          <w:rFonts w:hint="eastAsia" w:ascii="宋体" w:hAnsi="宋体" w:cs="宋体"/>
          <w:b/>
          <w:color w:val="auto"/>
          <w:sz w:val="21"/>
          <w:szCs w:val="21"/>
        </w:rPr>
        <w:t>中标服务费</w:t>
      </w:r>
    </w:p>
    <w:p w14:paraId="49C2CE87">
      <w:pPr>
        <w:snapToGrid w:val="0"/>
        <w:spacing w:line="360" w:lineRule="auto"/>
        <w:ind w:firstLine="420" w:firstLineChars="200"/>
        <w:rPr>
          <w:rFonts w:ascii="宋体" w:hAnsi="宋体" w:cs="宋体"/>
          <w:bCs/>
          <w:color w:val="auto"/>
          <w:sz w:val="21"/>
          <w:szCs w:val="21"/>
        </w:rPr>
      </w:pPr>
      <w:r>
        <w:rPr>
          <w:rFonts w:hint="eastAsia" w:ascii="宋体" w:hAnsi="宋体" w:cs="宋体"/>
          <w:bCs/>
          <w:color w:val="auto"/>
          <w:sz w:val="21"/>
          <w:szCs w:val="21"/>
        </w:rPr>
        <w:t>15.1本次招标的中标代理服务费详见响应人须知前附表第21条。</w:t>
      </w:r>
    </w:p>
    <w:p w14:paraId="625FF860">
      <w:pPr>
        <w:snapToGrid w:val="0"/>
        <w:spacing w:line="360" w:lineRule="auto"/>
        <w:rPr>
          <w:rFonts w:ascii="宋体" w:hAnsi="宋体" w:cs="宋体"/>
          <w:b/>
          <w:color w:val="auto"/>
          <w:sz w:val="21"/>
          <w:szCs w:val="21"/>
        </w:rPr>
      </w:pPr>
      <w:bookmarkStart w:id="31" w:name="_Toc288738420"/>
      <w:bookmarkStart w:id="32" w:name="_Toc288738814"/>
      <w:bookmarkStart w:id="33" w:name="_Toc288738346"/>
      <w:r>
        <w:rPr>
          <w:rFonts w:hint="eastAsia" w:ascii="宋体" w:hAnsi="宋体" w:cs="宋体"/>
          <w:b/>
          <w:color w:val="auto"/>
          <w:sz w:val="21"/>
          <w:szCs w:val="21"/>
        </w:rPr>
        <w:t>十六、开标</w:t>
      </w:r>
    </w:p>
    <w:bookmarkEnd w:id="31"/>
    <w:bookmarkEnd w:id="32"/>
    <w:bookmarkEnd w:id="33"/>
    <w:p w14:paraId="037F16D7">
      <w:pPr>
        <w:snapToGrid w:val="0"/>
        <w:spacing w:line="360" w:lineRule="auto"/>
        <w:ind w:firstLine="420" w:firstLineChars="200"/>
        <w:rPr>
          <w:rFonts w:ascii="宋体" w:hAnsi="宋体" w:cs="宋体"/>
          <w:bCs/>
          <w:color w:val="auto"/>
          <w:sz w:val="21"/>
          <w:szCs w:val="21"/>
        </w:rPr>
      </w:pPr>
      <w:bookmarkStart w:id="34" w:name="_Toc288738349"/>
      <w:bookmarkStart w:id="35" w:name="_Toc288738817"/>
      <w:bookmarkStart w:id="36" w:name="_Toc288738423"/>
      <w:r>
        <w:rPr>
          <w:rFonts w:hint="eastAsia" w:ascii="宋体" w:hAnsi="宋体" w:cs="宋体"/>
          <w:bCs/>
          <w:color w:val="auto"/>
          <w:sz w:val="21"/>
          <w:szCs w:val="21"/>
        </w:rPr>
        <w:t>16.1采购代理机构按磋商文件规定的时间、地点主持开标，邀请采购人、响应人参加。响应人参加开标会的应由法定代表人或者委托代理人携带身份证明原件（若身份证遗失的，可提供临时身份证或居民户口簿）准时参加，并签名报到以证明其出席。</w:t>
      </w:r>
    </w:p>
    <w:p w14:paraId="09F61F51">
      <w:pPr>
        <w:snapToGrid w:val="0"/>
        <w:spacing w:line="360" w:lineRule="auto"/>
        <w:ind w:firstLine="420" w:firstLineChars="200"/>
        <w:rPr>
          <w:rFonts w:ascii="宋体" w:hAnsi="宋体" w:cs="宋体"/>
          <w:bCs/>
          <w:color w:val="auto"/>
          <w:sz w:val="21"/>
          <w:szCs w:val="21"/>
        </w:rPr>
      </w:pPr>
      <w:r>
        <w:rPr>
          <w:rFonts w:hint="eastAsia" w:ascii="宋体" w:hAnsi="宋体" w:cs="宋体"/>
          <w:bCs/>
          <w:color w:val="auto"/>
          <w:sz w:val="21"/>
          <w:szCs w:val="21"/>
        </w:rPr>
        <w:t>16.2响应人</w:t>
      </w:r>
      <w:r>
        <w:rPr>
          <w:rFonts w:hint="eastAsia" w:ascii="宋体" w:hAnsi="宋体" w:cs="宋体"/>
          <w:b/>
          <w:color w:val="auto"/>
          <w:sz w:val="21"/>
          <w:szCs w:val="21"/>
        </w:rPr>
        <w:t>不足4家</w:t>
      </w:r>
      <w:r>
        <w:rPr>
          <w:rFonts w:hint="eastAsia" w:ascii="宋体" w:hAnsi="宋体" w:cs="宋体"/>
          <w:bCs/>
          <w:color w:val="auto"/>
          <w:sz w:val="21"/>
          <w:szCs w:val="21"/>
        </w:rPr>
        <w:t>，不进入开标程序。</w:t>
      </w:r>
    </w:p>
    <w:p w14:paraId="0524CB80">
      <w:pPr>
        <w:snapToGrid w:val="0"/>
        <w:spacing w:line="360" w:lineRule="auto"/>
        <w:ind w:firstLine="420" w:firstLineChars="200"/>
        <w:rPr>
          <w:rFonts w:ascii="宋体" w:hAnsi="宋体" w:cs="宋体"/>
          <w:bCs/>
          <w:color w:val="auto"/>
          <w:sz w:val="21"/>
          <w:szCs w:val="21"/>
        </w:rPr>
      </w:pPr>
      <w:r>
        <w:rPr>
          <w:rFonts w:hint="eastAsia" w:ascii="宋体" w:hAnsi="宋体" w:cs="宋体"/>
          <w:bCs/>
          <w:color w:val="auto"/>
          <w:sz w:val="21"/>
          <w:szCs w:val="21"/>
        </w:rPr>
        <w:t>16.3开标时，由响应人或者其推选的代表检查响应文件的密封情况</w:t>
      </w:r>
      <w:bookmarkStart w:id="37" w:name="_Toc288738348"/>
      <w:bookmarkStart w:id="38" w:name="_Toc288738816"/>
      <w:bookmarkStart w:id="39" w:name="_Toc288738422"/>
      <w:r>
        <w:rPr>
          <w:rFonts w:hint="eastAsia" w:ascii="宋体" w:hAnsi="宋体" w:cs="宋体"/>
          <w:bCs/>
          <w:color w:val="auto"/>
          <w:sz w:val="21"/>
          <w:szCs w:val="21"/>
        </w:rPr>
        <w:t>。</w:t>
      </w:r>
    </w:p>
    <w:p w14:paraId="79CD3409">
      <w:pPr>
        <w:snapToGrid w:val="0"/>
        <w:spacing w:line="360" w:lineRule="auto"/>
        <w:ind w:firstLine="420" w:firstLineChars="200"/>
        <w:rPr>
          <w:rFonts w:ascii="宋体" w:hAnsi="宋体" w:cs="宋体"/>
          <w:bCs/>
          <w:color w:val="auto"/>
          <w:sz w:val="21"/>
          <w:szCs w:val="21"/>
        </w:rPr>
      </w:pPr>
      <w:r>
        <w:rPr>
          <w:rFonts w:hint="eastAsia" w:ascii="宋体" w:hAnsi="宋体" w:cs="宋体"/>
          <w:bCs/>
          <w:color w:val="auto"/>
          <w:sz w:val="21"/>
          <w:szCs w:val="21"/>
        </w:rPr>
        <w:t>16.</w:t>
      </w:r>
      <w:bookmarkEnd w:id="37"/>
      <w:bookmarkEnd w:id="38"/>
      <w:bookmarkEnd w:id="39"/>
      <w:r>
        <w:rPr>
          <w:rFonts w:hint="eastAsia" w:ascii="宋体" w:hAnsi="宋体" w:cs="宋体"/>
          <w:bCs/>
          <w:color w:val="auto"/>
          <w:sz w:val="21"/>
          <w:szCs w:val="21"/>
        </w:rPr>
        <w:t>4超过项目预算或最高限价（费率）的投标将被拒绝，公布的项目预算</w:t>
      </w:r>
      <w:r>
        <w:rPr>
          <w:rFonts w:hint="eastAsia" w:ascii="宋体" w:hAnsi="宋体" w:cs="宋体"/>
          <w:b/>
          <w:color w:val="auto"/>
          <w:sz w:val="21"/>
          <w:szCs w:val="21"/>
        </w:rPr>
        <w:t>详见响应人须知前附表第3条</w:t>
      </w:r>
      <w:r>
        <w:rPr>
          <w:rFonts w:hint="eastAsia" w:ascii="宋体" w:hAnsi="宋体" w:cs="宋体"/>
          <w:bCs/>
          <w:color w:val="auto"/>
          <w:sz w:val="21"/>
          <w:szCs w:val="21"/>
        </w:rPr>
        <w:t>，最高限价（费率）</w:t>
      </w:r>
      <w:r>
        <w:rPr>
          <w:rFonts w:hint="eastAsia" w:ascii="宋体" w:hAnsi="宋体" w:cs="宋体"/>
          <w:b/>
          <w:color w:val="auto"/>
          <w:sz w:val="21"/>
          <w:szCs w:val="21"/>
        </w:rPr>
        <w:t>详见响应人须知前附表第4条</w:t>
      </w:r>
      <w:r>
        <w:rPr>
          <w:rFonts w:hint="eastAsia" w:ascii="宋体" w:hAnsi="宋体" w:cs="宋体"/>
          <w:bCs/>
          <w:color w:val="auto"/>
          <w:sz w:val="21"/>
          <w:szCs w:val="21"/>
        </w:rPr>
        <w:t>。</w:t>
      </w:r>
    </w:p>
    <w:p w14:paraId="096B770B">
      <w:pPr>
        <w:snapToGrid w:val="0"/>
        <w:spacing w:line="360" w:lineRule="auto"/>
        <w:ind w:firstLine="420" w:firstLineChars="200"/>
        <w:rPr>
          <w:rFonts w:ascii="宋体" w:hAnsi="宋体" w:cs="宋体"/>
          <w:bCs/>
          <w:color w:val="auto"/>
          <w:sz w:val="21"/>
          <w:szCs w:val="21"/>
        </w:rPr>
      </w:pPr>
      <w:r>
        <w:rPr>
          <w:rFonts w:hint="eastAsia" w:ascii="宋体" w:hAnsi="宋体" w:cs="宋体"/>
          <w:bCs/>
          <w:color w:val="auto"/>
          <w:sz w:val="21"/>
          <w:szCs w:val="21"/>
        </w:rPr>
        <w:t xml:space="preserve">16.5开标开始之后不再接受响应人提供的任何补充材料。 </w:t>
      </w:r>
    </w:p>
    <w:p w14:paraId="6F59A291">
      <w:pPr>
        <w:snapToGrid w:val="0"/>
        <w:spacing w:line="360" w:lineRule="auto"/>
        <w:rPr>
          <w:rFonts w:ascii="宋体" w:hAnsi="宋体" w:cs="宋体"/>
          <w:b/>
          <w:color w:val="auto"/>
          <w:sz w:val="21"/>
          <w:szCs w:val="21"/>
        </w:rPr>
      </w:pPr>
      <w:r>
        <w:rPr>
          <w:rFonts w:hint="eastAsia" w:ascii="宋体" w:hAnsi="宋体" w:cs="宋体"/>
          <w:b/>
          <w:color w:val="auto"/>
          <w:sz w:val="21"/>
          <w:szCs w:val="21"/>
        </w:rPr>
        <w:t>十七、资格审查</w:t>
      </w:r>
    </w:p>
    <w:p w14:paraId="5D662339">
      <w:pPr>
        <w:snapToGrid w:val="0"/>
        <w:spacing w:line="360" w:lineRule="auto"/>
        <w:ind w:firstLine="630" w:firstLineChars="300"/>
        <w:rPr>
          <w:rFonts w:ascii="宋体" w:hAnsi="宋体" w:cs="宋体"/>
          <w:bCs/>
          <w:color w:val="auto"/>
          <w:sz w:val="21"/>
          <w:szCs w:val="21"/>
        </w:rPr>
      </w:pPr>
      <w:r>
        <w:rPr>
          <w:rFonts w:hint="eastAsia" w:ascii="宋体" w:hAnsi="宋体" w:cs="宋体"/>
          <w:bCs/>
          <w:color w:val="auto"/>
          <w:sz w:val="21"/>
          <w:szCs w:val="21"/>
        </w:rPr>
        <w:t>17.1开标结束后，</w:t>
      </w:r>
      <w:r>
        <w:rPr>
          <w:rFonts w:hint="eastAsia" w:ascii="宋体" w:hAnsi="宋体" w:cs="宋体"/>
          <w:bCs/>
          <w:color w:val="auto"/>
          <w:sz w:val="21"/>
          <w:szCs w:val="21"/>
        </w:rPr>
        <w:t>采购人或采购代理机构</w:t>
      </w:r>
      <w:r>
        <w:rPr>
          <w:rFonts w:hint="eastAsia" w:ascii="宋体" w:hAnsi="宋体" w:cs="宋体"/>
          <w:bCs/>
          <w:color w:val="auto"/>
          <w:sz w:val="21"/>
          <w:szCs w:val="21"/>
        </w:rPr>
        <w:t>依法按照磋商文件规定，对照响应文件资格审查材料对响应人的资格进行审查。合格响应人不足3家的，不进入评标程序。</w:t>
      </w:r>
    </w:p>
    <w:p w14:paraId="5CF235BC">
      <w:pPr>
        <w:snapToGrid w:val="0"/>
        <w:spacing w:line="360" w:lineRule="auto"/>
        <w:rPr>
          <w:rFonts w:ascii="宋体" w:hAnsi="宋体" w:cs="宋体"/>
          <w:b/>
          <w:color w:val="auto"/>
          <w:sz w:val="21"/>
          <w:szCs w:val="21"/>
        </w:rPr>
      </w:pPr>
      <w:r>
        <w:rPr>
          <w:rFonts w:hint="eastAsia" w:ascii="宋体" w:hAnsi="宋体" w:cs="宋体"/>
          <w:b/>
          <w:color w:val="auto"/>
          <w:sz w:val="21"/>
          <w:szCs w:val="21"/>
        </w:rPr>
        <w:t>十八、组建磋商小组</w:t>
      </w:r>
    </w:p>
    <w:p w14:paraId="4C6DACB2">
      <w:pPr>
        <w:snapToGrid w:val="0"/>
        <w:spacing w:line="360" w:lineRule="auto"/>
        <w:ind w:firstLine="420" w:firstLineChars="200"/>
        <w:rPr>
          <w:rFonts w:ascii="宋体" w:hAnsi="宋体" w:cs="宋体"/>
          <w:bCs/>
          <w:color w:val="auto"/>
          <w:sz w:val="21"/>
          <w:szCs w:val="21"/>
        </w:rPr>
      </w:pPr>
      <w:r>
        <w:rPr>
          <w:rFonts w:hint="eastAsia" w:ascii="宋体" w:hAnsi="宋体" w:cs="宋体"/>
          <w:bCs/>
          <w:color w:val="auto"/>
          <w:sz w:val="21"/>
          <w:szCs w:val="21"/>
        </w:rPr>
        <w:t>18.1采购代理机构根据有关法律法规和本磋商文件的规定，结合本磋商项目专业要求组建磋商小组，对具备实质性投标的响应文件进行评估和比较。</w:t>
      </w:r>
    </w:p>
    <w:p w14:paraId="3147749B">
      <w:pPr>
        <w:snapToGrid w:val="0"/>
        <w:spacing w:line="360" w:lineRule="auto"/>
        <w:ind w:firstLine="420" w:firstLineChars="200"/>
        <w:rPr>
          <w:rFonts w:ascii="宋体" w:hAnsi="宋体" w:cs="宋体"/>
          <w:bCs/>
          <w:color w:val="auto"/>
          <w:sz w:val="21"/>
          <w:szCs w:val="21"/>
        </w:rPr>
      </w:pPr>
      <w:r>
        <w:rPr>
          <w:rFonts w:hint="eastAsia" w:ascii="宋体" w:hAnsi="宋体" w:cs="宋体"/>
          <w:bCs/>
          <w:color w:val="auto"/>
          <w:sz w:val="21"/>
          <w:szCs w:val="21"/>
        </w:rPr>
        <w:t>18.2磋商小组成员与参加采购活动的响应人存在下列利害关系之一的，不能参加评标：</w:t>
      </w:r>
    </w:p>
    <w:p w14:paraId="4403D20C">
      <w:pPr>
        <w:snapToGrid w:val="0"/>
        <w:spacing w:line="360" w:lineRule="auto"/>
        <w:ind w:firstLine="420" w:firstLineChars="200"/>
        <w:rPr>
          <w:rFonts w:ascii="宋体" w:hAnsi="宋体" w:cs="宋体"/>
          <w:bCs/>
          <w:color w:val="auto"/>
          <w:sz w:val="21"/>
          <w:szCs w:val="21"/>
        </w:rPr>
      </w:pPr>
      <w:r>
        <w:rPr>
          <w:rFonts w:hint="eastAsia" w:ascii="宋体" w:hAnsi="宋体" w:cs="宋体"/>
          <w:bCs/>
          <w:color w:val="auto"/>
          <w:sz w:val="21"/>
          <w:szCs w:val="21"/>
        </w:rPr>
        <w:t>（1）参加采购活动前三年内，与响应人存在劳动关系，或者担任过响应人的董事、监事，或者是响应人的控股股东或实际控制人；</w:t>
      </w:r>
    </w:p>
    <w:p w14:paraId="58DB7B4B">
      <w:pPr>
        <w:snapToGrid w:val="0"/>
        <w:spacing w:line="360" w:lineRule="auto"/>
        <w:ind w:firstLine="420" w:firstLineChars="200"/>
        <w:rPr>
          <w:rFonts w:ascii="宋体" w:hAnsi="宋体" w:cs="宋体"/>
          <w:bCs/>
          <w:color w:val="auto"/>
          <w:sz w:val="21"/>
          <w:szCs w:val="21"/>
        </w:rPr>
      </w:pPr>
      <w:r>
        <w:rPr>
          <w:rFonts w:hint="eastAsia" w:ascii="宋体" w:hAnsi="宋体" w:cs="宋体"/>
          <w:bCs/>
          <w:color w:val="auto"/>
          <w:sz w:val="21"/>
          <w:szCs w:val="21"/>
        </w:rPr>
        <w:t>（2）与响应人的法定代表人或者负责人有夫妻、直系血亲、三代以内旁系血亲或者近姻亲关系；</w:t>
      </w:r>
    </w:p>
    <w:p w14:paraId="7154CB06">
      <w:pPr>
        <w:snapToGrid w:val="0"/>
        <w:spacing w:line="360" w:lineRule="auto"/>
        <w:ind w:firstLine="420" w:firstLineChars="200"/>
        <w:rPr>
          <w:rFonts w:ascii="宋体" w:hAnsi="宋体" w:cs="宋体"/>
          <w:bCs/>
          <w:color w:val="auto"/>
          <w:sz w:val="21"/>
          <w:szCs w:val="21"/>
        </w:rPr>
      </w:pPr>
      <w:r>
        <w:rPr>
          <w:rFonts w:hint="eastAsia" w:ascii="宋体" w:hAnsi="宋体" w:cs="宋体"/>
          <w:bCs/>
          <w:color w:val="auto"/>
          <w:sz w:val="21"/>
          <w:szCs w:val="21"/>
        </w:rPr>
        <w:t>（3）与响应人有其他可能影响政府采购活动公平、公正进行的关系。</w:t>
      </w:r>
    </w:p>
    <w:p w14:paraId="4F612408">
      <w:pPr>
        <w:snapToGrid w:val="0"/>
        <w:spacing w:line="360" w:lineRule="auto"/>
        <w:ind w:firstLine="420" w:firstLineChars="200"/>
        <w:rPr>
          <w:rFonts w:ascii="宋体" w:hAnsi="宋体" w:cs="宋体"/>
          <w:bCs/>
          <w:color w:val="auto"/>
          <w:sz w:val="21"/>
          <w:szCs w:val="21"/>
        </w:rPr>
      </w:pPr>
      <w:r>
        <w:rPr>
          <w:rFonts w:hint="eastAsia" w:ascii="宋体" w:hAnsi="宋体" w:cs="宋体"/>
          <w:bCs/>
          <w:color w:val="auto"/>
          <w:sz w:val="21"/>
          <w:szCs w:val="21"/>
        </w:rPr>
        <w:t>18.3采购人只能以采购人代表的身份参与评标，采购代理机构工作人员不得参加评标。</w:t>
      </w:r>
    </w:p>
    <w:p w14:paraId="2F3B047B">
      <w:pPr>
        <w:snapToGrid w:val="0"/>
        <w:spacing w:line="360" w:lineRule="auto"/>
        <w:ind w:firstLine="420" w:firstLineChars="200"/>
        <w:rPr>
          <w:rFonts w:ascii="宋体" w:hAnsi="宋体" w:cs="宋体"/>
          <w:bCs/>
          <w:color w:val="auto"/>
          <w:sz w:val="21"/>
          <w:szCs w:val="21"/>
        </w:rPr>
      </w:pPr>
      <w:r>
        <w:rPr>
          <w:rFonts w:hint="eastAsia" w:ascii="宋体" w:hAnsi="宋体" w:cs="宋体"/>
          <w:bCs/>
          <w:color w:val="auto"/>
          <w:sz w:val="21"/>
          <w:szCs w:val="21"/>
        </w:rPr>
        <w:t>18.4磋商小组负责具体评标事务，并独立履行下列职责：</w:t>
      </w:r>
    </w:p>
    <w:p w14:paraId="7BB897E0">
      <w:pPr>
        <w:snapToGrid w:val="0"/>
        <w:spacing w:line="360" w:lineRule="auto"/>
        <w:ind w:firstLine="420" w:firstLineChars="200"/>
        <w:rPr>
          <w:rFonts w:ascii="宋体" w:hAnsi="宋体" w:cs="宋体"/>
          <w:bCs/>
          <w:color w:val="auto"/>
          <w:sz w:val="21"/>
          <w:szCs w:val="21"/>
        </w:rPr>
      </w:pPr>
      <w:r>
        <w:rPr>
          <w:rFonts w:hint="eastAsia" w:ascii="宋体" w:hAnsi="宋体" w:cs="宋体"/>
          <w:bCs/>
          <w:color w:val="auto"/>
          <w:sz w:val="21"/>
          <w:szCs w:val="21"/>
        </w:rPr>
        <w:t>（1）审查、评价响应文件是否符合磋商文件的商务、技术等实质性要求；</w:t>
      </w:r>
    </w:p>
    <w:p w14:paraId="508B3E03">
      <w:pPr>
        <w:snapToGrid w:val="0"/>
        <w:spacing w:line="360" w:lineRule="auto"/>
        <w:ind w:firstLine="420" w:firstLineChars="200"/>
        <w:rPr>
          <w:rFonts w:ascii="宋体" w:hAnsi="宋体" w:cs="宋体"/>
          <w:bCs/>
          <w:color w:val="auto"/>
          <w:sz w:val="21"/>
          <w:szCs w:val="21"/>
        </w:rPr>
      </w:pPr>
      <w:r>
        <w:rPr>
          <w:rFonts w:hint="eastAsia" w:ascii="宋体" w:hAnsi="宋体" w:cs="宋体"/>
          <w:bCs/>
          <w:color w:val="auto"/>
          <w:sz w:val="21"/>
          <w:szCs w:val="21"/>
        </w:rPr>
        <w:t>（2）要求响应人对响应文件有关事项作出澄清或者说明；</w:t>
      </w:r>
    </w:p>
    <w:p w14:paraId="0937CE41">
      <w:pPr>
        <w:snapToGrid w:val="0"/>
        <w:spacing w:line="360" w:lineRule="auto"/>
        <w:ind w:firstLine="420" w:firstLineChars="200"/>
        <w:rPr>
          <w:rFonts w:ascii="宋体" w:hAnsi="宋体" w:cs="宋体"/>
          <w:bCs/>
          <w:color w:val="auto"/>
          <w:sz w:val="21"/>
          <w:szCs w:val="21"/>
        </w:rPr>
      </w:pPr>
      <w:r>
        <w:rPr>
          <w:rFonts w:hint="eastAsia" w:ascii="宋体" w:hAnsi="宋体" w:cs="宋体"/>
          <w:bCs/>
          <w:color w:val="auto"/>
          <w:sz w:val="21"/>
          <w:szCs w:val="21"/>
        </w:rPr>
        <w:t>（3）对响应文件进行比较和评价；</w:t>
      </w:r>
    </w:p>
    <w:p w14:paraId="41695329">
      <w:pPr>
        <w:snapToGrid w:val="0"/>
        <w:spacing w:line="360" w:lineRule="auto"/>
        <w:ind w:firstLine="420" w:firstLineChars="200"/>
        <w:rPr>
          <w:rFonts w:ascii="宋体" w:hAnsi="宋体" w:cs="宋体"/>
          <w:bCs/>
          <w:color w:val="auto"/>
          <w:sz w:val="21"/>
          <w:szCs w:val="21"/>
        </w:rPr>
      </w:pPr>
      <w:r>
        <w:rPr>
          <w:rFonts w:hint="eastAsia" w:ascii="宋体" w:hAnsi="宋体" w:cs="宋体"/>
          <w:bCs/>
          <w:color w:val="auto"/>
          <w:sz w:val="21"/>
          <w:szCs w:val="21"/>
        </w:rPr>
        <w:t>（4）确定中标候选人名单，以及根据采购人委托直接确定中标人；</w:t>
      </w:r>
    </w:p>
    <w:p w14:paraId="6408727C">
      <w:pPr>
        <w:snapToGrid w:val="0"/>
        <w:spacing w:line="360" w:lineRule="auto"/>
        <w:ind w:firstLine="420" w:firstLineChars="200"/>
        <w:rPr>
          <w:rFonts w:ascii="宋体" w:hAnsi="宋体" w:cs="宋体"/>
          <w:color w:val="auto"/>
          <w:sz w:val="21"/>
          <w:szCs w:val="21"/>
        </w:rPr>
      </w:pPr>
      <w:r>
        <w:rPr>
          <w:rFonts w:hint="eastAsia" w:ascii="宋体" w:hAnsi="宋体" w:cs="宋体"/>
          <w:bCs/>
          <w:color w:val="auto"/>
          <w:sz w:val="21"/>
          <w:szCs w:val="21"/>
        </w:rPr>
        <w:t>（5）向采购人、采购代理机构或者有关部门报告评标中发现的违法行为。</w:t>
      </w:r>
    </w:p>
    <w:p w14:paraId="72B0EB7A">
      <w:pPr>
        <w:snapToGrid w:val="0"/>
        <w:spacing w:line="360" w:lineRule="auto"/>
        <w:rPr>
          <w:rFonts w:ascii="宋体" w:hAnsi="宋体" w:cs="宋体"/>
          <w:b/>
          <w:color w:val="auto"/>
          <w:sz w:val="21"/>
          <w:szCs w:val="21"/>
        </w:rPr>
      </w:pPr>
      <w:r>
        <w:rPr>
          <w:rFonts w:hint="eastAsia" w:ascii="宋体" w:hAnsi="宋体" w:cs="宋体"/>
          <w:b/>
          <w:color w:val="auto"/>
          <w:sz w:val="21"/>
          <w:szCs w:val="21"/>
        </w:rPr>
        <w:t>十九、响应文件出现下列情况之一的，将作为无效响应文件处理，无效响应文件不予参加评审。</w:t>
      </w:r>
      <w:bookmarkEnd w:id="34"/>
      <w:bookmarkEnd w:id="35"/>
      <w:bookmarkEnd w:id="36"/>
    </w:p>
    <w:p w14:paraId="24C53815">
      <w:pPr>
        <w:snapToGrid w:val="0"/>
        <w:spacing w:line="360" w:lineRule="auto"/>
        <w:ind w:firstLine="420" w:firstLineChars="200"/>
        <w:rPr>
          <w:rFonts w:ascii="宋体" w:hAnsi="宋体" w:cs="宋体"/>
          <w:color w:val="auto"/>
          <w:sz w:val="21"/>
          <w:szCs w:val="21"/>
        </w:rPr>
      </w:pPr>
      <w:r>
        <w:rPr>
          <w:rFonts w:hint="eastAsia" w:ascii="宋体" w:hAnsi="宋体" w:cs="宋体"/>
          <w:color w:val="auto"/>
          <w:sz w:val="21"/>
          <w:szCs w:val="21"/>
        </w:rPr>
        <w:t>19.1响应文件未按规定标志、密封、盖章的；</w:t>
      </w:r>
    </w:p>
    <w:p w14:paraId="77AEA254">
      <w:pPr>
        <w:snapToGrid w:val="0"/>
        <w:spacing w:line="360" w:lineRule="auto"/>
        <w:ind w:firstLine="420" w:firstLineChars="200"/>
        <w:rPr>
          <w:rFonts w:ascii="宋体" w:hAnsi="宋体" w:cs="宋体"/>
          <w:color w:val="auto"/>
          <w:sz w:val="21"/>
          <w:szCs w:val="21"/>
        </w:rPr>
      </w:pPr>
      <w:r>
        <w:rPr>
          <w:rFonts w:hint="eastAsia" w:ascii="宋体" w:hAnsi="宋体" w:cs="宋体"/>
          <w:color w:val="auto"/>
          <w:sz w:val="21"/>
          <w:szCs w:val="21"/>
        </w:rPr>
        <w:t>19.2响应文件未加盖响应人公章的；</w:t>
      </w:r>
    </w:p>
    <w:p w14:paraId="0FBC7500">
      <w:pPr>
        <w:snapToGrid w:val="0"/>
        <w:spacing w:line="360" w:lineRule="auto"/>
        <w:ind w:firstLine="420" w:firstLineChars="200"/>
        <w:rPr>
          <w:rFonts w:ascii="宋体" w:hAnsi="宋体" w:cs="宋体"/>
          <w:color w:val="auto"/>
          <w:sz w:val="21"/>
          <w:szCs w:val="21"/>
        </w:rPr>
      </w:pPr>
      <w:r>
        <w:rPr>
          <w:rFonts w:hint="eastAsia" w:ascii="宋体" w:hAnsi="宋体" w:cs="宋体"/>
          <w:color w:val="auto"/>
          <w:sz w:val="21"/>
          <w:szCs w:val="21"/>
        </w:rPr>
        <w:t>19.3授权委托书无响应人公章、法定代表人的印鉴（或签名），或委托书非原件的；</w:t>
      </w:r>
    </w:p>
    <w:p w14:paraId="0BF1A0D8">
      <w:pPr>
        <w:snapToGrid w:val="0"/>
        <w:spacing w:line="360" w:lineRule="auto"/>
        <w:ind w:firstLine="420" w:firstLineChars="200"/>
        <w:rPr>
          <w:rFonts w:ascii="宋体" w:hAnsi="宋体" w:cs="宋体"/>
          <w:color w:val="auto"/>
          <w:sz w:val="21"/>
          <w:szCs w:val="21"/>
        </w:rPr>
      </w:pPr>
      <w:r>
        <w:rPr>
          <w:rFonts w:hint="eastAsia" w:ascii="宋体" w:hAnsi="宋体" w:cs="宋体"/>
          <w:color w:val="auto"/>
          <w:sz w:val="21"/>
          <w:szCs w:val="21"/>
        </w:rPr>
        <w:t>19.4响应人未通过报名的或者在名称上和法人地位上与报名情况发生实质性的改变的；</w:t>
      </w:r>
    </w:p>
    <w:p w14:paraId="5E8618BB">
      <w:pPr>
        <w:snapToGrid w:val="0"/>
        <w:spacing w:line="360" w:lineRule="auto"/>
        <w:ind w:firstLine="420" w:firstLineChars="200"/>
        <w:rPr>
          <w:rFonts w:ascii="宋体" w:hAnsi="宋体" w:cs="宋体"/>
          <w:color w:val="auto"/>
          <w:sz w:val="21"/>
          <w:szCs w:val="21"/>
        </w:rPr>
      </w:pPr>
      <w:r>
        <w:rPr>
          <w:rFonts w:hint="eastAsia" w:ascii="宋体" w:hAnsi="宋体" w:cs="宋体"/>
          <w:color w:val="auto"/>
          <w:sz w:val="21"/>
          <w:szCs w:val="21"/>
        </w:rPr>
        <w:t>19.5响应人不符合磋商文件中规定资格要求的，或者资格要求证明材料提供不齐全的；</w:t>
      </w:r>
    </w:p>
    <w:p w14:paraId="7A052314">
      <w:pPr>
        <w:snapToGrid w:val="0"/>
        <w:spacing w:line="360" w:lineRule="auto"/>
        <w:ind w:firstLine="420" w:firstLineChars="200"/>
        <w:rPr>
          <w:rFonts w:ascii="宋体" w:hAnsi="宋体" w:cs="宋体"/>
          <w:color w:val="auto"/>
          <w:sz w:val="21"/>
          <w:szCs w:val="21"/>
        </w:rPr>
      </w:pPr>
      <w:r>
        <w:rPr>
          <w:rFonts w:hint="eastAsia" w:ascii="宋体" w:hAnsi="宋体" w:cs="宋体"/>
          <w:color w:val="auto"/>
          <w:sz w:val="21"/>
          <w:szCs w:val="21"/>
        </w:rPr>
        <w:t>19.6响应文件未按磋商文件规定的格式、内容和要求编制，响应文件字迹潦草、模糊、难以辨认；</w:t>
      </w:r>
    </w:p>
    <w:p w14:paraId="01979E47">
      <w:pPr>
        <w:snapToGrid w:val="0"/>
        <w:spacing w:line="360" w:lineRule="auto"/>
        <w:ind w:firstLine="420" w:firstLineChars="200"/>
        <w:rPr>
          <w:rFonts w:ascii="宋体" w:hAnsi="宋体" w:cs="宋体"/>
          <w:color w:val="auto"/>
          <w:sz w:val="21"/>
          <w:szCs w:val="21"/>
        </w:rPr>
      </w:pPr>
      <w:r>
        <w:rPr>
          <w:rFonts w:hint="eastAsia" w:ascii="宋体" w:hAnsi="宋体" w:cs="宋体"/>
          <w:color w:val="auto"/>
          <w:sz w:val="21"/>
          <w:szCs w:val="21"/>
        </w:rPr>
        <w:t>19.7响应人在一份响应文件中，对同一采购项目报有两个或多个报价，且未书面确定以哪个报价为准的；</w:t>
      </w:r>
    </w:p>
    <w:p w14:paraId="19385E58">
      <w:pPr>
        <w:snapToGrid w:val="0"/>
        <w:spacing w:line="360" w:lineRule="auto"/>
        <w:ind w:firstLine="420" w:firstLineChars="200"/>
        <w:rPr>
          <w:rFonts w:ascii="宋体" w:hAnsi="宋体" w:cs="宋体"/>
          <w:color w:val="auto"/>
          <w:sz w:val="21"/>
          <w:szCs w:val="21"/>
        </w:rPr>
      </w:pPr>
      <w:r>
        <w:rPr>
          <w:rFonts w:hint="eastAsia" w:ascii="宋体" w:hAnsi="宋体" w:cs="宋体"/>
          <w:color w:val="auto"/>
          <w:sz w:val="21"/>
          <w:szCs w:val="21"/>
        </w:rPr>
        <w:t>19.8响应人在投标报价中存在严重错误，并影响对其他响应人的评分的；</w:t>
      </w:r>
    </w:p>
    <w:p w14:paraId="4E643719">
      <w:pPr>
        <w:snapToGrid w:val="0"/>
        <w:spacing w:line="360" w:lineRule="auto"/>
        <w:ind w:firstLine="420" w:firstLineChars="200"/>
        <w:rPr>
          <w:rFonts w:ascii="宋体" w:hAnsi="宋体" w:cs="宋体"/>
          <w:color w:val="auto"/>
          <w:sz w:val="21"/>
          <w:szCs w:val="21"/>
        </w:rPr>
      </w:pPr>
      <w:r>
        <w:rPr>
          <w:rFonts w:hint="eastAsia" w:ascii="宋体" w:hAnsi="宋体" w:cs="宋体"/>
          <w:color w:val="auto"/>
          <w:sz w:val="21"/>
          <w:szCs w:val="21"/>
        </w:rPr>
        <w:t>19.9响应文件材料所述情况和所附相关资料不实的；</w:t>
      </w:r>
    </w:p>
    <w:p w14:paraId="1B00E10B">
      <w:pPr>
        <w:snapToGrid w:val="0"/>
        <w:spacing w:line="360" w:lineRule="auto"/>
        <w:ind w:firstLine="420" w:firstLineChars="200"/>
        <w:rPr>
          <w:rFonts w:ascii="宋体" w:hAnsi="宋体" w:cs="宋体"/>
          <w:color w:val="auto"/>
          <w:sz w:val="21"/>
          <w:szCs w:val="21"/>
        </w:rPr>
      </w:pPr>
      <w:r>
        <w:rPr>
          <w:rFonts w:hint="eastAsia" w:ascii="宋体" w:hAnsi="宋体" w:cs="宋体"/>
          <w:color w:val="auto"/>
          <w:sz w:val="21"/>
          <w:szCs w:val="21"/>
        </w:rPr>
        <w:t>19.10响应人以他人的名义投标、串通投标、以行贿手段谋取中标或者以其他弄虚作假方式投标的。</w:t>
      </w:r>
    </w:p>
    <w:p w14:paraId="1615F737">
      <w:pPr>
        <w:snapToGrid w:val="0"/>
        <w:spacing w:line="360" w:lineRule="auto"/>
        <w:ind w:firstLine="420" w:firstLineChars="200"/>
        <w:rPr>
          <w:rFonts w:ascii="宋体" w:hAnsi="宋体" w:cs="宋体"/>
          <w:color w:val="auto"/>
          <w:sz w:val="21"/>
          <w:szCs w:val="21"/>
        </w:rPr>
      </w:pPr>
      <w:r>
        <w:rPr>
          <w:rFonts w:hint="eastAsia" w:ascii="宋体" w:hAnsi="宋体" w:cs="宋体"/>
          <w:color w:val="auto"/>
          <w:sz w:val="21"/>
          <w:szCs w:val="21"/>
        </w:rPr>
        <w:t>19.11逾期送达的响应文件；</w:t>
      </w:r>
    </w:p>
    <w:p w14:paraId="6B4C1BED">
      <w:pPr>
        <w:snapToGrid w:val="0"/>
        <w:spacing w:line="360" w:lineRule="auto"/>
        <w:ind w:firstLine="420" w:firstLineChars="200"/>
        <w:rPr>
          <w:rFonts w:ascii="宋体" w:hAnsi="宋体" w:cs="宋体"/>
          <w:color w:val="auto"/>
          <w:sz w:val="21"/>
          <w:szCs w:val="21"/>
        </w:rPr>
      </w:pPr>
      <w:r>
        <w:rPr>
          <w:rFonts w:hint="eastAsia" w:ascii="宋体" w:hAnsi="宋体" w:cs="宋体"/>
          <w:color w:val="auto"/>
          <w:sz w:val="21"/>
          <w:szCs w:val="21"/>
        </w:rPr>
        <w:t>19.12响应人的最终投标报价超出任一最高限价（费率）；</w:t>
      </w:r>
    </w:p>
    <w:p w14:paraId="019DCF52">
      <w:pPr>
        <w:snapToGrid w:val="0"/>
        <w:spacing w:line="360" w:lineRule="auto"/>
        <w:ind w:firstLine="420" w:firstLineChars="200"/>
        <w:rPr>
          <w:rFonts w:ascii="宋体" w:hAnsi="宋体" w:cs="宋体"/>
          <w:color w:val="auto"/>
          <w:sz w:val="21"/>
          <w:szCs w:val="21"/>
        </w:rPr>
      </w:pPr>
      <w:r>
        <w:rPr>
          <w:rFonts w:hint="eastAsia" w:ascii="宋体" w:hAnsi="宋体" w:cs="宋体"/>
          <w:color w:val="auto"/>
          <w:sz w:val="21"/>
          <w:szCs w:val="21"/>
        </w:rPr>
        <w:t>19.13磋商文件明确规定无效的其他情形，或者其他被招标小组认定无效的情况；</w:t>
      </w:r>
    </w:p>
    <w:p w14:paraId="1443EFA5">
      <w:pPr>
        <w:snapToGrid w:val="0"/>
        <w:spacing w:line="360" w:lineRule="auto"/>
        <w:ind w:firstLine="420" w:firstLineChars="200"/>
        <w:rPr>
          <w:rFonts w:ascii="宋体" w:hAnsi="宋体" w:cs="宋体"/>
          <w:color w:val="auto"/>
          <w:sz w:val="21"/>
          <w:szCs w:val="21"/>
        </w:rPr>
      </w:pPr>
      <w:r>
        <w:rPr>
          <w:rFonts w:hint="eastAsia" w:ascii="宋体" w:hAnsi="宋体" w:cs="宋体"/>
          <w:color w:val="auto"/>
          <w:sz w:val="21"/>
          <w:szCs w:val="21"/>
        </w:rPr>
        <w:t>19.14磋商文件中约定的其他无效标要求。</w:t>
      </w:r>
    </w:p>
    <w:p w14:paraId="4E981AAA">
      <w:pPr>
        <w:snapToGrid w:val="0"/>
        <w:spacing w:line="360" w:lineRule="auto"/>
        <w:ind w:firstLine="420" w:firstLineChars="200"/>
        <w:rPr>
          <w:rFonts w:ascii="宋体" w:hAnsi="宋体" w:cs="宋体"/>
          <w:color w:val="auto"/>
          <w:sz w:val="21"/>
          <w:szCs w:val="21"/>
        </w:rPr>
      </w:pPr>
      <w:r>
        <w:rPr>
          <w:rFonts w:hint="eastAsia" w:ascii="宋体" w:hAnsi="宋体" w:cs="宋体"/>
          <w:color w:val="auto"/>
          <w:sz w:val="21"/>
          <w:szCs w:val="21"/>
        </w:rPr>
        <w:t>19.15不符合法律、法规和磋商文件规定的其他实质性要求的。</w:t>
      </w:r>
    </w:p>
    <w:p w14:paraId="0C71B567">
      <w:pPr>
        <w:snapToGrid w:val="0"/>
        <w:spacing w:line="360" w:lineRule="auto"/>
        <w:rPr>
          <w:rFonts w:ascii="宋体" w:hAnsi="宋体" w:cs="宋体"/>
          <w:b/>
          <w:color w:val="auto"/>
          <w:sz w:val="21"/>
          <w:szCs w:val="21"/>
        </w:rPr>
      </w:pPr>
      <w:bookmarkStart w:id="40" w:name="_Toc288738424"/>
      <w:bookmarkStart w:id="41" w:name="_Toc288738818"/>
      <w:bookmarkStart w:id="42" w:name="_Toc288738350"/>
      <w:r>
        <w:rPr>
          <w:rFonts w:hint="eastAsia" w:ascii="宋体" w:hAnsi="宋体" w:cs="宋体"/>
          <w:b/>
          <w:color w:val="auto"/>
          <w:sz w:val="21"/>
          <w:szCs w:val="21"/>
        </w:rPr>
        <w:t>二十、</w:t>
      </w:r>
      <w:bookmarkEnd w:id="40"/>
      <w:bookmarkEnd w:id="41"/>
      <w:bookmarkEnd w:id="42"/>
      <w:r>
        <w:rPr>
          <w:rFonts w:hint="eastAsia" w:ascii="宋体" w:hAnsi="宋体" w:cs="宋体"/>
          <w:b/>
          <w:color w:val="auto"/>
          <w:sz w:val="21"/>
          <w:szCs w:val="21"/>
        </w:rPr>
        <w:t>评标准备与初步评审</w:t>
      </w:r>
    </w:p>
    <w:p w14:paraId="4B55CBB2">
      <w:pPr>
        <w:snapToGrid w:val="0"/>
        <w:spacing w:line="360" w:lineRule="auto"/>
        <w:ind w:firstLine="420" w:firstLineChars="200"/>
        <w:rPr>
          <w:rFonts w:ascii="宋体" w:hAnsi="宋体" w:cs="宋体"/>
          <w:bCs/>
          <w:color w:val="auto"/>
          <w:sz w:val="21"/>
          <w:szCs w:val="21"/>
        </w:rPr>
      </w:pPr>
      <w:r>
        <w:rPr>
          <w:rFonts w:hint="eastAsia" w:ascii="宋体" w:hAnsi="宋体" w:cs="宋体"/>
          <w:bCs/>
          <w:color w:val="auto"/>
          <w:sz w:val="21"/>
          <w:szCs w:val="21"/>
        </w:rPr>
        <w:t>20.1.在详细评标之前，磋商小组应当对符合资格的响应人的响应文件进行符合性审查，以确定其是否满足磋商文件的实质性要求，符合性审查合格响应人不</w:t>
      </w:r>
      <w:r>
        <w:rPr>
          <w:rFonts w:hint="eastAsia" w:ascii="宋体" w:hAnsi="宋体" w:cs="宋体"/>
          <w:b/>
          <w:color w:val="auto"/>
          <w:sz w:val="21"/>
          <w:szCs w:val="21"/>
        </w:rPr>
        <w:t>足4家的</w:t>
      </w:r>
      <w:r>
        <w:rPr>
          <w:rFonts w:hint="eastAsia" w:ascii="宋体" w:hAnsi="宋体" w:cs="宋体"/>
          <w:bCs/>
          <w:color w:val="auto"/>
          <w:sz w:val="21"/>
          <w:szCs w:val="21"/>
        </w:rPr>
        <w:t>，不进入详细评审环节。</w:t>
      </w:r>
    </w:p>
    <w:p w14:paraId="26556381">
      <w:pPr>
        <w:snapToGrid w:val="0"/>
        <w:spacing w:line="360" w:lineRule="auto"/>
        <w:ind w:firstLine="420" w:firstLineChars="200"/>
        <w:rPr>
          <w:rFonts w:ascii="宋体" w:hAnsi="宋体" w:cs="宋体"/>
          <w:bCs/>
          <w:color w:val="auto"/>
          <w:sz w:val="21"/>
          <w:szCs w:val="21"/>
        </w:rPr>
      </w:pPr>
      <w:bookmarkStart w:id="43" w:name="_Toc288738819"/>
      <w:bookmarkStart w:id="44" w:name="_Toc288738351"/>
      <w:bookmarkStart w:id="45" w:name="_Toc288738425"/>
      <w:r>
        <w:rPr>
          <w:rFonts w:hint="eastAsia" w:ascii="宋体" w:hAnsi="宋体" w:cs="宋体"/>
          <w:bCs/>
          <w:color w:val="auto"/>
          <w:sz w:val="21"/>
          <w:szCs w:val="21"/>
        </w:rPr>
        <w:t>20.2.符合性审查中，响应文件报价出现前后不一致的，除磋商文件另有规定外，按照下列规定修正：</w:t>
      </w:r>
    </w:p>
    <w:p w14:paraId="3D759A5C">
      <w:pPr>
        <w:snapToGrid w:val="0"/>
        <w:spacing w:line="360" w:lineRule="auto"/>
        <w:ind w:firstLine="420" w:firstLineChars="200"/>
        <w:rPr>
          <w:rFonts w:ascii="宋体" w:hAnsi="宋体" w:cs="宋体"/>
          <w:bCs/>
          <w:color w:val="auto"/>
          <w:sz w:val="21"/>
          <w:szCs w:val="21"/>
        </w:rPr>
      </w:pPr>
      <w:r>
        <w:rPr>
          <w:rFonts w:hint="eastAsia" w:ascii="宋体" w:hAnsi="宋体" w:cs="宋体"/>
          <w:bCs/>
          <w:color w:val="auto"/>
          <w:sz w:val="21"/>
          <w:szCs w:val="21"/>
        </w:rPr>
        <w:t>（1）响应文件中开标一览表（报价一览表）内容与响应文件中相应内容不一致的，以开标一览表（报价一览表）为准；</w:t>
      </w:r>
    </w:p>
    <w:p w14:paraId="328FBCED">
      <w:pPr>
        <w:snapToGrid w:val="0"/>
        <w:spacing w:line="360" w:lineRule="auto"/>
        <w:ind w:firstLine="420" w:firstLineChars="200"/>
        <w:rPr>
          <w:rFonts w:ascii="宋体" w:hAnsi="宋体" w:cs="宋体"/>
          <w:bCs/>
          <w:color w:val="auto"/>
          <w:sz w:val="21"/>
          <w:szCs w:val="21"/>
        </w:rPr>
      </w:pPr>
      <w:r>
        <w:rPr>
          <w:rFonts w:hint="eastAsia" w:ascii="宋体" w:hAnsi="宋体" w:cs="宋体"/>
          <w:bCs/>
          <w:color w:val="auto"/>
          <w:sz w:val="21"/>
          <w:szCs w:val="21"/>
        </w:rPr>
        <w:t>（2）大写金额和小写金额不一致的，以大写金额为准；</w:t>
      </w:r>
    </w:p>
    <w:p w14:paraId="22AE8BEB">
      <w:pPr>
        <w:snapToGrid w:val="0"/>
        <w:spacing w:line="360" w:lineRule="auto"/>
        <w:ind w:firstLine="420" w:firstLineChars="200"/>
        <w:rPr>
          <w:rFonts w:ascii="宋体" w:hAnsi="宋体" w:cs="宋体"/>
          <w:bCs/>
          <w:color w:val="auto"/>
          <w:sz w:val="21"/>
          <w:szCs w:val="21"/>
        </w:rPr>
      </w:pPr>
      <w:r>
        <w:rPr>
          <w:rFonts w:hint="eastAsia" w:ascii="宋体" w:hAnsi="宋体" w:cs="宋体"/>
          <w:bCs/>
          <w:color w:val="auto"/>
          <w:sz w:val="21"/>
          <w:szCs w:val="21"/>
        </w:rPr>
        <w:t>（3）单价金额小数点或者百分比有明显错位的，以开标一览表的总价为准，并修改单价；</w:t>
      </w:r>
    </w:p>
    <w:p w14:paraId="321A7784">
      <w:pPr>
        <w:snapToGrid w:val="0"/>
        <w:spacing w:line="360" w:lineRule="auto"/>
        <w:ind w:firstLine="420" w:firstLineChars="200"/>
        <w:rPr>
          <w:rFonts w:ascii="宋体" w:hAnsi="宋体" w:cs="宋体"/>
          <w:bCs/>
          <w:color w:val="auto"/>
          <w:sz w:val="21"/>
          <w:szCs w:val="21"/>
        </w:rPr>
      </w:pPr>
      <w:r>
        <w:rPr>
          <w:rFonts w:hint="eastAsia" w:ascii="宋体" w:hAnsi="宋体" w:cs="宋体"/>
          <w:bCs/>
          <w:color w:val="auto"/>
          <w:sz w:val="21"/>
          <w:szCs w:val="21"/>
        </w:rPr>
        <w:t>（4）总价金额与按单价汇总金额不一致的，以单价金额计算结果为准。</w:t>
      </w:r>
    </w:p>
    <w:p w14:paraId="65DF2B45">
      <w:pPr>
        <w:snapToGrid w:val="0"/>
        <w:spacing w:line="360" w:lineRule="auto"/>
        <w:ind w:firstLine="630" w:firstLineChars="300"/>
        <w:rPr>
          <w:rFonts w:ascii="宋体" w:hAnsi="宋体" w:cs="宋体"/>
          <w:bCs/>
          <w:color w:val="auto"/>
          <w:sz w:val="21"/>
          <w:szCs w:val="21"/>
        </w:rPr>
      </w:pPr>
      <w:r>
        <w:rPr>
          <w:rFonts w:hint="eastAsia" w:ascii="宋体" w:hAnsi="宋体" w:cs="宋体"/>
          <w:bCs/>
          <w:color w:val="auto"/>
          <w:sz w:val="21"/>
          <w:szCs w:val="21"/>
        </w:rPr>
        <w:t>同时出现两种以上不一致的，按照前款规定的顺序修正。响应人不确认修正后报价的，其投标无效。</w:t>
      </w:r>
    </w:p>
    <w:p w14:paraId="04B4DF99">
      <w:pPr>
        <w:snapToGrid w:val="0"/>
        <w:spacing w:line="360" w:lineRule="auto"/>
        <w:ind w:firstLine="420" w:firstLineChars="200"/>
        <w:rPr>
          <w:rFonts w:ascii="宋体" w:hAnsi="宋体" w:cs="宋体"/>
          <w:bCs/>
          <w:color w:val="auto"/>
          <w:sz w:val="21"/>
          <w:szCs w:val="21"/>
        </w:rPr>
      </w:pPr>
      <w:r>
        <w:rPr>
          <w:rFonts w:hint="eastAsia" w:ascii="宋体" w:hAnsi="宋体" w:cs="宋体"/>
          <w:bCs/>
          <w:color w:val="auto"/>
          <w:sz w:val="21"/>
          <w:szCs w:val="21"/>
        </w:rPr>
        <w:t>20.3.磋商小组对响应文件的判定,只依据响应文件内容本身,不依据任何外来证明。</w:t>
      </w:r>
    </w:p>
    <w:p w14:paraId="7457B308">
      <w:pPr>
        <w:snapToGrid w:val="0"/>
        <w:spacing w:line="360" w:lineRule="auto"/>
        <w:ind w:firstLine="420" w:firstLineChars="200"/>
        <w:rPr>
          <w:rFonts w:ascii="宋体" w:hAnsi="宋体" w:cs="宋体"/>
          <w:bCs/>
          <w:color w:val="auto"/>
          <w:sz w:val="21"/>
          <w:szCs w:val="21"/>
        </w:rPr>
      </w:pPr>
      <w:r>
        <w:rPr>
          <w:rFonts w:hint="eastAsia" w:ascii="宋体" w:hAnsi="宋体" w:cs="宋体"/>
          <w:bCs/>
          <w:color w:val="auto"/>
          <w:sz w:val="21"/>
          <w:szCs w:val="21"/>
        </w:rPr>
        <w:t>20.4.磋商小组发现磋商文件存在歧义、重大缺陷导致评标工作无法进行，或者磋商文件内容违反国家有关强制性规定的，应当停止评标工作，与采购人或者采购代理机构沟通并作书面记录。采购人或者采购代理机构确认后，应当修改磋商文件，重新组织采购活动。</w:t>
      </w:r>
    </w:p>
    <w:p w14:paraId="1017FAF6">
      <w:pPr>
        <w:snapToGrid w:val="0"/>
        <w:spacing w:line="360" w:lineRule="auto"/>
        <w:rPr>
          <w:rFonts w:ascii="宋体" w:hAnsi="宋体" w:cs="宋体"/>
          <w:b/>
          <w:color w:val="auto"/>
          <w:sz w:val="21"/>
          <w:szCs w:val="21"/>
        </w:rPr>
      </w:pPr>
      <w:r>
        <w:rPr>
          <w:rFonts w:hint="eastAsia" w:ascii="宋体" w:hAnsi="宋体" w:cs="宋体"/>
          <w:b/>
          <w:color w:val="auto"/>
          <w:sz w:val="21"/>
          <w:szCs w:val="21"/>
        </w:rPr>
        <w:t>二十一、响应文件的澄清</w:t>
      </w:r>
      <w:bookmarkEnd w:id="43"/>
      <w:bookmarkEnd w:id="44"/>
      <w:bookmarkEnd w:id="45"/>
    </w:p>
    <w:p w14:paraId="6A983D01">
      <w:pPr>
        <w:snapToGrid w:val="0"/>
        <w:spacing w:line="360" w:lineRule="auto"/>
        <w:ind w:firstLine="420" w:firstLineChars="200"/>
        <w:rPr>
          <w:rFonts w:ascii="宋体" w:hAnsi="宋体" w:cs="宋体"/>
          <w:color w:val="auto"/>
          <w:sz w:val="21"/>
          <w:szCs w:val="21"/>
        </w:rPr>
      </w:pPr>
      <w:r>
        <w:rPr>
          <w:rFonts w:hint="eastAsia" w:ascii="宋体" w:hAnsi="宋体" w:cs="宋体"/>
          <w:color w:val="auto"/>
          <w:sz w:val="21"/>
          <w:szCs w:val="21"/>
        </w:rPr>
        <w:t>21.1为了有助于响应文件的审查、评价和比较，磋商小组可以书面方式要求响应人对响应文件中含义不明确、对同类问题表述不一致或者明显文字和计算错误的内容作必要的澄清、说明或者补正。响应人的澄清、说明或者补正应以书面方式进行并不得超出响应文件的范围或者改变响应文件的实质性内容。</w:t>
      </w:r>
    </w:p>
    <w:p w14:paraId="2429844B">
      <w:pPr>
        <w:snapToGrid w:val="0"/>
        <w:spacing w:line="360" w:lineRule="auto"/>
        <w:ind w:firstLine="420" w:firstLineChars="200"/>
        <w:rPr>
          <w:rFonts w:ascii="宋体" w:hAnsi="宋体" w:cs="宋体"/>
          <w:color w:val="auto"/>
          <w:sz w:val="21"/>
          <w:szCs w:val="21"/>
        </w:rPr>
      </w:pPr>
      <w:r>
        <w:rPr>
          <w:rFonts w:hint="eastAsia" w:ascii="宋体" w:hAnsi="宋体" w:cs="宋体"/>
          <w:color w:val="auto"/>
          <w:sz w:val="21"/>
          <w:szCs w:val="21"/>
        </w:rPr>
        <w:t>21.2所有澄清或说明必须以书面方式正式为之，由法定代表人或其代理人的签名或盖章。</w:t>
      </w:r>
    </w:p>
    <w:p w14:paraId="0A82EF79">
      <w:pPr>
        <w:snapToGrid w:val="0"/>
        <w:spacing w:line="360" w:lineRule="auto"/>
        <w:ind w:firstLine="420" w:firstLineChars="200"/>
        <w:rPr>
          <w:rFonts w:ascii="宋体" w:hAnsi="宋体" w:cs="宋体"/>
          <w:color w:val="auto"/>
          <w:sz w:val="21"/>
          <w:szCs w:val="21"/>
        </w:rPr>
      </w:pPr>
      <w:r>
        <w:rPr>
          <w:rFonts w:hint="eastAsia" w:ascii="宋体" w:hAnsi="宋体" w:cs="宋体"/>
          <w:color w:val="auto"/>
          <w:sz w:val="21"/>
          <w:szCs w:val="21"/>
        </w:rPr>
        <w:t>21.3响应人拒不按照磋商小组要求作出澄清、说明或者补正的，作为无效投标处理。</w:t>
      </w:r>
    </w:p>
    <w:p w14:paraId="186F738F">
      <w:pPr>
        <w:snapToGrid w:val="0"/>
        <w:spacing w:line="360" w:lineRule="auto"/>
        <w:rPr>
          <w:rFonts w:ascii="宋体" w:hAnsi="宋体" w:cs="宋体"/>
          <w:b/>
          <w:color w:val="auto"/>
          <w:sz w:val="21"/>
          <w:szCs w:val="21"/>
        </w:rPr>
      </w:pPr>
      <w:bookmarkStart w:id="46" w:name="_Toc288738426"/>
      <w:bookmarkStart w:id="47" w:name="_Toc288738352"/>
      <w:bookmarkStart w:id="48" w:name="_Toc288738820"/>
      <w:r>
        <w:rPr>
          <w:rFonts w:hint="eastAsia" w:ascii="宋体" w:hAnsi="宋体" w:cs="宋体"/>
          <w:b/>
          <w:color w:val="auto"/>
          <w:sz w:val="21"/>
          <w:szCs w:val="21"/>
        </w:rPr>
        <w:t>二十二、对响应文件的详细评审</w:t>
      </w:r>
    </w:p>
    <w:p w14:paraId="3184DE3E">
      <w:pPr>
        <w:snapToGrid w:val="0"/>
        <w:spacing w:line="360" w:lineRule="auto"/>
        <w:ind w:firstLine="420" w:firstLineChars="200"/>
        <w:rPr>
          <w:rFonts w:ascii="宋体" w:hAnsi="宋体" w:cs="宋体"/>
          <w:b/>
          <w:color w:val="auto"/>
          <w:sz w:val="21"/>
          <w:szCs w:val="21"/>
        </w:rPr>
      </w:pPr>
      <w:r>
        <w:rPr>
          <w:rFonts w:hint="eastAsia" w:ascii="宋体" w:hAnsi="宋体" w:cs="宋体"/>
          <w:bCs/>
          <w:color w:val="auto"/>
          <w:sz w:val="21"/>
          <w:szCs w:val="21"/>
        </w:rPr>
        <w:t>22.1磋商小组只对实质上响应磋商文件的投标进行详细评审；评审应严格按照磋商文件的要求和条件进行，评委会不得擅自改动、细化磋商文件及评分细则；具体评审原则、方法和中标条件</w:t>
      </w:r>
      <w:r>
        <w:rPr>
          <w:rFonts w:hint="eastAsia" w:ascii="宋体" w:hAnsi="宋体" w:cs="宋体"/>
          <w:b/>
          <w:color w:val="auto"/>
          <w:sz w:val="21"/>
          <w:szCs w:val="21"/>
        </w:rPr>
        <w:t>详见第五部分评标办法和评标标准。</w:t>
      </w:r>
    </w:p>
    <w:p w14:paraId="70AFA574">
      <w:pPr>
        <w:spacing w:line="360" w:lineRule="auto"/>
        <w:ind w:firstLine="420" w:firstLineChars="200"/>
        <w:rPr>
          <w:rFonts w:ascii="宋体" w:hAnsi="宋体" w:cs="宋体"/>
          <w:b/>
          <w:color w:val="auto"/>
          <w:sz w:val="21"/>
          <w:szCs w:val="21"/>
        </w:rPr>
      </w:pPr>
      <w:r>
        <w:rPr>
          <w:rFonts w:hint="eastAsia" w:ascii="宋体" w:hAnsi="宋体" w:cs="宋体"/>
          <w:bCs/>
          <w:color w:val="auto"/>
          <w:sz w:val="21"/>
          <w:szCs w:val="21"/>
        </w:rPr>
        <w:t>22.2除评标标准和评标办法另有规定外</w:t>
      </w:r>
      <w:r>
        <w:rPr>
          <w:rFonts w:hint="eastAsia" w:ascii="宋体" w:hAnsi="宋体" w:cs="宋体"/>
          <w:b/>
          <w:color w:val="auto"/>
          <w:sz w:val="21"/>
          <w:szCs w:val="21"/>
        </w:rPr>
        <w:t>，本项目采用综合评分法评标。即在最大限度地满足竞争性磋商文件实质性要求前提下，对通过初评确定为实质上响应磋商文件的供应商进行详细的评分，采用百分制计分方法。评审时，磋商小组各成员独立对每个有效响应的文件标书进行评价、打分，各个供应商的最终得分为所有磋商小组成员所评定分值的平均值（保留2位小数）。磋商小组按评审后最终综合得分由高到低顺序排列名次，按综合得分由高到低的顺序依次确定3家中标候选单位，得分相同的，按磋商最终报价由低到高顺序排列，如果磋商报价也相同的，按照技术指标优劣顺序推荐。评分细则详见竞争性磋商文件。</w:t>
      </w:r>
    </w:p>
    <w:p w14:paraId="4DC0EC57">
      <w:pPr>
        <w:snapToGrid w:val="0"/>
        <w:spacing w:line="360" w:lineRule="auto"/>
        <w:rPr>
          <w:rFonts w:ascii="宋体" w:hAnsi="宋体" w:cs="宋体"/>
          <w:b/>
          <w:color w:val="auto"/>
          <w:sz w:val="21"/>
          <w:szCs w:val="21"/>
        </w:rPr>
      </w:pPr>
      <w:r>
        <w:rPr>
          <w:rFonts w:hint="eastAsia" w:ascii="宋体" w:hAnsi="宋体" w:cs="宋体"/>
          <w:b/>
          <w:color w:val="auto"/>
          <w:sz w:val="21"/>
          <w:szCs w:val="21"/>
        </w:rPr>
        <w:t>二十三、评标过程要求</w:t>
      </w:r>
    </w:p>
    <w:p w14:paraId="2B5D2E40">
      <w:pPr>
        <w:snapToGrid w:val="0"/>
        <w:spacing w:line="360" w:lineRule="auto"/>
        <w:ind w:firstLine="420" w:firstLineChars="200"/>
        <w:rPr>
          <w:rFonts w:ascii="宋体" w:hAnsi="宋体" w:cs="宋体"/>
          <w:bCs/>
          <w:color w:val="auto"/>
          <w:sz w:val="21"/>
          <w:szCs w:val="21"/>
        </w:rPr>
      </w:pPr>
      <w:r>
        <w:rPr>
          <w:rFonts w:hint="eastAsia" w:ascii="宋体" w:hAnsi="宋体" w:cs="宋体"/>
          <w:bCs/>
          <w:color w:val="auto"/>
          <w:sz w:val="21"/>
          <w:szCs w:val="21"/>
        </w:rPr>
        <w:t>23.1磋商小组认为响应人的报价明显低于其他通过符合性审查响应人的报价，有可能影响产品质量或者不能诚信履约的，应当要求其在评标现场合理的时间内提供书面说明，必要时提交相关证明材料；响应人不能证明其报价合理性的，磋商小组应当将其作为无效投标处理。</w:t>
      </w:r>
    </w:p>
    <w:p w14:paraId="49955A8B">
      <w:pPr>
        <w:snapToGrid w:val="0"/>
        <w:spacing w:line="360" w:lineRule="auto"/>
        <w:ind w:firstLine="420" w:firstLineChars="200"/>
        <w:rPr>
          <w:rFonts w:ascii="宋体" w:hAnsi="宋体" w:cs="宋体"/>
          <w:bCs/>
          <w:color w:val="auto"/>
          <w:sz w:val="21"/>
          <w:szCs w:val="21"/>
        </w:rPr>
      </w:pPr>
      <w:r>
        <w:rPr>
          <w:rFonts w:hint="eastAsia" w:ascii="宋体" w:hAnsi="宋体" w:cs="宋体"/>
          <w:bCs/>
          <w:color w:val="auto"/>
          <w:sz w:val="21"/>
          <w:szCs w:val="21"/>
        </w:rPr>
        <w:t>23.2磋商小组成员应当在评审报告上签字，对自己的评审意见承担法律责任。对需要共同认定的事项存在争议的，应当按照少数服从多数的原则作出结论。持不同意见的磋商小组成员应当在评标报告上签署不同意见及理由，否则视为同意评标报告。</w:t>
      </w:r>
    </w:p>
    <w:p w14:paraId="0A08A8C2">
      <w:pPr>
        <w:snapToGrid w:val="0"/>
        <w:spacing w:line="360" w:lineRule="auto"/>
        <w:rPr>
          <w:rFonts w:ascii="宋体" w:hAnsi="宋体" w:cs="宋体"/>
          <w:b/>
          <w:color w:val="auto"/>
          <w:sz w:val="21"/>
          <w:szCs w:val="21"/>
        </w:rPr>
      </w:pPr>
      <w:r>
        <w:rPr>
          <w:rFonts w:hint="eastAsia" w:ascii="宋体" w:hAnsi="宋体" w:cs="宋体"/>
          <w:b/>
          <w:color w:val="auto"/>
          <w:sz w:val="21"/>
          <w:szCs w:val="21"/>
        </w:rPr>
        <w:t>二十四、关于重新评审及响应文件瑕疵滞后发现的处理规则</w:t>
      </w:r>
    </w:p>
    <w:p w14:paraId="5A43710E">
      <w:pPr>
        <w:snapToGrid w:val="0"/>
        <w:spacing w:line="360" w:lineRule="auto"/>
        <w:ind w:firstLine="420" w:firstLineChars="200"/>
        <w:rPr>
          <w:rFonts w:ascii="宋体" w:hAnsi="宋体" w:cs="宋体"/>
          <w:bCs/>
          <w:color w:val="auto"/>
          <w:sz w:val="21"/>
          <w:szCs w:val="21"/>
        </w:rPr>
      </w:pPr>
      <w:r>
        <w:rPr>
          <w:rFonts w:hint="eastAsia" w:ascii="宋体" w:hAnsi="宋体" w:cs="宋体"/>
          <w:bCs/>
          <w:color w:val="auto"/>
          <w:sz w:val="21"/>
          <w:szCs w:val="21"/>
        </w:rPr>
        <w:t>24.1评标结果汇总完成后，除下列情形外，任何人不得修改评标结果：</w:t>
      </w:r>
    </w:p>
    <w:p w14:paraId="03F4FC8F">
      <w:pPr>
        <w:snapToGrid w:val="0"/>
        <w:spacing w:line="360" w:lineRule="auto"/>
        <w:ind w:firstLine="840" w:firstLineChars="400"/>
        <w:rPr>
          <w:rFonts w:ascii="宋体" w:hAnsi="宋体" w:cs="宋体"/>
          <w:bCs/>
          <w:color w:val="auto"/>
          <w:sz w:val="21"/>
          <w:szCs w:val="21"/>
        </w:rPr>
      </w:pPr>
      <w:r>
        <w:rPr>
          <w:rFonts w:hint="eastAsia" w:ascii="宋体" w:hAnsi="宋体" w:cs="宋体"/>
          <w:bCs/>
          <w:color w:val="auto"/>
          <w:sz w:val="21"/>
          <w:szCs w:val="21"/>
        </w:rPr>
        <w:t>（1）分值汇总计算错误的；</w:t>
      </w:r>
    </w:p>
    <w:p w14:paraId="5907BCA2">
      <w:pPr>
        <w:snapToGrid w:val="0"/>
        <w:spacing w:line="360" w:lineRule="auto"/>
        <w:ind w:firstLine="840" w:firstLineChars="400"/>
        <w:rPr>
          <w:rFonts w:ascii="宋体" w:hAnsi="宋体" w:cs="宋体"/>
          <w:bCs/>
          <w:color w:val="auto"/>
          <w:sz w:val="21"/>
          <w:szCs w:val="21"/>
        </w:rPr>
      </w:pPr>
      <w:r>
        <w:rPr>
          <w:rFonts w:hint="eastAsia" w:ascii="宋体" w:hAnsi="宋体" w:cs="宋体"/>
          <w:bCs/>
          <w:color w:val="auto"/>
          <w:sz w:val="21"/>
          <w:szCs w:val="21"/>
        </w:rPr>
        <w:t>（2）分项评分超出评分标准范围的；</w:t>
      </w:r>
    </w:p>
    <w:p w14:paraId="47E7417C">
      <w:pPr>
        <w:snapToGrid w:val="0"/>
        <w:spacing w:line="360" w:lineRule="auto"/>
        <w:ind w:firstLine="840" w:firstLineChars="400"/>
        <w:rPr>
          <w:rFonts w:ascii="宋体" w:hAnsi="宋体" w:cs="宋体"/>
          <w:bCs/>
          <w:color w:val="auto"/>
          <w:sz w:val="21"/>
          <w:szCs w:val="21"/>
        </w:rPr>
      </w:pPr>
      <w:r>
        <w:rPr>
          <w:rFonts w:hint="eastAsia" w:ascii="宋体" w:hAnsi="宋体" w:cs="宋体"/>
          <w:bCs/>
          <w:color w:val="auto"/>
          <w:sz w:val="21"/>
          <w:szCs w:val="21"/>
        </w:rPr>
        <w:t>（3）磋商小组成员对客观评审因素评分不一致的；</w:t>
      </w:r>
    </w:p>
    <w:p w14:paraId="2BD138D1">
      <w:pPr>
        <w:snapToGrid w:val="0"/>
        <w:spacing w:line="360" w:lineRule="auto"/>
        <w:ind w:firstLine="840" w:firstLineChars="400"/>
        <w:rPr>
          <w:rFonts w:ascii="宋体" w:hAnsi="宋体" w:cs="宋体"/>
          <w:bCs/>
          <w:color w:val="auto"/>
          <w:sz w:val="21"/>
          <w:szCs w:val="21"/>
        </w:rPr>
      </w:pPr>
      <w:r>
        <w:rPr>
          <w:rFonts w:hint="eastAsia" w:ascii="宋体" w:hAnsi="宋体" w:cs="宋体"/>
          <w:bCs/>
          <w:color w:val="auto"/>
          <w:sz w:val="21"/>
          <w:szCs w:val="21"/>
        </w:rPr>
        <w:t>（4）经磋商小组认定评分畸高、畸低的。</w:t>
      </w:r>
    </w:p>
    <w:p w14:paraId="1BB72066">
      <w:pPr>
        <w:snapToGrid w:val="0"/>
        <w:spacing w:line="360" w:lineRule="auto"/>
        <w:ind w:firstLine="420" w:firstLineChars="200"/>
        <w:rPr>
          <w:rFonts w:ascii="宋体" w:hAnsi="宋体" w:cs="宋体"/>
          <w:bCs/>
          <w:color w:val="auto"/>
          <w:sz w:val="21"/>
          <w:szCs w:val="21"/>
        </w:rPr>
      </w:pPr>
      <w:r>
        <w:rPr>
          <w:rFonts w:hint="eastAsia" w:ascii="宋体" w:hAnsi="宋体" w:cs="宋体"/>
          <w:bCs/>
          <w:color w:val="auto"/>
          <w:sz w:val="21"/>
          <w:szCs w:val="21"/>
        </w:rPr>
        <w:t>评标报告签署前，经复核发现存在以上情形之一的，磋商小组应当当场修改评标结果，并在评标报告中记载；评标报告签署后，采购人或者采购代理机构发现存在以上情形之一的，应当组织原磋商小组进行重新评审，重新评审改变评标结果的，书面报告本级财政部门。</w:t>
      </w:r>
    </w:p>
    <w:p w14:paraId="1525DE9B">
      <w:pPr>
        <w:snapToGrid w:val="0"/>
        <w:spacing w:line="360" w:lineRule="auto"/>
        <w:ind w:firstLine="420" w:firstLineChars="200"/>
        <w:rPr>
          <w:rFonts w:ascii="宋体" w:hAnsi="宋体" w:cs="宋体"/>
          <w:bCs/>
          <w:color w:val="auto"/>
          <w:sz w:val="21"/>
          <w:szCs w:val="21"/>
        </w:rPr>
      </w:pPr>
      <w:r>
        <w:rPr>
          <w:rFonts w:hint="eastAsia" w:ascii="宋体" w:hAnsi="宋体" w:cs="宋体"/>
          <w:bCs/>
          <w:color w:val="auto"/>
          <w:sz w:val="21"/>
          <w:szCs w:val="21"/>
        </w:rPr>
        <w:t>24.2无论基于何种原因，各项本应作拒绝投标处理的情形即便未被及时发现而使该响应人进入符合性审查、详细评审或其它后续程序，一旦被发现存在上述情形，将按照相关法律法规的规定进行处理，必要时将提请监管部门进行处理。</w:t>
      </w:r>
    </w:p>
    <w:bookmarkEnd w:id="46"/>
    <w:bookmarkEnd w:id="47"/>
    <w:bookmarkEnd w:id="48"/>
    <w:p w14:paraId="21B87DB5">
      <w:pPr>
        <w:snapToGrid w:val="0"/>
        <w:spacing w:line="360" w:lineRule="auto"/>
        <w:rPr>
          <w:rFonts w:ascii="宋体" w:hAnsi="宋体" w:cs="宋体"/>
          <w:b/>
          <w:color w:val="auto"/>
          <w:sz w:val="21"/>
          <w:szCs w:val="21"/>
        </w:rPr>
      </w:pPr>
      <w:bookmarkStart w:id="49" w:name="_Toc288738354"/>
      <w:bookmarkStart w:id="50" w:name="_Toc288738822"/>
      <w:bookmarkStart w:id="51" w:name="_Toc288738428"/>
      <w:r>
        <w:rPr>
          <w:rFonts w:hint="eastAsia" w:ascii="宋体" w:hAnsi="宋体" w:cs="宋体"/>
          <w:b/>
          <w:color w:val="auto"/>
          <w:sz w:val="21"/>
          <w:szCs w:val="21"/>
        </w:rPr>
        <w:t>二十五、</w:t>
      </w:r>
      <w:bookmarkEnd w:id="49"/>
      <w:bookmarkEnd w:id="50"/>
      <w:bookmarkEnd w:id="51"/>
      <w:r>
        <w:rPr>
          <w:rFonts w:hint="eastAsia" w:ascii="宋体" w:hAnsi="宋体" w:cs="宋体"/>
          <w:b/>
          <w:color w:val="auto"/>
          <w:sz w:val="21"/>
          <w:szCs w:val="21"/>
        </w:rPr>
        <w:t>成交通知</w:t>
      </w:r>
    </w:p>
    <w:p w14:paraId="0E972389">
      <w:pPr>
        <w:snapToGrid w:val="0"/>
        <w:spacing w:line="360" w:lineRule="auto"/>
        <w:ind w:firstLine="420" w:firstLineChars="200"/>
        <w:rPr>
          <w:rFonts w:ascii="宋体" w:hAnsi="宋体" w:cs="宋体"/>
          <w:color w:val="auto"/>
          <w:sz w:val="21"/>
          <w:szCs w:val="21"/>
        </w:rPr>
      </w:pPr>
      <w:r>
        <w:rPr>
          <w:rFonts w:hint="eastAsia" w:ascii="宋体" w:hAnsi="宋体" w:cs="宋体"/>
          <w:color w:val="auto"/>
          <w:sz w:val="21"/>
          <w:szCs w:val="21"/>
        </w:rPr>
        <w:t>25.1采购人或者采购代理机构应当在中标响应人确定后2个工作日内，在指定信息发布媒体上公告成交结果，公示无异议后向中标响应人发出成交通知书，但该成交结果的有效性不依赖于未成交的响应人是否已经收到该通知。成交通知书对采购人和中标响应人具有同等法律效力。成交通知书发出以后，采购人改变成交结果或者中标响应人放弃成交，应当承担相应的法律责任。</w:t>
      </w:r>
    </w:p>
    <w:p w14:paraId="2B594E4C">
      <w:pPr>
        <w:snapToGrid w:val="0"/>
        <w:spacing w:line="360" w:lineRule="auto"/>
        <w:ind w:firstLine="420" w:firstLineChars="200"/>
        <w:rPr>
          <w:rFonts w:ascii="宋体" w:hAnsi="宋体" w:cs="宋体"/>
          <w:color w:val="auto"/>
          <w:sz w:val="21"/>
          <w:szCs w:val="21"/>
        </w:rPr>
      </w:pPr>
      <w:r>
        <w:rPr>
          <w:rFonts w:hint="eastAsia" w:ascii="宋体" w:hAnsi="宋体" w:cs="宋体"/>
          <w:color w:val="auto"/>
          <w:sz w:val="21"/>
          <w:szCs w:val="21"/>
        </w:rPr>
        <w:t>25.2采购代理机构同时向其他响应人发出未成交通知书。</w:t>
      </w:r>
    </w:p>
    <w:p w14:paraId="48424AE2">
      <w:pPr>
        <w:snapToGrid w:val="0"/>
        <w:spacing w:line="360" w:lineRule="auto"/>
        <w:ind w:firstLine="420" w:firstLineChars="200"/>
        <w:rPr>
          <w:rFonts w:ascii="宋体" w:hAnsi="宋体" w:cs="宋体"/>
          <w:color w:val="auto"/>
          <w:sz w:val="21"/>
          <w:szCs w:val="21"/>
        </w:rPr>
      </w:pPr>
      <w:r>
        <w:rPr>
          <w:rFonts w:hint="eastAsia" w:ascii="宋体" w:hAnsi="宋体" w:cs="宋体"/>
          <w:color w:val="auto"/>
          <w:sz w:val="21"/>
          <w:szCs w:val="21"/>
        </w:rPr>
        <w:t>25.3成交通知书是合同的组成部分。</w:t>
      </w:r>
    </w:p>
    <w:p w14:paraId="24D35057">
      <w:pPr>
        <w:snapToGrid w:val="0"/>
        <w:spacing w:line="360" w:lineRule="auto"/>
        <w:rPr>
          <w:rFonts w:ascii="宋体" w:hAnsi="宋体" w:cs="宋体"/>
          <w:b/>
          <w:color w:val="auto"/>
          <w:sz w:val="21"/>
          <w:szCs w:val="21"/>
        </w:rPr>
      </w:pPr>
      <w:r>
        <w:rPr>
          <w:rFonts w:hint="eastAsia" w:ascii="宋体" w:hAnsi="宋体" w:cs="宋体"/>
          <w:b/>
          <w:color w:val="auto"/>
          <w:sz w:val="21"/>
          <w:szCs w:val="21"/>
        </w:rPr>
        <w:t>二十六、采购项目的废标情况</w:t>
      </w:r>
    </w:p>
    <w:p w14:paraId="06CDBDEB">
      <w:pPr>
        <w:snapToGrid w:val="0"/>
        <w:spacing w:line="360" w:lineRule="auto"/>
        <w:ind w:firstLine="420" w:firstLineChars="200"/>
        <w:rPr>
          <w:rFonts w:ascii="宋体" w:hAnsi="宋体" w:cs="宋体"/>
          <w:bCs/>
          <w:color w:val="auto"/>
          <w:sz w:val="21"/>
          <w:szCs w:val="21"/>
        </w:rPr>
      </w:pPr>
      <w:r>
        <w:rPr>
          <w:rFonts w:hint="eastAsia" w:ascii="宋体" w:hAnsi="宋体" w:cs="宋体"/>
          <w:bCs/>
          <w:color w:val="auto"/>
          <w:sz w:val="21"/>
          <w:szCs w:val="21"/>
        </w:rPr>
        <w:t>26.1在评标采购中，出现下列情况之一的，应予废标；</w:t>
      </w:r>
    </w:p>
    <w:p w14:paraId="313C8750">
      <w:pPr>
        <w:snapToGrid w:val="0"/>
        <w:spacing w:line="360" w:lineRule="auto"/>
        <w:ind w:firstLine="840" w:firstLineChars="400"/>
        <w:rPr>
          <w:rFonts w:ascii="宋体" w:hAnsi="宋体" w:cs="宋体"/>
          <w:bCs/>
          <w:color w:val="auto"/>
          <w:sz w:val="21"/>
          <w:szCs w:val="21"/>
        </w:rPr>
      </w:pPr>
      <w:r>
        <w:rPr>
          <w:rFonts w:hint="eastAsia" w:ascii="宋体" w:hAnsi="宋体" w:cs="宋体"/>
          <w:bCs/>
          <w:color w:val="auto"/>
          <w:sz w:val="21"/>
          <w:szCs w:val="21"/>
        </w:rPr>
        <w:t>1）符合专业条件的响应人或者对磋商文件做出实质性投标的响应人</w:t>
      </w:r>
      <w:r>
        <w:rPr>
          <w:rFonts w:hint="eastAsia" w:ascii="宋体" w:hAnsi="宋体" w:cs="宋体"/>
          <w:b/>
          <w:color w:val="auto"/>
          <w:sz w:val="21"/>
          <w:szCs w:val="21"/>
        </w:rPr>
        <w:t>不足四家的</w:t>
      </w:r>
      <w:r>
        <w:rPr>
          <w:rFonts w:hint="eastAsia" w:ascii="宋体" w:hAnsi="宋体" w:cs="宋体"/>
          <w:bCs/>
          <w:color w:val="auto"/>
          <w:sz w:val="21"/>
          <w:szCs w:val="21"/>
        </w:rPr>
        <w:t>；</w:t>
      </w:r>
    </w:p>
    <w:p w14:paraId="0C19E06A">
      <w:pPr>
        <w:snapToGrid w:val="0"/>
        <w:spacing w:line="360" w:lineRule="auto"/>
        <w:ind w:firstLine="840" w:firstLineChars="400"/>
        <w:rPr>
          <w:rFonts w:ascii="宋体" w:hAnsi="宋体" w:cs="宋体"/>
          <w:bCs/>
          <w:color w:val="auto"/>
          <w:sz w:val="21"/>
          <w:szCs w:val="21"/>
        </w:rPr>
      </w:pPr>
      <w:r>
        <w:rPr>
          <w:rFonts w:hint="eastAsia" w:ascii="宋体" w:hAnsi="宋体" w:cs="宋体"/>
          <w:bCs/>
          <w:color w:val="auto"/>
          <w:sz w:val="21"/>
          <w:szCs w:val="21"/>
        </w:rPr>
        <w:t>2）出现影响采购公正的违法、违规行为的；</w:t>
      </w:r>
    </w:p>
    <w:p w14:paraId="725C5A6C">
      <w:pPr>
        <w:snapToGrid w:val="0"/>
        <w:spacing w:line="360" w:lineRule="auto"/>
        <w:ind w:firstLine="840" w:firstLineChars="400"/>
        <w:rPr>
          <w:rFonts w:ascii="宋体" w:hAnsi="宋体" w:cs="宋体"/>
          <w:bCs/>
          <w:color w:val="auto"/>
          <w:sz w:val="21"/>
          <w:szCs w:val="21"/>
        </w:rPr>
      </w:pPr>
      <w:r>
        <w:rPr>
          <w:rFonts w:hint="eastAsia" w:ascii="宋体" w:hAnsi="宋体" w:cs="宋体"/>
          <w:bCs/>
          <w:color w:val="auto"/>
          <w:sz w:val="21"/>
          <w:szCs w:val="21"/>
        </w:rPr>
        <w:t>3）响应人的报价均超过最高限价（费率），采购单位不能支付的；</w:t>
      </w:r>
    </w:p>
    <w:p w14:paraId="703A350D">
      <w:pPr>
        <w:snapToGrid w:val="0"/>
        <w:spacing w:line="360" w:lineRule="auto"/>
        <w:ind w:firstLine="840" w:firstLineChars="400"/>
        <w:rPr>
          <w:rFonts w:ascii="宋体" w:hAnsi="宋体" w:cs="宋体"/>
          <w:bCs/>
          <w:color w:val="auto"/>
          <w:sz w:val="21"/>
          <w:szCs w:val="21"/>
        </w:rPr>
      </w:pPr>
      <w:r>
        <w:rPr>
          <w:rFonts w:hint="eastAsia" w:ascii="宋体" w:hAnsi="宋体" w:cs="宋体"/>
          <w:bCs/>
          <w:color w:val="auto"/>
          <w:sz w:val="21"/>
          <w:szCs w:val="21"/>
        </w:rPr>
        <w:t>4）因重大变故，采购任务取消的。</w:t>
      </w:r>
    </w:p>
    <w:p w14:paraId="6C801E26">
      <w:pPr>
        <w:snapToGrid w:val="0"/>
        <w:spacing w:line="360" w:lineRule="auto"/>
        <w:rPr>
          <w:rFonts w:ascii="宋体" w:hAnsi="宋体" w:cs="宋体"/>
          <w:b/>
          <w:color w:val="auto"/>
          <w:sz w:val="21"/>
          <w:szCs w:val="21"/>
        </w:rPr>
      </w:pPr>
      <w:r>
        <w:rPr>
          <w:rFonts w:hint="eastAsia" w:ascii="宋体" w:hAnsi="宋体" w:cs="宋体"/>
          <w:b/>
          <w:color w:val="auto"/>
          <w:sz w:val="21"/>
          <w:szCs w:val="21"/>
        </w:rPr>
        <w:t>二十七、签订合同</w:t>
      </w:r>
    </w:p>
    <w:p w14:paraId="6673F7AB">
      <w:pPr>
        <w:snapToGrid w:val="0"/>
        <w:spacing w:line="360" w:lineRule="auto"/>
        <w:ind w:firstLine="420" w:firstLineChars="200"/>
        <w:rPr>
          <w:rFonts w:ascii="宋体" w:hAnsi="宋体" w:cs="宋体"/>
          <w:color w:val="auto"/>
          <w:sz w:val="21"/>
          <w:szCs w:val="21"/>
        </w:rPr>
      </w:pPr>
      <w:r>
        <w:rPr>
          <w:rFonts w:hint="eastAsia" w:ascii="宋体" w:hAnsi="宋体" w:cs="宋体"/>
          <w:color w:val="auto"/>
          <w:sz w:val="21"/>
          <w:szCs w:val="21"/>
        </w:rPr>
        <w:t>27.1采购人与中标响应人应当在中标通知书发出之日起30个日内，按照磋商文件确定的合同文本以及采购标的、规格型号、采购金额、采购数量、技术和服务要求等事项签订服务合同。采购人不得向中标响应人提出超出磋商文件以外的任何要求作为签订合同的条件，不得与中标响应人订立背离磋商文件确定的合同文本以及采购标的、规格型号、采购金额、采购数量、技术和服务要求等实质性内容的协议。</w:t>
      </w:r>
    </w:p>
    <w:p w14:paraId="73CA65BF">
      <w:pPr>
        <w:snapToGrid w:val="0"/>
        <w:spacing w:line="360" w:lineRule="auto"/>
        <w:ind w:firstLine="420" w:firstLineChars="200"/>
        <w:rPr>
          <w:rFonts w:ascii="宋体" w:hAnsi="宋体" w:cs="宋体"/>
          <w:color w:val="auto"/>
          <w:sz w:val="21"/>
          <w:szCs w:val="21"/>
        </w:rPr>
      </w:pPr>
      <w:r>
        <w:rPr>
          <w:rFonts w:hint="eastAsia" w:ascii="宋体" w:hAnsi="宋体" w:cs="宋体"/>
          <w:color w:val="auto"/>
          <w:sz w:val="21"/>
          <w:szCs w:val="21"/>
        </w:rPr>
        <w:t>27.2采购人如需追加与合同标的相同的货物，在不改变合同其他条款的前提下，中标响应人可与采购人协商签订补充合同，但所有补充合同的采购金额不得超过原合同金额的百分之十。</w:t>
      </w:r>
    </w:p>
    <w:p w14:paraId="393A7320">
      <w:pPr>
        <w:snapToGrid w:val="0"/>
        <w:spacing w:line="360" w:lineRule="auto"/>
        <w:ind w:firstLine="420" w:firstLineChars="200"/>
        <w:rPr>
          <w:rFonts w:ascii="宋体" w:hAnsi="宋体" w:cs="宋体"/>
          <w:color w:val="auto"/>
          <w:sz w:val="21"/>
          <w:szCs w:val="21"/>
        </w:rPr>
      </w:pPr>
      <w:r>
        <w:rPr>
          <w:rFonts w:hint="eastAsia" w:ascii="宋体" w:hAnsi="宋体" w:cs="宋体"/>
          <w:color w:val="auto"/>
          <w:sz w:val="21"/>
          <w:szCs w:val="21"/>
        </w:rPr>
        <w:t>27.3中标响应人一旦成交，及签订合同后，</w:t>
      </w:r>
      <w:r>
        <w:rPr>
          <w:rFonts w:hint="eastAsia" w:ascii="宋体" w:hAnsi="宋体" w:cs="宋体"/>
          <w:b/>
          <w:bCs/>
          <w:color w:val="auto"/>
          <w:sz w:val="21"/>
          <w:szCs w:val="21"/>
        </w:rPr>
        <w:t>不得</w:t>
      </w:r>
      <w:r>
        <w:rPr>
          <w:rFonts w:hint="eastAsia" w:ascii="宋体" w:hAnsi="宋体" w:cs="宋体"/>
          <w:color w:val="auto"/>
          <w:sz w:val="21"/>
          <w:szCs w:val="21"/>
        </w:rPr>
        <w:t>转包、分包，亦</w:t>
      </w:r>
      <w:r>
        <w:rPr>
          <w:rFonts w:hint="eastAsia" w:ascii="宋体" w:hAnsi="宋体" w:cs="宋体"/>
          <w:b/>
          <w:bCs/>
          <w:color w:val="auto"/>
          <w:sz w:val="21"/>
          <w:szCs w:val="21"/>
        </w:rPr>
        <w:t>不得</w:t>
      </w:r>
      <w:r>
        <w:rPr>
          <w:rFonts w:hint="eastAsia" w:ascii="宋体" w:hAnsi="宋体" w:cs="宋体"/>
          <w:color w:val="auto"/>
          <w:sz w:val="21"/>
          <w:szCs w:val="21"/>
        </w:rPr>
        <w:t>将合同全部及任何权利、义务向第三方转让，否则将被视为严重违约。</w:t>
      </w:r>
    </w:p>
    <w:p w14:paraId="76351641">
      <w:pPr>
        <w:snapToGrid w:val="0"/>
        <w:spacing w:line="360" w:lineRule="auto"/>
        <w:rPr>
          <w:rFonts w:ascii="宋体" w:hAnsi="宋体" w:cs="宋体"/>
          <w:b/>
          <w:color w:val="auto"/>
          <w:sz w:val="21"/>
          <w:szCs w:val="21"/>
        </w:rPr>
      </w:pPr>
      <w:r>
        <w:rPr>
          <w:rFonts w:hint="eastAsia" w:ascii="宋体" w:hAnsi="宋体" w:cs="宋体"/>
          <w:b/>
          <w:color w:val="auto"/>
          <w:sz w:val="21"/>
          <w:szCs w:val="21"/>
        </w:rPr>
        <w:t>二十八、响应人质疑的提出和答复：</w:t>
      </w:r>
    </w:p>
    <w:p w14:paraId="6D4BA1D3">
      <w:pPr>
        <w:snapToGrid w:val="0"/>
        <w:spacing w:line="360" w:lineRule="auto"/>
        <w:ind w:firstLine="420" w:firstLineChars="200"/>
        <w:rPr>
          <w:rFonts w:ascii="宋体" w:hAnsi="宋体" w:cs="宋体"/>
          <w:color w:val="auto"/>
          <w:sz w:val="21"/>
          <w:szCs w:val="21"/>
        </w:rPr>
      </w:pPr>
      <w:r>
        <w:rPr>
          <w:rFonts w:hint="eastAsia" w:ascii="宋体" w:hAnsi="宋体" w:cs="宋体"/>
          <w:color w:val="auto"/>
          <w:sz w:val="21"/>
          <w:szCs w:val="21"/>
        </w:rPr>
        <w:t>28.1响应人认为磋商文件、采购过程、中标或者成交结果使自己的权益受到损害的，可以在知道或者应知其权益受到损害之日起7个工作日内，以书面形式向采购人、采购代理机构提出质疑。响应人应当在法定质疑期内一次性提出针对同一采购程序环节的质疑。</w:t>
      </w:r>
    </w:p>
    <w:p w14:paraId="57572323">
      <w:pPr>
        <w:snapToGrid w:val="0"/>
        <w:spacing w:line="360" w:lineRule="auto"/>
        <w:ind w:firstLine="420" w:firstLineChars="200"/>
        <w:rPr>
          <w:rFonts w:ascii="宋体" w:hAnsi="宋体" w:cs="宋体"/>
          <w:color w:val="auto"/>
          <w:sz w:val="21"/>
          <w:szCs w:val="21"/>
        </w:rPr>
      </w:pPr>
      <w:r>
        <w:rPr>
          <w:rFonts w:hint="eastAsia" w:ascii="宋体" w:hAnsi="宋体" w:cs="宋体"/>
          <w:color w:val="auto"/>
          <w:sz w:val="21"/>
          <w:szCs w:val="21"/>
        </w:rPr>
        <w:t xml:space="preserve">28.2响应人提出质疑应当提交质疑函和必要的证明材料。质疑函应当包括下列内容： </w:t>
      </w:r>
    </w:p>
    <w:p w14:paraId="3D12AE0E">
      <w:pPr>
        <w:snapToGrid w:val="0"/>
        <w:spacing w:line="360" w:lineRule="auto"/>
        <w:ind w:firstLine="420" w:firstLineChars="200"/>
        <w:rPr>
          <w:rFonts w:ascii="宋体" w:hAnsi="宋体" w:cs="宋体"/>
          <w:color w:val="auto"/>
          <w:sz w:val="21"/>
          <w:szCs w:val="21"/>
        </w:rPr>
      </w:pPr>
      <w:r>
        <w:rPr>
          <w:rFonts w:hint="eastAsia" w:ascii="宋体" w:hAnsi="宋体" w:cs="宋体"/>
          <w:color w:val="auto"/>
          <w:sz w:val="21"/>
          <w:szCs w:val="21"/>
        </w:rPr>
        <w:t xml:space="preserve">　　（一）响应人的姓名或者名称、地址、邮编、联系人及联系电话； </w:t>
      </w:r>
    </w:p>
    <w:p w14:paraId="6B9EB9DE">
      <w:pPr>
        <w:snapToGrid w:val="0"/>
        <w:spacing w:line="360" w:lineRule="auto"/>
        <w:ind w:firstLine="420" w:firstLineChars="200"/>
        <w:rPr>
          <w:rFonts w:ascii="宋体" w:hAnsi="宋体" w:cs="宋体"/>
          <w:color w:val="auto"/>
          <w:sz w:val="21"/>
          <w:szCs w:val="21"/>
        </w:rPr>
      </w:pPr>
      <w:r>
        <w:rPr>
          <w:rFonts w:hint="eastAsia" w:ascii="宋体" w:hAnsi="宋体" w:cs="宋体"/>
          <w:color w:val="auto"/>
          <w:sz w:val="21"/>
          <w:szCs w:val="21"/>
        </w:rPr>
        <w:t xml:space="preserve">　　（二）质疑项目的名称、编号； </w:t>
      </w:r>
    </w:p>
    <w:p w14:paraId="2CD74131">
      <w:pPr>
        <w:snapToGrid w:val="0"/>
        <w:spacing w:line="360" w:lineRule="auto"/>
        <w:ind w:firstLine="420" w:firstLineChars="200"/>
        <w:rPr>
          <w:rFonts w:ascii="宋体" w:hAnsi="宋体" w:cs="宋体"/>
          <w:color w:val="auto"/>
          <w:sz w:val="21"/>
          <w:szCs w:val="21"/>
        </w:rPr>
      </w:pPr>
      <w:r>
        <w:rPr>
          <w:rFonts w:hint="eastAsia" w:ascii="宋体" w:hAnsi="宋体" w:cs="宋体"/>
          <w:color w:val="auto"/>
          <w:sz w:val="21"/>
          <w:szCs w:val="21"/>
        </w:rPr>
        <w:t xml:space="preserve">　　（三）具体、明确的质疑事项和与质疑事项相关的请求； </w:t>
      </w:r>
    </w:p>
    <w:p w14:paraId="1EAC59FB">
      <w:pPr>
        <w:snapToGrid w:val="0"/>
        <w:spacing w:line="360" w:lineRule="auto"/>
        <w:ind w:firstLine="420" w:firstLineChars="200"/>
        <w:rPr>
          <w:rFonts w:ascii="宋体" w:hAnsi="宋体" w:cs="宋体"/>
          <w:color w:val="auto"/>
          <w:sz w:val="21"/>
          <w:szCs w:val="21"/>
        </w:rPr>
      </w:pPr>
      <w:r>
        <w:rPr>
          <w:rFonts w:hint="eastAsia" w:ascii="宋体" w:hAnsi="宋体" w:cs="宋体"/>
          <w:color w:val="auto"/>
          <w:sz w:val="21"/>
          <w:szCs w:val="21"/>
        </w:rPr>
        <w:t xml:space="preserve">　　（四）事实依据； </w:t>
      </w:r>
    </w:p>
    <w:p w14:paraId="23D50B13">
      <w:pPr>
        <w:snapToGrid w:val="0"/>
        <w:spacing w:line="360" w:lineRule="auto"/>
        <w:ind w:firstLine="420" w:firstLineChars="200"/>
        <w:rPr>
          <w:rFonts w:ascii="宋体" w:hAnsi="宋体" w:cs="宋体"/>
          <w:color w:val="auto"/>
          <w:sz w:val="21"/>
          <w:szCs w:val="21"/>
        </w:rPr>
      </w:pPr>
      <w:r>
        <w:rPr>
          <w:rFonts w:hint="eastAsia" w:ascii="宋体" w:hAnsi="宋体" w:cs="宋体"/>
          <w:color w:val="auto"/>
          <w:sz w:val="21"/>
          <w:szCs w:val="21"/>
        </w:rPr>
        <w:t xml:space="preserve">　　（五）必要的法律依据； </w:t>
      </w:r>
    </w:p>
    <w:p w14:paraId="0920367A">
      <w:pPr>
        <w:snapToGrid w:val="0"/>
        <w:spacing w:line="360" w:lineRule="auto"/>
        <w:ind w:firstLine="420" w:firstLineChars="200"/>
        <w:rPr>
          <w:rFonts w:ascii="宋体" w:hAnsi="宋体" w:cs="宋体"/>
          <w:color w:val="auto"/>
          <w:sz w:val="21"/>
          <w:szCs w:val="21"/>
        </w:rPr>
      </w:pPr>
      <w:r>
        <w:rPr>
          <w:rFonts w:hint="eastAsia" w:ascii="宋体" w:hAnsi="宋体" w:cs="宋体"/>
          <w:color w:val="auto"/>
          <w:sz w:val="21"/>
          <w:szCs w:val="21"/>
        </w:rPr>
        <w:t xml:space="preserve">　　（六）提出质疑的日期。 </w:t>
      </w:r>
    </w:p>
    <w:p w14:paraId="2B985223">
      <w:pPr>
        <w:snapToGrid w:val="0"/>
        <w:spacing w:line="360" w:lineRule="auto"/>
        <w:ind w:firstLine="420" w:firstLineChars="200"/>
        <w:rPr>
          <w:rFonts w:ascii="宋体" w:hAnsi="宋体" w:cs="宋体"/>
          <w:color w:val="auto"/>
          <w:sz w:val="21"/>
          <w:szCs w:val="21"/>
        </w:rPr>
      </w:pPr>
      <w:r>
        <w:rPr>
          <w:rFonts w:hint="eastAsia" w:ascii="宋体" w:hAnsi="宋体" w:cs="宋体"/>
          <w:color w:val="auto"/>
          <w:sz w:val="21"/>
          <w:szCs w:val="21"/>
        </w:rPr>
        <w:t>28.2.1响应人为自然人的，应当由本人签字；响应人为法人或者其他组织的，应当由法定代表人、主要负责人，或者其授权代表签字或者盖章，并加盖公章。</w:t>
      </w:r>
    </w:p>
    <w:p w14:paraId="5292F43B">
      <w:pPr>
        <w:snapToGrid w:val="0"/>
        <w:spacing w:line="360" w:lineRule="auto"/>
        <w:ind w:firstLine="420" w:firstLineChars="200"/>
        <w:rPr>
          <w:rFonts w:ascii="宋体" w:hAnsi="宋体" w:cs="宋体"/>
          <w:color w:val="auto"/>
          <w:sz w:val="21"/>
          <w:szCs w:val="21"/>
        </w:rPr>
      </w:pPr>
      <w:r>
        <w:rPr>
          <w:rFonts w:hint="eastAsia" w:ascii="宋体" w:hAnsi="宋体" w:cs="宋体"/>
          <w:color w:val="auto"/>
          <w:sz w:val="21"/>
          <w:szCs w:val="21"/>
        </w:rPr>
        <w:t>28.2.2质疑函应按照财政部《政府采购响应人质疑函范本》格式和要求制作，网址：http://www.mof.gov.cn/gp/xxgkml/gks/201802/t20180201_2804587.html</w:t>
      </w:r>
    </w:p>
    <w:p w14:paraId="48BFF55B">
      <w:pPr>
        <w:snapToGrid w:val="0"/>
        <w:spacing w:line="360" w:lineRule="auto"/>
        <w:ind w:firstLine="420" w:firstLineChars="200"/>
        <w:rPr>
          <w:rFonts w:ascii="宋体" w:hAnsi="宋体" w:cs="宋体"/>
          <w:color w:val="auto"/>
          <w:sz w:val="21"/>
          <w:szCs w:val="21"/>
        </w:rPr>
      </w:pPr>
      <w:r>
        <w:rPr>
          <w:rFonts w:hint="eastAsia" w:ascii="宋体" w:hAnsi="宋体" w:cs="宋体"/>
          <w:color w:val="auto"/>
          <w:sz w:val="21"/>
          <w:szCs w:val="21"/>
        </w:rPr>
        <w:t>28.3磋商文件中采购需求部分（</w:t>
      </w:r>
      <w:r>
        <w:rPr>
          <w:rFonts w:hint="eastAsia" w:ascii="宋体" w:hAnsi="宋体" w:cs="宋体"/>
          <w:b/>
          <w:color w:val="auto"/>
          <w:sz w:val="21"/>
          <w:szCs w:val="21"/>
        </w:rPr>
        <w:t>第四部分、第五部分、第六部分以及响应人资格要求</w:t>
      </w:r>
      <w:r>
        <w:rPr>
          <w:rFonts w:hint="eastAsia" w:ascii="宋体" w:hAnsi="宋体" w:cs="宋体"/>
          <w:color w:val="auto"/>
          <w:sz w:val="21"/>
          <w:szCs w:val="21"/>
        </w:rPr>
        <w:t>）由采购人负责制定。对该部分内容的质疑，由采购人接收并负责答复。其他内容的质疑，由采购代理机构接收并负责答复。</w:t>
      </w:r>
    </w:p>
    <w:p w14:paraId="61B0460D">
      <w:pPr>
        <w:snapToGrid w:val="0"/>
        <w:spacing w:line="360" w:lineRule="auto"/>
        <w:ind w:firstLine="420" w:firstLineChars="200"/>
        <w:rPr>
          <w:rFonts w:ascii="宋体" w:hAnsi="宋体" w:cs="宋体"/>
          <w:color w:val="auto"/>
          <w:sz w:val="21"/>
          <w:szCs w:val="21"/>
        </w:rPr>
      </w:pPr>
      <w:r>
        <w:rPr>
          <w:rFonts w:hint="eastAsia" w:ascii="宋体" w:hAnsi="宋体" w:cs="宋体"/>
          <w:color w:val="auto"/>
          <w:sz w:val="21"/>
          <w:szCs w:val="21"/>
        </w:rPr>
        <w:t>28.4接收质疑函的联系方式、联系电话等详见采购公告。</w:t>
      </w:r>
    </w:p>
    <w:p w14:paraId="72F397F6">
      <w:pPr>
        <w:spacing w:line="360" w:lineRule="auto"/>
        <w:ind w:firstLine="420" w:firstLineChars="200"/>
        <w:rPr>
          <w:rFonts w:ascii="宋体" w:hAnsi="宋体" w:cs="宋体"/>
          <w:color w:val="auto"/>
          <w:sz w:val="21"/>
          <w:szCs w:val="21"/>
        </w:rPr>
      </w:pPr>
      <w:r>
        <w:rPr>
          <w:rFonts w:hint="eastAsia" w:ascii="宋体" w:hAnsi="宋体" w:cs="宋体"/>
          <w:color w:val="auto"/>
          <w:sz w:val="21"/>
          <w:szCs w:val="21"/>
        </w:rPr>
        <w:t>28.5未按规定提交的质疑函采购人及采购代理机构有权不予受理。</w:t>
      </w:r>
    </w:p>
    <w:p w14:paraId="1111F9D9">
      <w:pPr>
        <w:snapToGrid w:val="0"/>
        <w:spacing w:line="360" w:lineRule="auto"/>
        <w:rPr>
          <w:rFonts w:ascii="宋体" w:hAnsi="宋体" w:cs="宋体"/>
          <w:b/>
          <w:bCs/>
          <w:color w:val="auto"/>
          <w:sz w:val="21"/>
          <w:szCs w:val="21"/>
        </w:rPr>
      </w:pPr>
      <w:r>
        <w:rPr>
          <w:rFonts w:hint="eastAsia" w:ascii="宋体" w:hAnsi="宋体" w:cs="宋体"/>
          <w:b/>
          <w:bCs/>
          <w:color w:val="auto"/>
          <w:sz w:val="21"/>
          <w:szCs w:val="21"/>
        </w:rPr>
        <w:t>二十九、保密和披露</w:t>
      </w:r>
    </w:p>
    <w:p w14:paraId="7C28BFFF">
      <w:pPr>
        <w:snapToGrid w:val="0"/>
        <w:spacing w:line="360" w:lineRule="auto"/>
        <w:ind w:firstLine="420" w:firstLineChars="200"/>
        <w:rPr>
          <w:rFonts w:ascii="宋体" w:hAnsi="宋体" w:cs="宋体"/>
          <w:color w:val="auto"/>
          <w:sz w:val="21"/>
          <w:szCs w:val="21"/>
        </w:rPr>
      </w:pPr>
      <w:r>
        <w:rPr>
          <w:rFonts w:hint="eastAsia" w:ascii="宋体" w:hAnsi="宋体" w:cs="宋体"/>
          <w:color w:val="auto"/>
          <w:sz w:val="21"/>
          <w:szCs w:val="21"/>
        </w:rPr>
        <w:t>29.1响应人自获取磋商文件之日起，须履行本招标项目下保密义务，不得将因本次招标获得的信息向第三人外传。</w:t>
      </w:r>
    </w:p>
    <w:p w14:paraId="6573DC3D">
      <w:pPr>
        <w:snapToGrid w:val="0"/>
        <w:spacing w:line="360" w:lineRule="auto"/>
        <w:ind w:firstLine="420" w:firstLineChars="200"/>
        <w:rPr>
          <w:rFonts w:ascii="宋体" w:hAnsi="宋体" w:cs="宋体"/>
          <w:color w:val="auto"/>
          <w:sz w:val="21"/>
          <w:szCs w:val="21"/>
        </w:rPr>
      </w:pPr>
      <w:r>
        <w:rPr>
          <w:rFonts w:hint="eastAsia" w:ascii="宋体" w:hAnsi="宋体" w:cs="宋体"/>
          <w:color w:val="auto"/>
          <w:sz w:val="21"/>
          <w:szCs w:val="21"/>
        </w:rPr>
        <w:t>29.2采购人或采购代理机构有权将响应人提供的所有资料向有关政府部门或评审委员会披露。</w:t>
      </w:r>
    </w:p>
    <w:p w14:paraId="1E8E07A6">
      <w:pPr>
        <w:snapToGrid w:val="0"/>
        <w:spacing w:line="400" w:lineRule="exact"/>
        <w:rPr>
          <w:rFonts w:ascii="宋体" w:hAnsi="宋体" w:cs="宋体"/>
          <w:b/>
          <w:bCs/>
          <w:color w:val="auto"/>
          <w:sz w:val="21"/>
          <w:szCs w:val="21"/>
        </w:rPr>
      </w:pPr>
      <w:r>
        <w:rPr>
          <w:rFonts w:hint="eastAsia" w:ascii="宋体" w:hAnsi="宋体" w:cs="宋体"/>
          <w:color w:val="auto"/>
          <w:sz w:val="21"/>
          <w:szCs w:val="21"/>
        </w:rPr>
        <w:t>29.3在采购人或采购代理机构认为适当时、国家机关调查、审查、审计时以及其他符合法律规定的情形下，采购人或采购代理机构无须事先征求响应人同意而可以披露关于采购过程、合同文本、签署情况的资料、响应人的名称及地址、响应文件的有关信息以及补充条款等，但应当在合理的必要范围内。对任何已经公布过的内容或与之内容相同的资料，以及响应人已经泄露或公开的，无须再承担保密责任。</w:t>
      </w:r>
    </w:p>
    <w:p w14:paraId="3F23D06A">
      <w:pPr>
        <w:snapToGrid w:val="0"/>
        <w:spacing w:line="360" w:lineRule="auto"/>
        <w:rPr>
          <w:rFonts w:ascii="宋体" w:hAnsi="宋体" w:cs="宋体"/>
          <w:b/>
          <w:bCs/>
          <w:color w:val="auto"/>
          <w:sz w:val="21"/>
          <w:szCs w:val="21"/>
        </w:rPr>
      </w:pPr>
      <w:r>
        <w:rPr>
          <w:rFonts w:hint="eastAsia" w:ascii="宋体" w:hAnsi="宋体" w:cs="宋体"/>
          <w:b/>
          <w:bCs/>
          <w:color w:val="auto"/>
          <w:sz w:val="21"/>
          <w:szCs w:val="21"/>
        </w:rPr>
        <w:t>三十、未尽事宜</w:t>
      </w:r>
    </w:p>
    <w:p w14:paraId="30D9D309">
      <w:pPr>
        <w:snapToGrid w:val="0"/>
        <w:spacing w:line="360" w:lineRule="auto"/>
        <w:ind w:firstLine="420" w:firstLineChars="200"/>
        <w:rPr>
          <w:rFonts w:ascii="宋体" w:hAnsi="宋体" w:cs="宋体"/>
          <w:color w:val="auto"/>
          <w:sz w:val="21"/>
          <w:szCs w:val="21"/>
        </w:rPr>
      </w:pPr>
      <w:r>
        <w:rPr>
          <w:rFonts w:hint="eastAsia" w:ascii="宋体" w:hAnsi="宋体" w:cs="宋体"/>
          <w:color w:val="auto"/>
          <w:sz w:val="21"/>
          <w:szCs w:val="21"/>
        </w:rPr>
        <w:t>30.1按《中华人民共和国政府采购法》及其他有关法律法规的规定执行。</w:t>
      </w:r>
    </w:p>
    <w:p w14:paraId="782BBA28">
      <w:pPr>
        <w:snapToGrid w:val="0"/>
        <w:spacing w:line="400" w:lineRule="exact"/>
        <w:ind w:firstLine="630" w:firstLineChars="300"/>
        <w:rPr>
          <w:rFonts w:ascii="宋体" w:hAnsi="宋体" w:cs="宋体"/>
          <w:color w:val="auto"/>
          <w:sz w:val="21"/>
          <w:szCs w:val="21"/>
          <w:lang w:bidi="ar"/>
        </w:rPr>
      </w:pPr>
    </w:p>
    <w:p w14:paraId="597E6AC3">
      <w:pPr>
        <w:snapToGrid w:val="0"/>
        <w:spacing w:line="420" w:lineRule="exact"/>
        <w:jc w:val="center"/>
        <w:outlineLvl w:val="0"/>
        <w:rPr>
          <w:rFonts w:ascii="宋体" w:hAnsi="宋体" w:cs="宋体"/>
          <w:b/>
          <w:bCs/>
          <w:color w:val="auto"/>
          <w:szCs w:val="28"/>
          <w:u w:color="000000"/>
        </w:rPr>
        <w:sectPr>
          <w:footerReference r:id="rId3" w:type="default"/>
          <w:pgSz w:w="11906" w:h="16838"/>
          <w:pgMar w:top="1440" w:right="1803" w:bottom="1440" w:left="1803" w:header="851" w:footer="992" w:gutter="0"/>
          <w:cols w:space="720" w:num="1"/>
          <w:docGrid w:linePitch="312" w:charSpace="0"/>
        </w:sectPr>
      </w:pPr>
    </w:p>
    <w:p w14:paraId="62D20CA8">
      <w:pPr>
        <w:snapToGrid w:val="0"/>
        <w:spacing w:line="420" w:lineRule="exact"/>
        <w:jc w:val="center"/>
        <w:outlineLvl w:val="0"/>
        <w:rPr>
          <w:rFonts w:ascii="宋体" w:hAnsi="宋体" w:cs="宋体"/>
          <w:color w:val="auto"/>
          <w:szCs w:val="28"/>
        </w:rPr>
      </w:pPr>
      <w:r>
        <w:rPr>
          <w:rFonts w:hint="eastAsia" w:ascii="宋体" w:hAnsi="宋体" w:cs="宋体"/>
          <w:b/>
          <w:bCs/>
          <w:color w:val="auto"/>
          <w:szCs w:val="28"/>
          <w:u w:color="000000"/>
        </w:rPr>
        <w:t>第四部分  采购需求</w:t>
      </w:r>
    </w:p>
    <w:p w14:paraId="677A8CC9">
      <w:pPr>
        <w:spacing w:line="360" w:lineRule="auto"/>
        <w:rPr>
          <w:rFonts w:ascii="宋体" w:hAnsi="宋体" w:cs="宋体"/>
          <w:b/>
          <w:bCs/>
          <w:color w:val="auto"/>
          <w:sz w:val="21"/>
          <w:szCs w:val="21"/>
        </w:rPr>
      </w:pPr>
      <w:r>
        <w:rPr>
          <w:rFonts w:hint="eastAsia" w:ascii="宋体" w:hAnsi="宋体" w:cs="宋体"/>
          <w:b/>
          <w:bCs/>
          <w:color w:val="auto"/>
          <w:sz w:val="21"/>
          <w:szCs w:val="21"/>
        </w:rPr>
        <w:t>一、项目概况</w:t>
      </w:r>
    </w:p>
    <w:p w14:paraId="7520E46C">
      <w:pPr>
        <w:pStyle w:val="26"/>
        <w:spacing w:after="0" w:line="360" w:lineRule="auto"/>
        <w:ind w:left="0" w:leftChars="0"/>
        <w:rPr>
          <w:rFonts w:ascii="宋体" w:hAnsi="宋体" w:cs="宋体"/>
          <w:color w:val="auto"/>
          <w:sz w:val="21"/>
          <w:szCs w:val="21"/>
        </w:rPr>
      </w:pPr>
      <w:r>
        <w:rPr>
          <w:rFonts w:hint="eastAsia" w:ascii="宋体" w:hAnsi="宋体" w:cs="宋体"/>
          <w:color w:val="auto"/>
          <w:sz w:val="21"/>
          <w:szCs w:val="21"/>
        </w:rPr>
        <w:t>1.项目名称：国家税务总局常州市金坛区税务局土地增值税清算项目工程造价咨询服务</w:t>
      </w:r>
    </w:p>
    <w:p w14:paraId="4565EE77">
      <w:pPr>
        <w:pStyle w:val="26"/>
        <w:spacing w:after="0" w:line="360" w:lineRule="auto"/>
        <w:ind w:left="0" w:leftChars="0"/>
        <w:rPr>
          <w:rFonts w:ascii="宋体" w:hAnsi="宋体" w:cs="宋体"/>
          <w:color w:val="auto"/>
          <w:sz w:val="21"/>
          <w:szCs w:val="21"/>
        </w:rPr>
      </w:pPr>
      <w:r>
        <w:rPr>
          <w:rFonts w:hint="eastAsia" w:ascii="宋体" w:hAnsi="宋体" w:cs="宋体"/>
          <w:color w:val="auto"/>
          <w:sz w:val="21"/>
          <w:szCs w:val="21"/>
        </w:rPr>
        <w:t>2.项目预算：人民币15万元/年</w:t>
      </w:r>
    </w:p>
    <w:p w14:paraId="6E2C7C94">
      <w:pPr>
        <w:spacing w:line="360" w:lineRule="auto"/>
        <w:ind w:firstLine="420" w:firstLineChars="200"/>
        <w:rPr>
          <w:rFonts w:ascii="宋体" w:hAnsi="宋体" w:cs="宋体"/>
          <w:color w:val="auto"/>
          <w:sz w:val="21"/>
          <w:szCs w:val="21"/>
        </w:rPr>
      </w:pPr>
      <w:r>
        <w:rPr>
          <w:rFonts w:hint="eastAsia" w:ascii="宋体" w:hAnsi="宋体" w:cs="宋体"/>
          <w:color w:val="auto"/>
          <w:sz w:val="21"/>
          <w:szCs w:val="21"/>
        </w:rPr>
        <w:t>3.最高限价：咨询服务费用按每个清算项目（分期项目合并）计算，</w:t>
      </w:r>
      <w:r>
        <w:rPr>
          <w:rFonts w:hint="eastAsia" w:ascii="宋体" w:hAnsi="宋体" w:cs="宋体"/>
          <w:color w:val="auto"/>
          <w:sz w:val="21"/>
          <w:szCs w:val="21"/>
        </w:rPr>
        <w:t>采用基础费用和协审影响土地增值税清算税款比例费率</w:t>
      </w:r>
      <w:r>
        <w:rPr>
          <w:rFonts w:hint="eastAsia" w:ascii="宋体" w:hAnsi="宋体" w:cs="宋体"/>
          <w:color w:val="auto"/>
          <w:sz w:val="21"/>
          <w:szCs w:val="21"/>
        </w:rPr>
        <w:t>计算的“绩效费用”相结合的方法确定费用。</w:t>
      </w:r>
    </w:p>
    <w:p w14:paraId="5AE0E3F2">
      <w:pPr>
        <w:spacing w:line="360" w:lineRule="auto"/>
        <w:ind w:firstLine="420" w:firstLineChars="200"/>
        <w:rPr>
          <w:rFonts w:hint="eastAsia" w:ascii="宋体" w:hAnsi="宋体" w:cs="宋体"/>
          <w:color w:val="auto"/>
          <w:sz w:val="21"/>
          <w:szCs w:val="21"/>
          <w:lang w:eastAsia="zh-CN"/>
        </w:rPr>
      </w:pPr>
      <w:r>
        <w:rPr>
          <w:rFonts w:hint="eastAsia" w:ascii="宋体" w:hAnsi="宋体" w:cs="宋体"/>
          <w:color w:val="auto"/>
          <w:sz w:val="21"/>
          <w:szCs w:val="21"/>
        </w:rPr>
        <w:t>（1）</w:t>
      </w:r>
      <w:r>
        <w:rPr>
          <w:rFonts w:hint="eastAsia" w:ascii="宋体" w:hAnsi="宋体" w:cs="宋体"/>
          <w:color w:val="auto"/>
          <w:sz w:val="21"/>
          <w:szCs w:val="21"/>
          <w:lang w:eastAsia="zh-CN"/>
        </w:rPr>
        <w:t>申请造价咨询的项目，咨询后清算土地增值税有增加土地增值税税款或者减少土地增值税退税的仅计基础费用，分三个类分别计费：</w:t>
      </w:r>
    </w:p>
    <w:p w14:paraId="796D60E8">
      <w:pPr>
        <w:spacing w:line="360" w:lineRule="auto"/>
        <w:ind w:firstLine="420" w:firstLineChars="200"/>
        <w:rPr>
          <w:rFonts w:ascii="宋体" w:hAnsi="宋体" w:cs="宋体"/>
          <w:color w:val="auto"/>
          <w:sz w:val="21"/>
          <w:szCs w:val="21"/>
        </w:rPr>
      </w:pPr>
      <w:r>
        <w:rPr>
          <w:rFonts w:hint="eastAsia" w:ascii="宋体" w:hAnsi="宋体" w:cs="宋体"/>
          <w:color w:val="auto"/>
          <w:sz w:val="21"/>
          <w:szCs w:val="21"/>
        </w:rPr>
        <w:t>①第一类为咨询项目建筑面积6万平方米（含）以下，最高限价为8000元。</w:t>
      </w:r>
    </w:p>
    <w:p w14:paraId="63237648">
      <w:pPr>
        <w:spacing w:line="360" w:lineRule="auto"/>
        <w:ind w:firstLine="420" w:firstLineChars="200"/>
        <w:rPr>
          <w:rFonts w:ascii="宋体" w:hAnsi="宋体" w:cs="宋体"/>
          <w:color w:val="auto"/>
          <w:sz w:val="21"/>
          <w:szCs w:val="21"/>
        </w:rPr>
      </w:pPr>
      <w:r>
        <w:rPr>
          <w:rFonts w:hint="eastAsia" w:ascii="宋体" w:hAnsi="宋体" w:cs="宋体"/>
          <w:color w:val="auto"/>
          <w:sz w:val="21"/>
          <w:szCs w:val="21"/>
        </w:rPr>
        <w:t>②第二类为咨询项目建筑面积6—12万平方米之间，最高限价为10000元。</w:t>
      </w:r>
    </w:p>
    <w:p w14:paraId="4E90D89A">
      <w:pPr>
        <w:spacing w:line="360" w:lineRule="auto"/>
        <w:ind w:firstLine="420" w:firstLineChars="200"/>
        <w:rPr>
          <w:rFonts w:ascii="宋体" w:hAnsi="宋体" w:cs="宋体"/>
          <w:color w:val="auto"/>
          <w:sz w:val="21"/>
          <w:szCs w:val="21"/>
        </w:rPr>
      </w:pPr>
      <w:r>
        <w:rPr>
          <w:rFonts w:hint="eastAsia" w:ascii="宋体" w:hAnsi="宋体" w:cs="宋体"/>
          <w:color w:val="auto"/>
          <w:sz w:val="21"/>
          <w:szCs w:val="21"/>
        </w:rPr>
        <w:t>③第三类为咨询项目建筑面积12万平方米（含）以上，最高限价为15000元。</w:t>
      </w:r>
    </w:p>
    <w:p w14:paraId="1E4B48DA">
      <w:pPr>
        <w:spacing w:line="360" w:lineRule="auto"/>
        <w:ind w:firstLine="420" w:firstLineChars="200"/>
        <w:rPr>
          <w:rFonts w:ascii="宋体" w:hAnsi="宋体" w:cs="宋体"/>
          <w:color w:val="auto"/>
          <w:sz w:val="21"/>
          <w:szCs w:val="21"/>
        </w:rPr>
      </w:pPr>
      <w:r>
        <w:rPr>
          <w:rFonts w:hint="eastAsia" w:ascii="宋体" w:hAnsi="宋体" w:cs="宋体"/>
          <w:color w:val="auto"/>
          <w:sz w:val="21"/>
          <w:szCs w:val="21"/>
        </w:rPr>
        <w:t>（2）在申请造价咨询的工程造价基础上，税务部门、供应商通过组织造价咨询，</w:t>
      </w:r>
      <w:r>
        <w:rPr>
          <w:rFonts w:hint="eastAsia" w:ascii="宋体" w:hAnsi="宋体" w:cs="宋体"/>
          <w:color w:val="auto"/>
          <w:sz w:val="21"/>
          <w:szCs w:val="24"/>
        </w:rPr>
        <w:t>新增加的补税金额或减少的退税金额</w:t>
      </w:r>
      <w:r>
        <w:rPr>
          <w:rFonts w:hint="eastAsia" w:ascii="宋体" w:hAnsi="宋体" w:cs="宋体"/>
          <w:color w:val="auto"/>
          <w:sz w:val="21"/>
          <w:szCs w:val="24"/>
        </w:rPr>
        <w:t>视为增加量</w:t>
      </w:r>
      <w:r>
        <w:rPr>
          <w:rFonts w:hint="eastAsia" w:ascii="宋体" w:hAnsi="宋体" w:cs="宋体"/>
          <w:color w:val="auto"/>
          <w:sz w:val="21"/>
          <w:szCs w:val="21"/>
        </w:rPr>
        <w:t>，绩效费用</w:t>
      </w:r>
      <w:r>
        <w:rPr>
          <w:rFonts w:hint="eastAsia" w:ascii="宋体" w:hAnsi="宋体" w:cs="宋体"/>
          <w:color w:val="auto"/>
          <w:sz w:val="21"/>
          <w:szCs w:val="21"/>
        </w:rPr>
        <w:t>按增加量的百分比值</w:t>
      </w:r>
      <w:r>
        <w:rPr>
          <w:rFonts w:hint="eastAsia" w:ascii="宋体" w:hAnsi="宋体" w:cs="宋体"/>
          <w:color w:val="auto"/>
          <w:sz w:val="21"/>
          <w:szCs w:val="21"/>
        </w:rPr>
        <w:t>计算，分两个档次累进费率计费：</w:t>
      </w:r>
    </w:p>
    <w:p w14:paraId="506C68F0">
      <w:pPr>
        <w:spacing w:line="360" w:lineRule="auto"/>
        <w:ind w:firstLine="420" w:firstLineChars="200"/>
        <w:rPr>
          <w:rFonts w:ascii="宋体" w:hAnsi="宋体" w:cs="宋体"/>
          <w:color w:val="auto"/>
          <w:sz w:val="21"/>
          <w:szCs w:val="21"/>
        </w:rPr>
      </w:pPr>
      <w:r>
        <w:rPr>
          <w:rFonts w:hint="eastAsia" w:ascii="宋体" w:hAnsi="宋体" w:cs="宋体"/>
          <w:color w:val="auto"/>
          <w:sz w:val="21"/>
          <w:szCs w:val="21"/>
        </w:rPr>
        <w:t>①第一个档次为增加量小于等于500万，最高费率为1%。</w:t>
      </w:r>
    </w:p>
    <w:p w14:paraId="5FF7E391">
      <w:pPr>
        <w:pStyle w:val="26"/>
        <w:spacing w:after="0" w:line="360" w:lineRule="auto"/>
        <w:ind w:left="0" w:leftChars="0"/>
        <w:rPr>
          <w:rFonts w:ascii="宋体" w:hAnsi="宋体" w:cs="宋体"/>
          <w:color w:val="auto"/>
          <w:sz w:val="21"/>
          <w:szCs w:val="21"/>
        </w:rPr>
      </w:pPr>
      <w:r>
        <w:rPr>
          <w:rFonts w:hint="eastAsia" w:ascii="宋体" w:hAnsi="宋体" w:cs="宋体"/>
          <w:color w:val="auto"/>
          <w:sz w:val="21"/>
          <w:szCs w:val="21"/>
        </w:rPr>
        <w:t>②第二个档次为增加量大于500万，最高费率为0.5%。</w:t>
      </w:r>
    </w:p>
    <w:p w14:paraId="45934609">
      <w:pPr>
        <w:pStyle w:val="26"/>
        <w:spacing w:after="0" w:line="360" w:lineRule="auto"/>
        <w:ind w:left="0" w:leftChars="0"/>
        <w:rPr>
          <w:rFonts w:ascii="宋体" w:hAnsi="宋体" w:cs="宋体"/>
          <w:color w:val="auto"/>
          <w:sz w:val="21"/>
          <w:szCs w:val="21"/>
        </w:rPr>
      </w:pPr>
      <w:r>
        <w:rPr>
          <w:rFonts w:hint="eastAsia" w:ascii="宋体" w:hAnsi="宋体" w:cs="宋体"/>
          <w:color w:val="auto"/>
          <w:sz w:val="21"/>
          <w:szCs w:val="21"/>
        </w:rPr>
        <w:t>4.合同履行期限</w:t>
      </w:r>
      <w:r>
        <w:rPr>
          <w:rFonts w:hint="eastAsia" w:ascii="宋体" w:hAnsi="宋体" w:cs="宋体"/>
          <w:color w:val="auto"/>
          <w:spacing w:val="2"/>
          <w:sz w:val="21"/>
          <w:szCs w:val="21"/>
        </w:rPr>
        <w:t>：</w:t>
      </w:r>
      <w:r>
        <w:rPr>
          <w:rFonts w:hint="eastAsia" w:ascii="宋体" w:hAnsi="宋体" w:cs="宋体"/>
          <w:color w:val="auto"/>
          <w:spacing w:val="2"/>
          <w:sz w:val="21"/>
          <w:szCs w:val="24"/>
        </w:rPr>
        <w:t>服务期限三年（采用1+1+1模式），自合同签订之日起，合同一年一签，经采购人考核合格后，在年度预算满足的情况下续签下一年合同，最多续签两年</w:t>
      </w:r>
      <w:bookmarkStart w:id="68" w:name="_GoBack"/>
      <w:bookmarkEnd w:id="68"/>
      <w:r>
        <w:rPr>
          <w:rFonts w:hint="eastAsia" w:ascii="宋体" w:hAnsi="宋体" w:cs="宋体"/>
          <w:color w:val="auto"/>
          <w:spacing w:val="2"/>
          <w:sz w:val="21"/>
          <w:szCs w:val="21"/>
        </w:rPr>
        <w:t>。</w:t>
      </w:r>
    </w:p>
    <w:p w14:paraId="294CD548">
      <w:pPr>
        <w:pStyle w:val="26"/>
        <w:spacing w:after="0" w:line="360" w:lineRule="auto"/>
        <w:ind w:left="0" w:leftChars="0"/>
        <w:rPr>
          <w:rFonts w:ascii="宋体" w:hAnsi="宋体" w:cs="宋体"/>
          <w:color w:val="auto"/>
          <w:sz w:val="21"/>
          <w:szCs w:val="24"/>
        </w:rPr>
      </w:pPr>
      <w:r>
        <w:rPr>
          <w:rFonts w:hint="eastAsia" w:ascii="宋体" w:hAnsi="宋体" w:cs="宋体"/>
          <w:color w:val="auto"/>
          <w:sz w:val="21"/>
          <w:szCs w:val="21"/>
        </w:rPr>
        <w:t>5.主要服务内容：</w:t>
      </w:r>
      <w:r>
        <w:rPr>
          <w:rFonts w:hint="eastAsia" w:ascii="宋体" w:hAnsi="宋体" w:cs="宋体"/>
          <w:color w:val="auto"/>
          <w:sz w:val="21"/>
          <w:szCs w:val="24"/>
        </w:rPr>
        <w:t>采购人根据土地增值税清算工作需要，拟采购供应商为采购人提供工程造价咨询辅助协审服务。</w:t>
      </w:r>
    </w:p>
    <w:p w14:paraId="355A8CAA">
      <w:pPr>
        <w:pStyle w:val="26"/>
        <w:spacing w:after="0" w:line="360" w:lineRule="auto"/>
        <w:ind w:left="0" w:leftChars="0" w:firstLine="0" w:firstLineChars="0"/>
        <w:rPr>
          <w:rFonts w:ascii="宋体" w:hAnsi="宋体" w:cs="宋体"/>
          <w:color w:val="auto"/>
          <w:sz w:val="21"/>
          <w:szCs w:val="21"/>
        </w:rPr>
      </w:pPr>
      <w:r>
        <w:rPr>
          <w:rFonts w:hint="eastAsia" w:ascii="宋体" w:hAnsi="宋体" w:cs="宋体"/>
          <w:color w:val="auto"/>
          <w:sz w:val="21"/>
          <w:szCs w:val="21"/>
        </w:rPr>
        <w:t>二、项目背景</w:t>
      </w:r>
    </w:p>
    <w:p w14:paraId="0CB24859">
      <w:pPr>
        <w:pStyle w:val="26"/>
        <w:spacing w:after="0" w:line="360" w:lineRule="auto"/>
        <w:ind w:left="0" w:leftChars="0"/>
        <w:rPr>
          <w:rFonts w:ascii="宋体" w:hAnsi="宋体" w:cs="宋体"/>
          <w:color w:val="auto"/>
          <w:sz w:val="21"/>
          <w:szCs w:val="21"/>
        </w:rPr>
      </w:pPr>
      <w:r>
        <w:rPr>
          <w:rFonts w:hint="eastAsia" w:ascii="宋体" w:hAnsi="宋体" w:cs="宋体"/>
          <w:color w:val="auto"/>
          <w:sz w:val="21"/>
          <w:szCs w:val="21"/>
        </w:rPr>
        <w:t>根据国家税务总局江苏省税务局办公室关于印发《江苏省税务系统购买税务执法辅助性服务管理办法（试行）》的通知（苏税办发〔2022〕23号），省局制定了《购买税务执法辅助性服务清单》，《购买服务清单》中购买服务内容包含土地增值税清算涉及的工程造价建安工程造价成本个案评估。</w:t>
      </w:r>
    </w:p>
    <w:p w14:paraId="100288C8">
      <w:pPr>
        <w:pStyle w:val="26"/>
        <w:spacing w:after="0" w:line="360" w:lineRule="auto"/>
        <w:ind w:left="0" w:leftChars="0"/>
        <w:rPr>
          <w:rFonts w:ascii="宋体" w:hAnsi="宋体" w:cs="宋体"/>
          <w:color w:val="auto"/>
          <w:sz w:val="21"/>
          <w:szCs w:val="21"/>
        </w:rPr>
      </w:pPr>
      <w:r>
        <w:rPr>
          <w:rFonts w:hint="eastAsia" w:ascii="宋体" w:hAnsi="宋体" w:cs="宋体"/>
          <w:color w:val="auto"/>
          <w:sz w:val="21"/>
          <w:szCs w:val="21"/>
        </w:rPr>
        <w:t>根据《国家税务总局江苏省税务局关于规范土地增值税建安成本造价咨询工作的通知》（苏税函[2023]69号）中明确土地增值税清算项目中建筑成本构成计算复杂，纳税人申报的金额是否偏高，征纳双方容易产生争议，对纳税人申报建安成本争议较大的清算项目，可以委托第三方专业造价机构进行建安造价咨询，供清算审核人员参考使用。</w:t>
      </w:r>
    </w:p>
    <w:p w14:paraId="7F3D3CAE">
      <w:pPr>
        <w:pStyle w:val="26"/>
        <w:spacing w:after="0" w:line="360" w:lineRule="auto"/>
        <w:ind w:left="0" w:leftChars="0"/>
        <w:rPr>
          <w:rFonts w:ascii="宋体" w:hAnsi="宋体" w:cs="宋体"/>
          <w:color w:val="auto"/>
          <w:sz w:val="21"/>
          <w:szCs w:val="21"/>
        </w:rPr>
      </w:pPr>
      <w:r>
        <w:rPr>
          <w:rFonts w:hint="eastAsia" w:ascii="宋体" w:hAnsi="宋体" w:cs="宋体"/>
          <w:color w:val="auto"/>
          <w:sz w:val="21"/>
          <w:szCs w:val="21"/>
        </w:rPr>
        <w:t>本次采购项目，采购人委托供应商参与对指定企业、指定项目开展的土地增值税清算中对建筑安装工程造价（土地增值税开发成本中的前期工程费、建筑安装工程费、基础设施费等）的咨询。</w:t>
      </w:r>
    </w:p>
    <w:p w14:paraId="02979711">
      <w:pPr>
        <w:pStyle w:val="26"/>
        <w:spacing w:after="0" w:line="360" w:lineRule="auto"/>
        <w:ind w:left="0" w:leftChars="0"/>
        <w:rPr>
          <w:rFonts w:ascii="宋体" w:hAnsi="宋体" w:cs="宋体"/>
          <w:color w:val="auto"/>
          <w:sz w:val="21"/>
          <w:szCs w:val="21"/>
        </w:rPr>
      </w:pPr>
      <w:r>
        <w:rPr>
          <w:rFonts w:hint="eastAsia" w:ascii="宋体" w:hAnsi="宋体" w:cs="宋体"/>
          <w:color w:val="auto"/>
          <w:sz w:val="21"/>
          <w:szCs w:val="21"/>
        </w:rPr>
        <w:t>供应商须根据相关职业行为规范、标准和本协议约定，每个清算项目指派不少于2名供应商全职注册造价师参与指定项目建筑安装工程造价（土地增值税开发成本中的前期工程费、建筑安装工程费、基础设施费等）的咨询。</w:t>
      </w:r>
    </w:p>
    <w:p w14:paraId="61D258A5">
      <w:pPr>
        <w:pStyle w:val="26"/>
        <w:spacing w:after="0" w:line="360" w:lineRule="auto"/>
        <w:ind w:left="0" w:leftChars="0" w:firstLine="0" w:firstLineChars="0"/>
        <w:rPr>
          <w:rFonts w:ascii="宋体" w:hAnsi="宋体" w:cs="宋体"/>
          <w:color w:val="auto"/>
          <w:sz w:val="21"/>
          <w:szCs w:val="21"/>
        </w:rPr>
      </w:pPr>
      <w:r>
        <w:rPr>
          <w:rFonts w:hint="eastAsia" w:ascii="宋体" w:hAnsi="宋体" w:cs="宋体"/>
          <w:color w:val="auto"/>
          <w:sz w:val="21"/>
          <w:szCs w:val="21"/>
        </w:rPr>
        <w:t>三、技术要求</w:t>
      </w:r>
    </w:p>
    <w:p w14:paraId="4532C4FE">
      <w:pPr>
        <w:pStyle w:val="26"/>
        <w:spacing w:after="0" w:line="360" w:lineRule="auto"/>
        <w:ind w:left="0" w:leftChars="0"/>
        <w:rPr>
          <w:rFonts w:ascii="宋体" w:hAnsi="宋体" w:cs="宋体"/>
          <w:color w:val="auto"/>
          <w:sz w:val="21"/>
          <w:szCs w:val="21"/>
        </w:rPr>
      </w:pPr>
      <w:r>
        <w:rPr>
          <w:rFonts w:hint="eastAsia" w:ascii="宋体" w:hAnsi="宋体" w:cs="宋体"/>
          <w:color w:val="auto"/>
          <w:sz w:val="21"/>
          <w:szCs w:val="21"/>
        </w:rPr>
        <w:t>（一）服务内容及要求</w:t>
      </w:r>
    </w:p>
    <w:p w14:paraId="190A30C9">
      <w:pPr>
        <w:pStyle w:val="26"/>
        <w:spacing w:after="0" w:line="360" w:lineRule="auto"/>
        <w:ind w:left="0" w:leftChars="0"/>
        <w:rPr>
          <w:rFonts w:ascii="宋体" w:hAnsi="宋体" w:cs="宋体"/>
          <w:color w:val="auto"/>
          <w:sz w:val="21"/>
          <w:szCs w:val="21"/>
        </w:rPr>
      </w:pPr>
      <w:r>
        <w:rPr>
          <w:rFonts w:hint="eastAsia" w:ascii="宋体" w:hAnsi="宋体" w:cs="宋体"/>
          <w:color w:val="auto"/>
          <w:sz w:val="21"/>
          <w:szCs w:val="21"/>
        </w:rPr>
        <w:t>1.工作内容</w:t>
      </w:r>
    </w:p>
    <w:p w14:paraId="207711AF">
      <w:pPr>
        <w:pStyle w:val="26"/>
        <w:spacing w:after="0" w:line="360" w:lineRule="auto"/>
        <w:ind w:left="0" w:leftChars="0"/>
        <w:rPr>
          <w:rFonts w:ascii="宋体" w:hAnsi="宋体" w:cs="宋体"/>
          <w:color w:val="auto"/>
          <w:sz w:val="21"/>
          <w:szCs w:val="21"/>
        </w:rPr>
      </w:pPr>
      <w:r>
        <w:rPr>
          <w:rFonts w:hint="eastAsia" w:ascii="宋体" w:hAnsi="宋体" w:cs="宋体"/>
          <w:color w:val="auto"/>
          <w:sz w:val="21"/>
          <w:szCs w:val="21"/>
        </w:rPr>
        <w:t>主要是以企业申报提交的《土地增值税清算申报套表》为基础，辅助税务清算审核人员对清算项目工程造价的合理性、准确性进行咨询答复和审计，在协议规定的时间内出具真实、合法的咨询协审报告、工作底稿及相关表格。咨询协审报告、工作底稿及相关表格需明确指出工程造价偏高的原因、存在问题及处理建议，且有造价工程师签名盖章，并承担法律责任。</w:t>
      </w:r>
    </w:p>
    <w:p w14:paraId="704903F6">
      <w:pPr>
        <w:pStyle w:val="26"/>
        <w:spacing w:after="0" w:line="360" w:lineRule="auto"/>
        <w:ind w:left="0" w:leftChars="0"/>
        <w:rPr>
          <w:rFonts w:ascii="宋体" w:hAnsi="宋体" w:cs="宋体"/>
          <w:color w:val="auto"/>
          <w:sz w:val="21"/>
          <w:szCs w:val="21"/>
        </w:rPr>
      </w:pPr>
      <w:r>
        <w:rPr>
          <w:rFonts w:hint="eastAsia" w:ascii="宋体" w:hAnsi="宋体" w:cs="宋体"/>
          <w:color w:val="auto"/>
          <w:sz w:val="21"/>
          <w:szCs w:val="21"/>
        </w:rPr>
        <w:t>2.采购人职责</w:t>
      </w:r>
    </w:p>
    <w:p w14:paraId="5C5DF4EF">
      <w:pPr>
        <w:pStyle w:val="26"/>
        <w:spacing w:after="0" w:line="360" w:lineRule="auto"/>
        <w:ind w:left="0" w:leftChars="0"/>
        <w:rPr>
          <w:rFonts w:ascii="宋体" w:hAnsi="宋体" w:cs="宋体"/>
          <w:color w:val="auto"/>
          <w:sz w:val="21"/>
          <w:szCs w:val="21"/>
        </w:rPr>
      </w:pPr>
      <w:r>
        <w:rPr>
          <w:rFonts w:hint="eastAsia" w:ascii="宋体" w:hAnsi="宋体" w:cs="宋体"/>
          <w:color w:val="auto"/>
          <w:sz w:val="21"/>
          <w:szCs w:val="21"/>
        </w:rPr>
        <w:t>（1）采购人应在自身职责范围内购买服务，按照政府采购方式和程序，委托符合条件的服务供应商承担。</w:t>
      </w:r>
    </w:p>
    <w:p w14:paraId="0DA19896">
      <w:pPr>
        <w:pStyle w:val="26"/>
        <w:spacing w:after="0" w:line="360" w:lineRule="auto"/>
        <w:ind w:left="0" w:leftChars="0"/>
        <w:rPr>
          <w:rFonts w:ascii="宋体" w:hAnsi="宋体" w:cs="宋体"/>
          <w:color w:val="auto"/>
          <w:sz w:val="21"/>
          <w:szCs w:val="21"/>
        </w:rPr>
      </w:pPr>
      <w:r>
        <w:rPr>
          <w:rFonts w:hint="eastAsia" w:ascii="宋体" w:hAnsi="宋体" w:cs="宋体"/>
          <w:color w:val="auto"/>
          <w:sz w:val="21"/>
          <w:szCs w:val="21"/>
        </w:rPr>
        <w:t>（2）分配造价咨询任务、与供应商签订项目委托书并对供应商履行任务情况从工作效率、执业质量、服务水平、工作要求方面作出适当评价。</w:t>
      </w:r>
    </w:p>
    <w:p w14:paraId="72DD8F9A">
      <w:pPr>
        <w:pStyle w:val="26"/>
        <w:spacing w:after="0" w:line="360" w:lineRule="auto"/>
        <w:ind w:left="0" w:leftChars="0"/>
        <w:rPr>
          <w:rFonts w:ascii="宋体" w:hAnsi="宋体" w:cs="宋体"/>
          <w:color w:val="auto"/>
          <w:sz w:val="21"/>
          <w:szCs w:val="21"/>
        </w:rPr>
      </w:pPr>
      <w:r>
        <w:rPr>
          <w:rFonts w:hint="eastAsia" w:ascii="宋体" w:hAnsi="宋体" w:cs="宋体"/>
          <w:color w:val="auto"/>
          <w:sz w:val="21"/>
          <w:szCs w:val="21"/>
        </w:rPr>
        <w:t>（3）为供应商开展建筑安装工程造价咨询提供必要的外部条件与协助。</w:t>
      </w:r>
    </w:p>
    <w:p w14:paraId="29AFAB48">
      <w:pPr>
        <w:pStyle w:val="26"/>
        <w:spacing w:after="0" w:line="360" w:lineRule="auto"/>
        <w:ind w:left="0" w:leftChars="0"/>
        <w:rPr>
          <w:rFonts w:ascii="宋体" w:hAnsi="宋体" w:cs="宋体"/>
          <w:color w:val="auto"/>
          <w:sz w:val="21"/>
          <w:szCs w:val="21"/>
        </w:rPr>
      </w:pPr>
      <w:r>
        <w:rPr>
          <w:rFonts w:hint="eastAsia" w:ascii="宋体" w:hAnsi="宋体" w:cs="宋体"/>
          <w:color w:val="auto"/>
          <w:sz w:val="21"/>
          <w:szCs w:val="21"/>
        </w:rPr>
        <w:t>（4）在供应商全面履行本合同义务的前提下，按合同约定结算并支付委托造价咨询服务费用。</w:t>
      </w:r>
    </w:p>
    <w:p w14:paraId="0E0575F7">
      <w:pPr>
        <w:pStyle w:val="26"/>
        <w:spacing w:after="0" w:line="360" w:lineRule="auto"/>
        <w:ind w:left="0" w:leftChars="0"/>
        <w:rPr>
          <w:rFonts w:ascii="宋体" w:hAnsi="宋体" w:cs="宋体"/>
          <w:color w:val="auto"/>
          <w:sz w:val="21"/>
          <w:szCs w:val="21"/>
        </w:rPr>
      </w:pPr>
      <w:r>
        <w:rPr>
          <w:rFonts w:hint="eastAsia" w:ascii="宋体" w:hAnsi="宋体" w:cs="宋体"/>
          <w:color w:val="auto"/>
          <w:sz w:val="21"/>
          <w:szCs w:val="21"/>
        </w:rPr>
        <w:t>3.供应商职责</w:t>
      </w:r>
    </w:p>
    <w:p w14:paraId="7B779A97">
      <w:pPr>
        <w:pStyle w:val="26"/>
        <w:spacing w:after="0" w:line="360" w:lineRule="auto"/>
        <w:ind w:left="0" w:leftChars="0"/>
        <w:rPr>
          <w:rFonts w:ascii="宋体" w:hAnsi="宋体" w:cs="宋体"/>
          <w:color w:val="auto"/>
          <w:sz w:val="21"/>
          <w:szCs w:val="21"/>
        </w:rPr>
      </w:pPr>
      <w:r>
        <w:rPr>
          <w:rFonts w:hint="eastAsia" w:ascii="宋体" w:hAnsi="宋体" w:cs="宋体"/>
          <w:color w:val="auto"/>
          <w:sz w:val="21"/>
          <w:szCs w:val="21"/>
        </w:rPr>
        <w:t>（1）供应商应根据采购人确定的工作安排，建立质量管理体系，严格遵守国家的有关法律、法规、制度规定、有关执业规范及采购人的工作要求和工作规范，进行项目工程造价提供咨询服务和协审，严把审核质量关，根据委托协议书和项目的具体要求独立客观公正地出具咨询协审业务报告等鉴证材料，对咨询协审意见的真实性、完整性、可靠性负责。</w:t>
      </w:r>
    </w:p>
    <w:p w14:paraId="78627D64">
      <w:pPr>
        <w:pStyle w:val="26"/>
        <w:spacing w:after="0" w:line="360" w:lineRule="auto"/>
        <w:ind w:left="0" w:leftChars="0"/>
        <w:rPr>
          <w:rFonts w:ascii="宋体" w:hAnsi="宋体" w:cs="宋体"/>
          <w:color w:val="auto"/>
          <w:sz w:val="21"/>
          <w:szCs w:val="21"/>
        </w:rPr>
      </w:pPr>
      <w:r>
        <w:rPr>
          <w:rFonts w:hint="eastAsia" w:ascii="宋体" w:hAnsi="宋体" w:cs="宋体"/>
          <w:color w:val="auto"/>
          <w:sz w:val="21"/>
          <w:szCs w:val="21"/>
        </w:rPr>
        <w:t>（2）供应商应按时提供咨询服务，完成协审工作，自接到具体项目委托时，应与采购人签订具体项目委托书。在具体项目咨询委托书签订后3个工作日内与主管税务机关完成对接，自对接次日起30日内完成咨询并提交造价咨询协审报告及明细数据，期间不得单独与清算项目单位及其利益相关者自行商谈，如遇问题，应在3个工作日内报告采购人，不得擅自作主。对在咨询协审过程中发现由于被询和被审项目的单位提供资料不全，且由于补送资料不及时而严重影响进度的，由供应商提出要求延长咨询服务和协审时间的书面申请，经采购人核准后给予调整时间。发生不可抗力情形的，待该情形消除后，按上述回复期限执行。</w:t>
      </w:r>
    </w:p>
    <w:p w14:paraId="56360C0D">
      <w:pPr>
        <w:pStyle w:val="26"/>
        <w:spacing w:after="0" w:line="360" w:lineRule="auto"/>
        <w:ind w:left="0" w:leftChars="0"/>
        <w:rPr>
          <w:rFonts w:ascii="宋体" w:hAnsi="宋体" w:cs="宋体"/>
          <w:color w:val="auto"/>
          <w:sz w:val="21"/>
          <w:szCs w:val="21"/>
        </w:rPr>
      </w:pPr>
      <w:r>
        <w:rPr>
          <w:rFonts w:hint="eastAsia" w:ascii="宋体" w:hAnsi="宋体" w:cs="宋体"/>
          <w:color w:val="auto"/>
          <w:sz w:val="21"/>
          <w:szCs w:val="21"/>
        </w:rPr>
        <w:t>（二）服务相关要求</w:t>
      </w:r>
    </w:p>
    <w:p w14:paraId="6F56A1E4">
      <w:pPr>
        <w:pStyle w:val="26"/>
        <w:spacing w:after="0" w:line="360" w:lineRule="auto"/>
        <w:ind w:left="0" w:leftChars="0" w:firstLine="422"/>
        <w:rPr>
          <w:rFonts w:ascii="宋体" w:hAnsi="宋体" w:cs="宋体"/>
          <w:b/>
          <w:bCs/>
          <w:color w:val="auto"/>
          <w:sz w:val="21"/>
          <w:szCs w:val="21"/>
        </w:rPr>
      </w:pPr>
      <w:r>
        <w:rPr>
          <w:rFonts w:hint="eastAsia" w:ascii="宋体" w:hAnsi="宋体" w:cs="宋体"/>
          <w:b/>
          <w:bCs/>
          <w:color w:val="auto"/>
          <w:sz w:val="21"/>
          <w:szCs w:val="21"/>
        </w:rPr>
        <w:t>1.中标供应商按抽签方式承接项目，具体方式为：采购人有项目需咨询时将召集本次中标的三家供应商参加抽签，抽中一个项目的暂停其抽签资格，直至本次中标的三家供应商全部抽中后，再恢复其抽签资格，以此循环。</w:t>
      </w:r>
    </w:p>
    <w:p w14:paraId="0C439B52">
      <w:pPr>
        <w:pStyle w:val="26"/>
        <w:spacing w:after="0" w:line="360" w:lineRule="auto"/>
        <w:ind w:left="0" w:leftChars="0"/>
        <w:rPr>
          <w:rFonts w:ascii="宋体" w:hAnsi="宋体" w:cs="宋体"/>
          <w:color w:val="auto"/>
          <w:sz w:val="21"/>
          <w:szCs w:val="21"/>
        </w:rPr>
      </w:pPr>
      <w:r>
        <w:rPr>
          <w:rFonts w:hint="eastAsia" w:ascii="宋体" w:hAnsi="宋体" w:cs="宋体"/>
          <w:color w:val="auto"/>
          <w:sz w:val="21"/>
          <w:szCs w:val="21"/>
        </w:rPr>
        <w:t>2.档案要求：供应商应当建立政府购买服务项目台账，依照有关规定或合同约定记录保存并向采购人提供项目实施相关重要资料信息。本项目全部资料和成果属采购人所有，未经采购人同意不得外泄任何内容。</w:t>
      </w:r>
    </w:p>
    <w:p w14:paraId="46E1B8AC">
      <w:pPr>
        <w:pStyle w:val="26"/>
        <w:spacing w:after="0" w:line="360" w:lineRule="auto"/>
        <w:ind w:left="0" w:leftChars="0"/>
        <w:rPr>
          <w:rFonts w:ascii="宋体" w:hAnsi="宋体" w:cs="宋体"/>
          <w:color w:val="auto"/>
          <w:sz w:val="21"/>
          <w:szCs w:val="21"/>
        </w:rPr>
      </w:pPr>
      <w:r>
        <w:rPr>
          <w:rFonts w:hint="eastAsia" w:ascii="宋体" w:hAnsi="宋体" w:cs="宋体"/>
          <w:color w:val="auto"/>
          <w:sz w:val="21"/>
          <w:szCs w:val="21"/>
        </w:rPr>
        <w:t>3.质量控制：采购人有权对咨询事项进行复核。对咨询过程及报告中的未尽事项有权要求供应商补充或重新提供咨询服务。</w:t>
      </w:r>
    </w:p>
    <w:p w14:paraId="6A5BA4DE">
      <w:pPr>
        <w:pStyle w:val="26"/>
        <w:spacing w:after="0" w:line="360" w:lineRule="auto"/>
        <w:ind w:left="0" w:leftChars="0"/>
        <w:rPr>
          <w:rFonts w:ascii="宋体" w:hAnsi="宋体" w:cs="宋体"/>
          <w:color w:val="auto"/>
          <w:sz w:val="21"/>
          <w:szCs w:val="21"/>
        </w:rPr>
      </w:pPr>
      <w:r>
        <w:rPr>
          <w:rFonts w:hint="eastAsia" w:ascii="宋体" w:hAnsi="宋体" w:cs="宋体"/>
          <w:color w:val="auto"/>
          <w:sz w:val="21"/>
          <w:szCs w:val="21"/>
        </w:rPr>
        <w:t>4.服务质量：参与项目的工作人员能按照采购人的服务需求提供高质量的服务，能按照采购人提出的服务需求的开展咨询服务工作，能严格遵守国家的有关法律、法规、制度规定、有关执业规范及采购人的工作要求和工作规范，本着独立、客观、公正、诚信的原则进行咨询，不得损害社会公共利益或他人的合法权益，并对咨询协审报告的真实性、完整性、可靠性负责。</w:t>
      </w:r>
    </w:p>
    <w:p w14:paraId="3C047A88">
      <w:pPr>
        <w:pStyle w:val="26"/>
        <w:spacing w:after="0" w:line="360" w:lineRule="auto"/>
        <w:ind w:left="0" w:leftChars="0"/>
        <w:rPr>
          <w:rFonts w:ascii="宋体" w:hAnsi="宋体" w:cs="宋体"/>
          <w:color w:val="auto"/>
          <w:sz w:val="21"/>
          <w:szCs w:val="21"/>
        </w:rPr>
      </w:pPr>
      <w:r>
        <w:rPr>
          <w:rFonts w:hint="eastAsia" w:ascii="宋体" w:hAnsi="宋体" w:cs="宋体"/>
          <w:color w:val="auto"/>
          <w:sz w:val="21"/>
          <w:szCs w:val="21"/>
        </w:rPr>
        <w:t>5.知识产权要求：供应商保证合同项下提供的服务不侵犯任何第三方的专利、商标或版权或其他合法权利。否则，供应商须对第三方承担全部责任并承担因此而发生的所有费用。</w:t>
      </w:r>
    </w:p>
    <w:p w14:paraId="52594A47">
      <w:pPr>
        <w:pStyle w:val="26"/>
        <w:spacing w:after="0" w:line="360" w:lineRule="auto"/>
        <w:ind w:left="0" w:leftChars="0"/>
        <w:rPr>
          <w:rFonts w:ascii="宋体" w:hAnsi="宋体" w:cs="宋体"/>
          <w:color w:val="auto"/>
          <w:sz w:val="21"/>
          <w:szCs w:val="21"/>
        </w:rPr>
      </w:pPr>
      <w:r>
        <w:rPr>
          <w:rFonts w:hint="eastAsia" w:ascii="宋体" w:hAnsi="宋体" w:cs="宋体"/>
          <w:color w:val="auto"/>
          <w:sz w:val="21"/>
          <w:szCs w:val="21"/>
        </w:rPr>
        <w:t>（三）保密要求</w:t>
      </w:r>
    </w:p>
    <w:p w14:paraId="1989F5A3">
      <w:pPr>
        <w:pStyle w:val="26"/>
        <w:spacing w:after="0" w:line="360" w:lineRule="auto"/>
        <w:ind w:left="0" w:leftChars="0"/>
        <w:rPr>
          <w:rFonts w:ascii="宋体" w:hAnsi="宋体" w:cs="宋体"/>
          <w:color w:val="auto"/>
          <w:sz w:val="21"/>
          <w:szCs w:val="21"/>
        </w:rPr>
      </w:pPr>
      <w:r>
        <w:rPr>
          <w:rFonts w:hint="eastAsia" w:ascii="宋体" w:hAnsi="宋体" w:cs="宋体"/>
          <w:color w:val="auto"/>
          <w:sz w:val="21"/>
          <w:szCs w:val="21"/>
        </w:rPr>
        <w:t>1.供应商必须严守保密纪律，咨询协审报告只向采购人提供，除对在咨询过程中知悉的企业商业秘密不得泄露外，对与本合同规定业务活动有关的保密资料也不得泄露，并不得利用造价咨询服务商身份进行业务广告和宣传等营销活动、利用不正当手段拓展公司业务或谋取经济利益。造价咨询工作完成后，供应商应及时移交工作过程中形成的全部纸质材料和电子材料。</w:t>
      </w:r>
    </w:p>
    <w:p w14:paraId="46595060">
      <w:pPr>
        <w:pStyle w:val="26"/>
        <w:spacing w:after="0" w:line="360" w:lineRule="auto"/>
        <w:ind w:left="0" w:leftChars="0"/>
        <w:rPr>
          <w:rFonts w:ascii="宋体" w:hAnsi="宋体" w:cs="宋体"/>
          <w:color w:val="auto"/>
          <w:sz w:val="21"/>
          <w:szCs w:val="21"/>
        </w:rPr>
      </w:pPr>
      <w:r>
        <w:rPr>
          <w:rFonts w:hint="eastAsia" w:ascii="宋体" w:hAnsi="宋体" w:cs="宋体"/>
          <w:color w:val="auto"/>
          <w:sz w:val="21"/>
          <w:szCs w:val="21"/>
        </w:rPr>
        <w:t>2.保密期限不受合同有效期的限制，在合同有效期结束后，供应商仍应承担保密义务，直至该等信息成为公开信息。供应商如出现泄密行为，应承担相关的法律责任，包括但不限于对由此给采购人造成的经济损失进行赔偿。</w:t>
      </w:r>
    </w:p>
    <w:p w14:paraId="6DB3C4D5">
      <w:pPr>
        <w:pStyle w:val="26"/>
        <w:spacing w:after="0" w:line="360" w:lineRule="auto"/>
        <w:ind w:left="0" w:leftChars="0"/>
        <w:rPr>
          <w:rFonts w:ascii="宋体" w:hAnsi="宋体" w:cs="宋体"/>
          <w:color w:val="auto"/>
          <w:sz w:val="21"/>
          <w:szCs w:val="21"/>
        </w:rPr>
      </w:pPr>
      <w:r>
        <w:rPr>
          <w:rFonts w:hint="eastAsia" w:ascii="宋体" w:hAnsi="宋体" w:cs="宋体"/>
          <w:color w:val="auto"/>
          <w:sz w:val="21"/>
          <w:szCs w:val="21"/>
        </w:rPr>
        <w:t>（四）考核要求</w:t>
      </w:r>
    </w:p>
    <w:p w14:paraId="2B975D2A">
      <w:pPr>
        <w:pStyle w:val="26"/>
        <w:spacing w:after="0" w:line="360" w:lineRule="auto"/>
        <w:ind w:left="0" w:leftChars="0"/>
        <w:rPr>
          <w:rFonts w:ascii="宋体" w:hAnsi="宋体" w:cs="宋体"/>
          <w:color w:val="auto"/>
          <w:sz w:val="21"/>
          <w:szCs w:val="21"/>
        </w:rPr>
      </w:pPr>
      <w:r>
        <w:rPr>
          <w:rFonts w:hint="eastAsia" w:ascii="宋体" w:hAnsi="宋体" w:cs="宋体"/>
          <w:color w:val="auto"/>
          <w:sz w:val="21"/>
          <w:szCs w:val="21"/>
        </w:rPr>
        <w:t>供应商的工作必须接受采购人根据本磋商文件及其附件约定开展的考核，主要考核内容包括工作效率、执业质量、服务水平、工作要求等方面，并接受采购人根据考核结果做出的惩罚。对供应商不同意参加考核以及不配合考核的，采购人有权终止本合同，并且供应商无权要求采购人支付任何款项。考核具体内容主要包括以下方面：</w:t>
      </w:r>
    </w:p>
    <w:p w14:paraId="08DA48D7">
      <w:pPr>
        <w:pStyle w:val="26"/>
        <w:spacing w:after="0" w:line="360" w:lineRule="auto"/>
        <w:ind w:left="0" w:leftChars="0"/>
        <w:rPr>
          <w:rFonts w:ascii="宋体" w:hAnsi="宋体" w:cs="宋体"/>
          <w:color w:val="auto"/>
          <w:sz w:val="21"/>
          <w:szCs w:val="21"/>
        </w:rPr>
      </w:pPr>
      <w:r>
        <w:rPr>
          <w:rFonts w:hint="eastAsia" w:ascii="宋体" w:hAnsi="宋体" w:cs="宋体"/>
          <w:color w:val="auto"/>
          <w:sz w:val="21"/>
          <w:szCs w:val="21"/>
        </w:rPr>
        <w:t>1.供应商因接受委托开展咨询工作发生的相关费用由供应商自行承担，供应商不得额外向纳税人收取任何费用，如有违反，一经核实，取消服务资格，且5年内不得再次投标。</w:t>
      </w:r>
    </w:p>
    <w:p w14:paraId="4BC92F5A">
      <w:pPr>
        <w:pStyle w:val="26"/>
        <w:spacing w:after="0" w:line="360" w:lineRule="auto"/>
        <w:ind w:left="0" w:leftChars="0"/>
        <w:rPr>
          <w:rFonts w:ascii="宋体" w:hAnsi="宋体" w:cs="宋体"/>
          <w:color w:val="auto"/>
          <w:sz w:val="21"/>
          <w:szCs w:val="21"/>
        </w:rPr>
      </w:pPr>
      <w:r>
        <w:rPr>
          <w:rFonts w:hint="eastAsia" w:ascii="宋体" w:hAnsi="宋体" w:cs="宋体"/>
          <w:color w:val="auto"/>
          <w:sz w:val="21"/>
          <w:szCs w:val="21"/>
        </w:rPr>
        <w:t>2.供应商应按照竞争性磋商文件、响应文件的约定在人员和时间安排上给予采购人及时保障。</w:t>
      </w:r>
    </w:p>
    <w:p w14:paraId="5E9DDE1C">
      <w:pPr>
        <w:pStyle w:val="26"/>
        <w:spacing w:after="0" w:line="360" w:lineRule="auto"/>
        <w:ind w:left="0" w:leftChars="0"/>
        <w:rPr>
          <w:rFonts w:ascii="宋体" w:hAnsi="宋体" w:cs="宋体"/>
          <w:color w:val="auto"/>
          <w:sz w:val="21"/>
          <w:szCs w:val="21"/>
        </w:rPr>
      </w:pPr>
      <w:r>
        <w:rPr>
          <w:rFonts w:hint="eastAsia" w:ascii="宋体" w:hAnsi="宋体" w:cs="宋体"/>
          <w:color w:val="auto"/>
          <w:sz w:val="21"/>
          <w:szCs w:val="21"/>
        </w:rPr>
        <w:t>3.供应商应按照委托的业务范围和内容，在采购人的指导下，按照国家相关税收法律法规规定等要求开展工作。</w:t>
      </w:r>
    </w:p>
    <w:p w14:paraId="4EB610E0">
      <w:pPr>
        <w:pStyle w:val="26"/>
        <w:spacing w:after="0" w:line="360" w:lineRule="auto"/>
        <w:ind w:left="0" w:leftChars="0"/>
        <w:rPr>
          <w:rFonts w:ascii="宋体" w:hAnsi="宋体" w:cs="宋体"/>
          <w:color w:val="auto"/>
          <w:sz w:val="21"/>
          <w:szCs w:val="21"/>
        </w:rPr>
      </w:pPr>
      <w:r>
        <w:rPr>
          <w:rFonts w:hint="eastAsia" w:ascii="宋体" w:hAnsi="宋体" w:cs="宋体"/>
          <w:color w:val="auto"/>
          <w:sz w:val="21"/>
          <w:szCs w:val="21"/>
        </w:rPr>
        <w:t>4.供应商应当遵守保密要求。</w:t>
      </w:r>
    </w:p>
    <w:p w14:paraId="23129FA5">
      <w:pPr>
        <w:pStyle w:val="26"/>
        <w:spacing w:after="0" w:line="360" w:lineRule="auto"/>
        <w:ind w:left="0" w:leftChars="0"/>
        <w:rPr>
          <w:rFonts w:ascii="宋体" w:hAnsi="宋体" w:cs="宋体"/>
          <w:color w:val="auto"/>
          <w:sz w:val="21"/>
          <w:szCs w:val="21"/>
        </w:rPr>
      </w:pPr>
      <w:r>
        <w:rPr>
          <w:rFonts w:hint="eastAsia" w:ascii="宋体" w:hAnsi="宋体" w:cs="宋体"/>
          <w:color w:val="auto"/>
          <w:sz w:val="21"/>
          <w:szCs w:val="21"/>
        </w:rPr>
        <w:t>5.凡是与土地增值税清算项目单位有利害关系的，供应商相关人员应当自行申请回避；没有自行回避的，视为供应商违约。采购人有权要求扣减咨询费用、终止造价咨询委托合同、将其剔除在以后轮次委托选择名单之列，直至终止供应商土地增值税清算项目工程造价委托造价咨询服务商资格。</w:t>
      </w:r>
    </w:p>
    <w:p w14:paraId="5B515FBF">
      <w:pPr>
        <w:pStyle w:val="26"/>
        <w:spacing w:after="0" w:line="360" w:lineRule="auto"/>
        <w:ind w:left="0" w:leftChars="0"/>
        <w:rPr>
          <w:rFonts w:ascii="宋体" w:hAnsi="宋体" w:cs="宋体"/>
          <w:color w:val="auto"/>
          <w:sz w:val="21"/>
          <w:szCs w:val="21"/>
        </w:rPr>
      </w:pPr>
      <w:r>
        <w:rPr>
          <w:rFonts w:hint="eastAsia" w:ascii="宋体" w:hAnsi="宋体" w:cs="宋体"/>
          <w:color w:val="auto"/>
          <w:sz w:val="21"/>
          <w:szCs w:val="21"/>
        </w:rPr>
        <w:t>6.满意度考核表</w:t>
      </w:r>
    </w:p>
    <w:p w14:paraId="140CC243">
      <w:pPr>
        <w:pStyle w:val="26"/>
        <w:spacing w:after="0" w:line="360" w:lineRule="auto"/>
        <w:ind w:left="0" w:leftChars="0"/>
        <w:jc w:val="center"/>
        <w:rPr>
          <w:rFonts w:ascii="宋体" w:hAnsi="宋体" w:cs="宋体"/>
          <w:color w:val="auto"/>
          <w:sz w:val="21"/>
          <w:szCs w:val="21"/>
        </w:rPr>
      </w:pPr>
      <w:r>
        <w:rPr>
          <w:rFonts w:hint="eastAsia" w:ascii="宋体" w:hAnsi="宋体" w:cs="宋体"/>
          <w:color w:val="auto"/>
          <w:sz w:val="21"/>
          <w:szCs w:val="21"/>
        </w:rPr>
        <w:t>满意度评价表</w:t>
      </w:r>
    </w:p>
    <w:tbl>
      <w:tblPr>
        <w:tblStyle w:val="28"/>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61"/>
        <w:gridCol w:w="2462"/>
        <w:gridCol w:w="2464"/>
        <w:gridCol w:w="2465"/>
      </w:tblGrid>
      <w:tr w14:paraId="08F79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1249" w:type="pct"/>
            <w:vAlign w:val="center"/>
          </w:tcPr>
          <w:p w14:paraId="0895B3EB">
            <w:pPr>
              <w:pStyle w:val="26"/>
              <w:spacing w:after="0" w:line="360" w:lineRule="auto"/>
              <w:ind w:left="0" w:leftChars="0"/>
              <w:rPr>
                <w:rFonts w:ascii="宋体" w:hAnsi="宋体" w:cs="宋体"/>
                <w:color w:val="auto"/>
                <w:sz w:val="21"/>
                <w:szCs w:val="21"/>
              </w:rPr>
            </w:pPr>
            <w:r>
              <w:rPr>
                <w:rFonts w:hint="eastAsia" w:ascii="宋体" w:hAnsi="宋体" w:cs="宋体"/>
                <w:color w:val="auto"/>
                <w:sz w:val="21"/>
                <w:szCs w:val="21"/>
              </w:rPr>
              <w:t>评价单位</w:t>
            </w:r>
          </w:p>
        </w:tc>
        <w:tc>
          <w:tcPr>
            <w:tcW w:w="3750" w:type="pct"/>
            <w:gridSpan w:val="3"/>
            <w:vAlign w:val="center"/>
          </w:tcPr>
          <w:p w14:paraId="7035C7A2">
            <w:pPr>
              <w:pStyle w:val="26"/>
              <w:spacing w:after="0" w:line="360" w:lineRule="auto"/>
              <w:ind w:left="0" w:leftChars="0"/>
              <w:rPr>
                <w:rFonts w:ascii="宋体" w:hAnsi="宋体" w:cs="宋体"/>
                <w:color w:val="auto"/>
                <w:sz w:val="21"/>
                <w:szCs w:val="21"/>
              </w:rPr>
            </w:pPr>
          </w:p>
        </w:tc>
      </w:tr>
      <w:tr w14:paraId="60588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1249" w:type="pct"/>
            <w:vAlign w:val="center"/>
          </w:tcPr>
          <w:p w14:paraId="150785EE">
            <w:pPr>
              <w:pStyle w:val="26"/>
              <w:spacing w:after="0" w:line="360" w:lineRule="auto"/>
              <w:ind w:left="0" w:leftChars="0"/>
              <w:rPr>
                <w:rFonts w:ascii="宋体" w:hAnsi="宋体" w:cs="宋体"/>
                <w:color w:val="auto"/>
                <w:sz w:val="21"/>
                <w:szCs w:val="21"/>
              </w:rPr>
            </w:pPr>
            <w:r>
              <w:rPr>
                <w:rFonts w:hint="eastAsia" w:ascii="宋体" w:hAnsi="宋体" w:cs="宋体"/>
                <w:color w:val="auto"/>
                <w:sz w:val="21"/>
                <w:szCs w:val="21"/>
              </w:rPr>
              <w:t>被评价单位</w:t>
            </w:r>
          </w:p>
        </w:tc>
        <w:tc>
          <w:tcPr>
            <w:tcW w:w="3750" w:type="pct"/>
            <w:gridSpan w:val="3"/>
            <w:vAlign w:val="center"/>
          </w:tcPr>
          <w:p w14:paraId="4310AEAE">
            <w:pPr>
              <w:pStyle w:val="26"/>
              <w:spacing w:after="0" w:line="360" w:lineRule="auto"/>
              <w:ind w:left="0" w:leftChars="0"/>
              <w:rPr>
                <w:rFonts w:ascii="宋体" w:hAnsi="宋体" w:cs="宋体"/>
                <w:color w:val="auto"/>
                <w:sz w:val="21"/>
                <w:szCs w:val="21"/>
              </w:rPr>
            </w:pPr>
          </w:p>
        </w:tc>
      </w:tr>
      <w:tr w14:paraId="2D46D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249" w:type="pct"/>
            <w:vMerge w:val="restart"/>
            <w:vAlign w:val="center"/>
          </w:tcPr>
          <w:p w14:paraId="5498B541">
            <w:pPr>
              <w:pStyle w:val="26"/>
              <w:spacing w:after="0" w:line="360" w:lineRule="auto"/>
              <w:ind w:left="0" w:leftChars="0"/>
              <w:rPr>
                <w:rFonts w:ascii="宋体" w:hAnsi="宋体" w:cs="宋体"/>
                <w:color w:val="auto"/>
                <w:sz w:val="21"/>
                <w:szCs w:val="21"/>
              </w:rPr>
            </w:pPr>
            <w:r>
              <w:rPr>
                <w:rFonts w:hint="eastAsia" w:ascii="宋体" w:hAnsi="宋体" w:cs="宋体"/>
                <w:color w:val="auto"/>
                <w:sz w:val="21"/>
                <w:szCs w:val="21"/>
              </w:rPr>
              <w:t>综合评价</w:t>
            </w:r>
          </w:p>
        </w:tc>
        <w:tc>
          <w:tcPr>
            <w:tcW w:w="1249" w:type="pct"/>
            <w:vAlign w:val="center"/>
          </w:tcPr>
          <w:p w14:paraId="3107E4C2">
            <w:pPr>
              <w:pStyle w:val="26"/>
              <w:spacing w:after="0" w:line="360" w:lineRule="auto"/>
              <w:ind w:left="0" w:leftChars="0"/>
              <w:rPr>
                <w:rFonts w:ascii="宋体" w:hAnsi="宋体" w:cs="宋体"/>
                <w:color w:val="auto"/>
                <w:sz w:val="21"/>
                <w:szCs w:val="21"/>
              </w:rPr>
            </w:pPr>
            <w:r>
              <w:rPr>
                <w:rFonts w:hint="eastAsia" w:ascii="宋体" w:hAnsi="宋体" w:cs="宋体"/>
                <w:color w:val="auto"/>
                <w:sz w:val="21"/>
                <w:szCs w:val="21"/>
              </w:rPr>
              <w:t>满意</w:t>
            </w:r>
          </w:p>
        </w:tc>
        <w:tc>
          <w:tcPr>
            <w:tcW w:w="1250" w:type="pct"/>
            <w:vAlign w:val="center"/>
          </w:tcPr>
          <w:p w14:paraId="18337DA7">
            <w:pPr>
              <w:pStyle w:val="26"/>
              <w:spacing w:after="0" w:line="360" w:lineRule="auto"/>
              <w:ind w:left="0" w:leftChars="0"/>
              <w:rPr>
                <w:rFonts w:ascii="宋体" w:hAnsi="宋体" w:cs="宋体"/>
                <w:color w:val="auto"/>
                <w:sz w:val="21"/>
                <w:szCs w:val="21"/>
              </w:rPr>
            </w:pPr>
            <w:r>
              <w:rPr>
                <w:rFonts w:hint="eastAsia" w:ascii="宋体" w:hAnsi="宋体" w:cs="宋体"/>
                <w:color w:val="auto"/>
                <w:sz w:val="21"/>
                <w:szCs w:val="21"/>
              </w:rPr>
              <w:t>一般</w:t>
            </w:r>
          </w:p>
        </w:tc>
        <w:tc>
          <w:tcPr>
            <w:tcW w:w="1250" w:type="pct"/>
            <w:vAlign w:val="center"/>
          </w:tcPr>
          <w:p w14:paraId="60BEE364">
            <w:pPr>
              <w:pStyle w:val="26"/>
              <w:spacing w:after="0" w:line="360" w:lineRule="auto"/>
              <w:ind w:left="0" w:leftChars="0"/>
              <w:rPr>
                <w:rFonts w:ascii="宋体" w:hAnsi="宋体" w:cs="宋体"/>
                <w:color w:val="auto"/>
                <w:sz w:val="21"/>
                <w:szCs w:val="21"/>
              </w:rPr>
            </w:pPr>
            <w:r>
              <w:rPr>
                <w:rFonts w:hint="eastAsia" w:ascii="宋体" w:hAnsi="宋体" w:cs="宋体"/>
                <w:color w:val="auto"/>
                <w:sz w:val="21"/>
                <w:szCs w:val="21"/>
              </w:rPr>
              <w:t>不满意</w:t>
            </w:r>
          </w:p>
        </w:tc>
      </w:tr>
      <w:tr w14:paraId="6DC39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1249" w:type="pct"/>
            <w:vMerge w:val="continue"/>
            <w:vAlign w:val="center"/>
          </w:tcPr>
          <w:p w14:paraId="65598235">
            <w:pPr>
              <w:pStyle w:val="26"/>
              <w:spacing w:after="0" w:line="360" w:lineRule="auto"/>
              <w:ind w:left="0" w:leftChars="0"/>
              <w:rPr>
                <w:rFonts w:ascii="宋体" w:hAnsi="宋体" w:cs="宋体"/>
                <w:color w:val="auto"/>
                <w:sz w:val="21"/>
                <w:szCs w:val="21"/>
              </w:rPr>
            </w:pPr>
          </w:p>
        </w:tc>
        <w:tc>
          <w:tcPr>
            <w:tcW w:w="1249" w:type="pct"/>
            <w:vAlign w:val="center"/>
          </w:tcPr>
          <w:p w14:paraId="59E7B987">
            <w:pPr>
              <w:pStyle w:val="26"/>
              <w:spacing w:after="0" w:line="360" w:lineRule="auto"/>
              <w:ind w:left="0" w:leftChars="0"/>
              <w:rPr>
                <w:rFonts w:ascii="宋体" w:hAnsi="宋体" w:cs="宋体"/>
                <w:color w:val="auto"/>
                <w:sz w:val="21"/>
                <w:szCs w:val="21"/>
              </w:rPr>
            </w:pPr>
          </w:p>
        </w:tc>
        <w:tc>
          <w:tcPr>
            <w:tcW w:w="1250" w:type="pct"/>
            <w:vAlign w:val="center"/>
          </w:tcPr>
          <w:p w14:paraId="22B6B511">
            <w:pPr>
              <w:pStyle w:val="26"/>
              <w:spacing w:after="0" w:line="360" w:lineRule="auto"/>
              <w:ind w:left="0" w:leftChars="0"/>
              <w:rPr>
                <w:rFonts w:ascii="宋体" w:hAnsi="宋体" w:cs="宋体"/>
                <w:color w:val="auto"/>
                <w:sz w:val="21"/>
                <w:szCs w:val="21"/>
              </w:rPr>
            </w:pPr>
          </w:p>
        </w:tc>
        <w:tc>
          <w:tcPr>
            <w:tcW w:w="1250" w:type="pct"/>
            <w:vAlign w:val="center"/>
          </w:tcPr>
          <w:p w14:paraId="7016DED3">
            <w:pPr>
              <w:pStyle w:val="26"/>
              <w:spacing w:after="0" w:line="360" w:lineRule="auto"/>
              <w:ind w:left="0" w:leftChars="0"/>
              <w:rPr>
                <w:rFonts w:ascii="宋体" w:hAnsi="宋体" w:cs="宋体"/>
                <w:color w:val="auto"/>
                <w:sz w:val="21"/>
                <w:szCs w:val="21"/>
              </w:rPr>
            </w:pPr>
          </w:p>
        </w:tc>
      </w:tr>
      <w:tr w14:paraId="3B34F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jc w:val="center"/>
        </w:trPr>
        <w:tc>
          <w:tcPr>
            <w:tcW w:w="1249" w:type="pct"/>
            <w:vAlign w:val="center"/>
          </w:tcPr>
          <w:p w14:paraId="3EB65710">
            <w:pPr>
              <w:pStyle w:val="26"/>
              <w:spacing w:after="0" w:line="360" w:lineRule="auto"/>
              <w:ind w:left="0" w:leftChars="0"/>
              <w:rPr>
                <w:rFonts w:ascii="宋体" w:hAnsi="宋体" w:cs="宋体"/>
                <w:color w:val="auto"/>
                <w:sz w:val="21"/>
                <w:szCs w:val="21"/>
              </w:rPr>
            </w:pPr>
            <w:r>
              <w:rPr>
                <w:rFonts w:hint="eastAsia" w:ascii="宋体" w:hAnsi="宋体" w:cs="宋体"/>
                <w:color w:val="auto"/>
                <w:sz w:val="21"/>
                <w:szCs w:val="21"/>
              </w:rPr>
              <w:t>评价说明</w:t>
            </w:r>
          </w:p>
          <w:p w14:paraId="239E8E25">
            <w:pPr>
              <w:pStyle w:val="26"/>
              <w:spacing w:after="0" w:line="360" w:lineRule="auto"/>
              <w:ind w:left="0" w:leftChars="0"/>
              <w:rPr>
                <w:rFonts w:ascii="宋体" w:hAnsi="宋体" w:cs="宋体"/>
                <w:color w:val="auto"/>
                <w:sz w:val="21"/>
                <w:szCs w:val="21"/>
              </w:rPr>
            </w:pPr>
            <w:r>
              <w:rPr>
                <w:rFonts w:hint="eastAsia" w:ascii="宋体" w:hAnsi="宋体" w:cs="宋体"/>
                <w:color w:val="auto"/>
                <w:sz w:val="21"/>
                <w:szCs w:val="21"/>
              </w:rPr>
              <w:t>（必填）</w:t>
            </w:r>
          </w:p>
        </w:tc>
        <w:tc>
          <w:tcPr>
            <w:tcW w:w="3750" w:type="pct"/>
            <w:gridSpan w:val="3"/>
          </w:tcPr>
          <w:p w14:paraId="5BB0F748">
            <w:pPr>
              <w:pStyle w:val="26"/>
              <w:spacing w:after="0" w:line="360" w:lineRule="auto"/>
              <w:ind w:left="0" w:leftChars="0"/>
              <w:rPr>
                <w:rFonts w:ascii="宋体" w:hAnsi="宋体" w:cs="宋体"/>
                <w:color w:val="auto"/>
                <w:sz w:val="21"/>
                <w:szCs w:val="21"/>
              </w:rPr>
            </w:pPr>
          </w:p>
        </w:tc>
      </w:tr>
    </w:tbl>
    <w:p w14:paraId="15A4C774">
      <w:pPr>
        <w:pStyle w:val="26"/>
        <w:spacing w:after="0" w:line="360" w:lineRule="auto"/>
        <w:ind w:left="0" w:leftChars="0"/>
        <w:rPr>
          <w:rFonts w:ascii="宋体" w:hAnsi="宋体" w:cs="宋体"/>
          <w:color w:val="auto"/>
          <w:sz w:val="21"/>
          <w:szCs w:val="21"/>
        </w:rPr>
      </w:pPr>
      <w:r>
        <w:rPr>
          <w:rFonts w:hint="eastAsia" w:ascii="宋体" w:hAnsi="宋体" w:cs="宋体"/>
          <w:color w:val="auto"/>
          <w:sz w:val="21"/>
          <w:szCs w:val="21"/>
        </w:rPr>
        <w:t>注：每年服务期满，采购人对成交供应商进行考核。若考核为“不满意”，采购人有权拒签下一年度合同。</w:t>
      </w:r>
    </w:p>
    <w:p w14:paraId="5F50076A">
      <w:pPr>
        <w:numPr>
          <w:ilvl w:val="0"/>
          <w:numId w:val="3"/>
        </w:numPr>
        <w:spacing w:line="360" w:lineRule="auto"/>
        <w:rPr>
          <w:rFonts w:ascii="宋体" w:hAnsi="宋体" w:cs="宋体"/>
          <w:color w:val="auto"/>
          <w:sz w:val="21"/>
          <w:szCs w:val="21"/>
        </w:rPr>
      </w:pPr>
      <w:r>
        <w:rPr>
          <w:rFonts w:hint="eastAsia" w:ascii="宋体" w:hAnsi="宋体" w:cs="宋体"/>
          <w:color w:val="auto"/>
          <w:sz w:val="21"/>
          <w:szCs w:val="21"/>
        </w:rPr>
        <w:t>商务要求</w:t>
      </w:r>
    </w:p>
    <w:p w14:paraId="4CCEB1DE">
      <w:pPr>
        <w:spacing w:line="360" w:lineRule="auto"/>
        <w:ind w:firstLine="420" w:firstLineChars="200"/>
        <w:rPr>
          <w:rFonts w:ascii="宋体" w:hAnsi="宋体" w:cs="宋体"/>
          <w:color w:val="auto"/>
          <w:sz w:val="21"/>
          <w:szCs w:val="21"/>
        </w:rPr>
      </w:pPr>
      <w:r>
        <w:rPr>
          <w:rFonts w:hint="eastAsia" w:ascii="宋体" w:hAnsi="宋体" w:cs="宋体"/>
          <w:color w:val="auto"/>
          <w:sz w:val="21"/>
          <w:szCs w:val="21"/>
        </w:rPr>
        <w:t>（一）实施期限和地点</w:t>
      </w:r>
    </w:p>
    <w:p w14:paraId="34260612">
      <w:pPr>
        <w:spacing w:line="360" w:lineRule="auto"/>
        <w:ind w:firstLine="420" w:firstLineChars="200"/>
        <w:rPr>
          <w:rFonts w:ascii="宋体" w:hAnsi="宋体" w:cs="宋体"/>
          <w:color w:val="auto"/>
          <w:sz w:val="21"/>
          <w:szCs w:val="21"/>
        </w:rPr>
      </w:pPr>
      <w:r>
        <w:rPr>
          <w:rFonts w:hint="eastAsia" w:ascii="宋体" w:hAnsi="宋体" w:cs="宋体"/>
          <w:color w:val="auto"/>
          <w:sz w:val="21"/>
          <w:szCs w:val="21"/>
        </w:rPr>
        <w:t>1.实施期限：自合同签订之日起，服务期共3年，如无特殊情况，本次中标单位的第一年合同期限将从2024年12月前开始。服务合同每年签订一次。供应商当年考核不合格的，下一年委托方将不再与其续签合同，供应商若在履行合同期间出现违反合同要求的，采购人有权提前终止合同。</w:t>
      </w:r>
    </w:p>
    <w:p w14:paraId="7441623B">
      <w:pPr>
        <w:spacing w:line="360" w:lineRule="auto"/>
        <w:ind w:firstLine="420" w:firstLineChars="200"/>
        <w:rPr>
          <w:rFonts w:ascii="宋体" w:hAnsi="宋体" w:cs="宋体"/>
          <w:color w:val="auto"/>
          <w:sz w:val="21"/>
          <w:szCs w:val="21"/>
        </w:rPr>
      </w:pPr>
      <w:r>
        <w:rPr>
          <w:rFonts w:hint="eastAsia" w:ascii="宋体" w:hAnsi="宋体" w:cs="宋体"/>
          <w:color w:val="auto"/>
          <w:sz w:val="21"/>
          <w:szCs w:val="21"/>
        </w:rPr>
        <w:t>2.实施地点：江苏省常州市金坛区。</w:t>
      </w:r>
    </w:p>
    <w:p w14:paraId="67FB3FD3">
      <w:pPr>
        <w:spacing w:line="360" w:lineRule="auto"/>
        <w:ind w:firstLine="420" w:firstLineChars="200"/>
        <w:rPr>
          <w:rFonts w:ascii="宋体" w:hAnsi="宋体" w:cs="宋体"/>
          <w:color w:val="auto"/>
          <w:sz w:val="21"/>
          <w:szCs w:val="21"/>
        </w:rPr>
      </w:pPr>
      <w:r>
        <w:rPr>
          <w:rFonts w:hint="eastAsia" w:ascii="宋体" w:hAnsi="宋体" w:cs="宋体"/>
          <w:color w:val="auto"/>
          <w:sz w:val="21"/>
          <w:szCs w:val="21"/>
        </w:rPr>
        <w:t>（二）合同价款及付款条件</w:t>
      </w:r>
    </w:p>
    <w:p w14:paraId="715367AF">
      <w:pPr>
        <w:spacing w:line="360" w:lineRule="auto"/>
        <w:ind w:firstLine="420" w:firstLineChars="200"/>
        <w:rPr>
          <w:rFonts w:ascii="宋体" w:hAnsi="宋体" w:cs="宋体"/>
          <w:color w:val="auto"/>
          <w:sz w:val="21"/>
          <w:szCs w:val="21"/>
        </w:rPr>
      </w:pPr>
      <w:r>
        <w:rPr>
          <w:rFonts w:hint="eastAsia" w:ascii="宋体" w:hAnsi="宋体" w:cs="宋体"/>
          <w:color w:val="auto"/>
          <w:sz w:val="21"/>
          <w:szCs w:val="21"/>
        </w:rPr>
        <w:t>1.费用按每个清算项目（分期项目合并）计算，</w:t>
      </w:r>
      <w:r>
        <w:rPr>
          <w:rFonts w:hint="eastAsia" w:ascii="宋体" w:hAnsi="宋体" w:cs="宋体"/>
          <w:color w:val="auto"/>
          <w:sz w:val="21"/>
          <w:szCs w:val="21"/>
        </w:rPr>
        <w:t>采用基础费用和协审影响土地增值税清算税款比例费率</w:t>
      </w:r>
      <w:r>
        <w:rPr>
          <w:rFonts w:hint="eastAsia" w:ascii="宋体" w:hAnsi="宋体" w:cs="宋体"/>
          <w:color w:val="auto"/>
          <w:sz w:val="21"/>
          <w:szCs w:val="21"/>
        </w:rPr>
        <w:t>计算的“绩效费用”相结合的方法确定费用，具体费用以供应商单次咨询标准报价后，以业务量*单次咨询报价确认结算金额，结算金额中包括但不限于招标文件及其基本技术要求范围内相应服务前的准备、员工费用和管理人员费用、离职补偿金、保险、管理费、培训费、加班费（包括全年法定假日、双休日及职工带薪年假加班费）、岗位补贴、高温补贴、员工福利、社会保险、公积金、商业保险、利润、设备、工具、消耗品、工会费、维护修理、折旧、各种税费、政策性文件规定及项目明示或暗示的所有风险、责任、义务等各项应有的费用。上述未列明，但投标人认为所需的其他费用也包含在内，采购人不接受投标人任何因遗漏报价而发生的费用追加，采购人不再向供应商支付其他任何费用。</w:t>
      </w:r>
    </w:p>
    <w:p w14:paraId="7493EC00">
      <w:pPr>
        <w:spacing w:line="360" w:lineRule="auto"/>
        <w:ind w:firstLine="420" w:firstLineChars="200"/>
        <w:rPr>
          <w:rFonts w:ascii="宋体" w:hAnsi="宋体" w:cs="宋体"/>
          <w:color w:val="auto"/>
          <w:sz w:val="21"/>
          <w:szCs w:val="21"/>
        </w:rPr>
      </w:pPr>
      <w:r>
        <w:rPr>
          <w:rFonts w:hint="eastAsia" w:ascii="宋体" w:hAnsi="宋体" w:cs="宋体"/>
          <w:color w:val="auto"/>
          <w:sz w:val="21"/>
          <w:szCs w:val="21"/>
        </w:rPr>
        <w:t>2.每次付款时，供应商应跟采购人确定对应周期结算金额，并按要求开具本项目内容的有效发票，凭票及有关付款材料向采购人申请付款，采购人收到服务费发票及有关付款材料齐全之日后15个工作日内向供应商支付相应费用。因供应商未及时提供发票及有关付款材料导致相应后果的，采购人不承担任何责任。</w:t>
      </w:r>
    </w:p>
    <w:p w14:paraId="5EDFCEBC">
      <w:pPr>
        <w:spacing w:line="360" w:lineRule="auto"/>
        <w:ind w:firstLine="420" w:firstLineChars="200"/>
        <w:rPr>
          <w:rFonts w:ascii="宋体" w:hAnsi="宋体" w:cs="宋体"/>
          <w:color w:val="auto"/>
          <w:sz w:val="21"/>
          <w:szCs w:val="21"/>
        </w:rPr>
      </w:pPr>
      <w:r>
        <w:rPr>
          <w:rFonts w:hint="eastAsia" w:ascii="宋体" w:hAnsi="宋体" w:cs="宋体"/>
          <w:color w:val="auto"/>
          <w:sz w:val="21"/>
          <w:szCs w:val="21"/>
        </w:rPr>
        <w:t>3.项目实施期间，采购人对供应商的本项目业务工作进行考核，每年汇总一次，并在相应付款周期款项结算时扣除考核扣款。</w:t>
      </w:r>
    </w:p>
    <w:p w14:paraId="0EB88D88">
      <w:pPr>
        <w:spacing w:line="360" w:lineRule="auto"/>
        <w:ind w:firstLine="420" w:firstLineChars="200"/>
        <w:rPr>
          <w:rFonts w:ascii="宋体" w:hAnsi="宋体" w:cs="宋体"/>
          <w:color w:val="auto"/>
          <w:sz w:val="21"/>
          <w:szCs w:val="21"/>
        </w:rPr>
      </w:pPr>
      <w:r>
        <w:rPr>
          <w:rFonts w:hint="eastAsia" w:ascii="宋体" w:hAnsi="宋体" w:cs="宋体"/>
          <w:color w:val="auto"/>
          <w:sz w:val="21"/>
          <w:szCs w:val="21"/>
        </w:rPr>
        <w:t>（三）违约责任</w:t>
      </w:r>
    </w:p>
    <w:p w14:paraId="273EEC6F">
      <w:pPr>
        <w:spacing w:line="360" w:lineRule="auto"/>
        <w:ind w:firstLine="420" w:firstLineChars="200"/>
        <w:rPr>
          <w:rFonts w:ascii="宋体" w:hAnsi="宋体" w:cs="宋体"/>
          <w:color w:val="auto"/>
          <w:sz w:val="21"/>
          <w:szCs w:val="21"/>
        </w:rPr>
      </w:pPr>
      <w:r>
        <w:rPr>
          <w:rFonts w:hint="eastAsia" w:ascii="宋体" w:hAnsi="宋体" w:cs="宋体"/>
          <w:color w:val="auto"/>
          <w:sz w:val="21"/>
          <w:szCs w:val="21"/>
        </w:rPr>
        <w:t>1.供应商应按照商定的工作进度计划开展协审工作，未能在委托协审任务书要求的时间内（含同意延长的时间）完成相关工作或收到采购人两次书面警告则视为违约。如有违约，采购人可酌情扣减应付业务费总额的10%-20%；情况严重的，将暂停其协审工作，对供应商可能已经发生的费用不予支付；采购人有权终止合同执行。</w:t>
      </w:r>
    </w:p>
    <w:p w14:paraId="7F463300">
      <w:pPr>
        <w:spacing w:line="360" w:lineRule="auto"/>
        <w:ind w:firstLine="420" w:firstLineChars="200"/>
        <w:rPr>
          <w:rFonts w:ascii="宋体" w:hAnsi="宋体" w:cs="宋体"/>
          <w:color w:val="auto"/>
          <w:sz w:val="21"/>
          <w:szCs w:val="21"/>
        </w:rPr>
      </w:pPr>
      <w:r>
        <w:rPr>
          <w:rFonts w:hint="eastAsia" w:ascii="宋体" w:hAnsi="宋体" w:cs="宋体"/>
          <w:color w:val="auto"/>
          <w:sz w:val="21"/>
          <w:szCs w:val="21"/>
        </w:rPr>
        <w:t>2.供应商必须由事先约定的本单位协审小组人员独立完成协审工作,不得以转包、分包、合作等任何形式变更、转让、租借本次服务资格。如有上述情况发生，视为违约。如有违约，采购人可酌情扣减应付业务费总额的5%-10%；情况严重的，可暂停其协审工作，对供应商可能已经发生的费用不予支付；采购人有权终止合同执行。</w:t>
      </w:r>
    </w:p>
    <w:p w14:paraId="7874CF8F">
      <w:pPr>
        <w:spacing w:line="360" w:lineRule="auto"/>
        <w:ind w:firstLine="420" w:firstLineChars="200"/>
        <w:rPr>
          <w:rFonts w:ascii="宋体" w:hAnsi="宋体" w:cs="宋体"/>
          <w:color w:val="auto"/>
          <w:sz w:val="21"/>
          <w:szCs w:val="21"/>
        </w:rPr>
      </w:pPr>
      <w:r>
        <w:rPr>
          <w:rFonts w:hint="eastAsia" w:ascii="宋体" w:hAnsi="宋体" w:cs="宋体"/>
          <w:color w:val="auto"/>
          <w:sz w:val="21"/>
          <w:szCs w:val="21"/>
        </w:rPr>
        <w:t>3.对提供不实或内容虚假的结果以及自行对外提供协审意见的，除由供应商自行承担责任外，采购人可采取必要措施终止委托，情节严重的，依法提请有关部门追究单位和相关责任人的行政及法律责任。</w:t>
      </w:r>
    </w:p>
    <w:p w14:paraId="64E84DF6">
      <w:pPr>
        <w:spacing w:line="360" w:lineRule="auto"/>
        <w:ind w:firstLine="420" w:firstLineChars="200"/>
        <w:rPr>
          <w:rFonts w:ascii="宋体" w:hAnsi="宋体" w:cs="宋体"/>
          <w:color w:val="auto"/>
          <w:sz w:val="21"/>
          <w:szCs w:val="21"/>
        </w:rPr>
      </w:pPr>
    </w:p>
    <w:p w14:paraId="43E1A804">
      <w:pPr>
        <w:rPr>
          <w:rFonts w:ascii="宋体" w:hAnsi="宋体" w:cs="宋体"/>
          <w:color w:val="auto"/>
        </w:rPr>
      </w:pPr>
      <w:r>
        <w:rPr>
          <w:rFonts w:hint="eastAsia" w:ascii="宋体" w:hAnsi="宋体" w:cs="宋体"/>
          <w:color w:val="auto"/>
        </w:rPr>
        <w:br w:type="page"/>
      </w:r>
    </w:p>
    <w:p w14:paraId="615D7913">
      <w:pPr>
        <w:spacing w:line="420" w:lineRule="exact"/>
        <w:jc w:val="center"/>
        <w:rPr>
          <w:rFonts w:ascii="宋体" w:hAnsi="宋体" w:cs="宋体"/>
          <w:b/>
          <w:bCs/>
          <w:color w:val="auto"/>
          <w:sz w:val="32"/>
          <w:szCs w:val="32"/>
          <w:u w:color="000000"/>
        </w:rPr>
      </w:pPr>
      <w:r>
        <w:rPr>
          <w:color w:val="auto"/>
        </w:rPr>
        <w:fldChar w:fldCharType="begin"/>
      </w:r>
      <w:r>
        <w:rPr>
          <w:color w:val="auto"/>
        </w:rPr>
        <w:instrText xml:space="preserve"> HYPERLINK \l "_Toc214163640" </w:instrText>
      </w:r>
      <w:r>
        <w:rPr>
          <w:color w:val="auto"/>
        </w:rPr>
        <w:fldChar w:fldCharType="separate"/>
      </w:r>
      <w:r>
        <w:rPr>
          <w:rFonts w:hint="eastAsia" w:ascii="宋体" w:hAnsi="宋体" w:cs="宋体"/>
          <w:b/>
          <w:bCs/>
          <w:color w:val="auto"/>
          <w:sz w:val="32"/>
          <w:szCs w:val="32"/>
          <w:u w:color="000000"/>
        </w:rPr>
        <w:t>第五部分 评标方法和评标标准</w:t>
      </w:r>
      <w:r>
        <w:rPr>
          <w:rFonts w:hint="eastAsia" w:ascii="宋体" w:hAnsi="宋体" w:cs="宋体"/>
          <w:b/>
          <w:bCs/>
          <w:color w:val="auto"/>
          <w:sz w:val="32"/>
          <w:szCs w:val="32"/>
          <w:u w:color="000000"/>
        </w:rPr>
        <w:fldChar w:fldCharType="end"/>
      </w:r>
    </w:p>
    <w:p w14:paraId="1E040C95">
      <w:pPr>
        <w:pStyle w:val="5"/>
        <w:spacing w:before="0" w:after="0" w:line="360" w:lineRule="auto"/>
        <w:rPr>
          <w:rFonts w:ascii="宋体" w:hAnsi="宋体" w:eastAsia="宋体" w:cs="宋体"/>
          <w:b/>
          <w:bCs w:val="0"/>
          <w:color w:val="auto"/>
          <w:sz w:val="21"/>
          <w:szCs w:val="21"/>
        </w:rPr>
      </w:pPr>
      <w:r>
        <w:rPr>
          <w:rFonts w:hint="eastAsia" w:ascii="宋体" w:hAnsi="宋体" w:eastAsia="宋体" w:cs="宋体"/>
          <w:b/>
          <w:bCs w:val="0"/>
          <w:color w:val="auto"/>
          <w:sz w:val="21"/>
          <w:szCs w:val="21"/>
        </w:rPr>
        <w:t xml:space="preserve">一、评标办法 </w:t>
      </w:r>
    </w:p>
    <w:p w14:paraId="230EA345">
      <w:pPr>
        <w:spacing w:line="360" w:lineRule="auto"/>
        <w:ind w:firstLine="422" w:firstLineChars="200"/>
        <w:outlineLvl w:val="1"/>
        <w:rPr>
          <w:rFonts w:ascii="宋体" w:hAnsi="宋体" w:cs="宋体"/>
          <w:b/>
          <w:bCs/>
          <w:color w:val="auto"/>
          <w:sz w:val="21"/>
          <w:szCs w:val="21"/>
        </w:rPr>
      </w:pPr>
      <w:r>
        <w:rPr>
          <w:rFonts w:hint="eastAsia" w:ascii="宋体" w:hAnsi="宋体" w:cs="宋体"/>
          <w:b/>
          <w:color w:val="auto"/>
          <w:sz w:val="21"/>
          <w:szCs w:val="21"/>
        </w:rPr>
        <w:t>本项目采用综合评分法评标。即在最大限度地满足竞争性磋商文件实质性要求前提下，对通过初评确定为实质上响应磋商文件的供应商进行详细的评分，采用百分制计分方法。评审时，磋商小组各成员独立对每个有效响应的文件标书进行评价、打分，各个供应商的最终得分为所有磋商小组成员所评定分值的平均值（保留2位小数）。磋商小组按评审后最终综合得分由高到低顺序排列名次，按综合得分由高到低的顺序依次确定3家中标候选单位。综合得分相同的，按磋商最终报价由低到高顺序排列，如果磋商报价也相同的，按照技术指标优劣顺序推荐。评分细则详见竞争性磋商文件。</w:t>
      </w:r>
    </w:p>
    <w:p w14:paraId="4298FBED">
      <w:pPr>
        <w:spacing w:line="360" w:lineRule="auto"/>
        <w:outlineLvl w:val="1"/>
        <w:rPr>
          <w:rFonts w:ascii="宋体" w:hAnsi="宋体" w:cs="宋体"/>
          <w:b/>
          <w:bCs/>
          <w:color w:val="auto"/>
          <w:sz w:val="21"/>
          <w:szCs w:val="21"/>
        </w:rPr>
      </w:pPr>
      <w:r>
        <w:rPr>
          <w:rFonts w:hint="eastAsia" w:ascii="宋体" w:hAnsi="宋体" w:cs="宋体"/>
          <w:b/>
          <w:bCs/>
          <w:color w:val="auto"/>
          <w:sz w:val="21"/>
          <w:szCs w:val="21"/>
        </w:rPr>
        <w:t xml:space="preserve">二、评分细则  </w:t>
      </w:r>
    </w:p>
    <w:tbl>
      <w:tblPr>
        <w:tblStyle w:val="28"/>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
        <w:gridCol w:w="601"/>
        <w:gridCol w:w="602"/>
        <w:gridCol w:w="846"/>
        <w:gridCol w:w="5054"/>
        <w:gridCol w:w="1548"/>
      </w:tblGrid>
      <w:tr w14:paraId="359F7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Align w:val="center"/>
          </w:tcPr>
          <w:p w14:paraId="6D2A46A6">
            <w:pPr>
              <w:ind w:left="-84" w:leftChars="-30" w:firstLine="1"/>
              <w:jc w:val="center"/>
              <w:rPr>
                <w:rFonts w:ascii="宋体" w:hAnsi="宋体" w:cs="宋体"/>
                <w:b/>
                <w:color w:val="auto"/>
                <w:sz w:val="21"/>
                <w:szCs w:val="21"/>
              </w:rPr>
            </w:pPr>
            <w:r>
              <w:rPr>
                <w:rFonts w:hint="eastAsia" w:ascii="宋体" w:hAnsi="宋体" w:cs="宋体"/>
                <w:b/>
                <w:color w:val="auto"/>
                <w:sz w:val="21"/>
                <w:szCs w:val="21"/>
              </w:rPr>
              <w:t>序号</w:t>
            </w:r>
          </w:p>
        </w:tc>
        <w:tc>
          <w:tcPr>
            <w:tcW w:w="1203" w:type="dxa"/>
            <w:gridSpan w:val="2"/>
            <w:vAlign w:val="center"/>
          </w:tcPr>
          <w:p w14:paraId="3CA60D8B">
            <w:pPr>
              <w:ind w:left="-84" w:leftChars="-30" w:firstLine="1"/>
              <w:jc w:val="center"/>
              <w:rPr>
                <w:rFonts w:ascii="宋体" w:hAnsi="宋体" w:cs="宋体"/>
                <w:b/>
                <w:color w:val="auto"/>
                <w:sz w:val="21"/>
                <w:szCs w:val="21"/>
              </w:rPr>
            </w:pPr>
            <w:r>
              <w:rPr>
                <w:rFonts w:hint="eastAsia" w:ascii="宋体" w:hAnsi="宋体" w:cs="宋体"/>
                <w:b/>
                <w:color w:val="auto"/>
                <w:sz w:val="21"/>
                <w:szCs w:val="21"/>
              </w:rPr>
              <w:t>评审因素</w:t>
            </w:r>
          </w:p>
        </w:tc>
        <w:tc>
          <w:tcPr>
            <w:tcW w:w="846" w:type="dxa"/>
            <w:vAlign w:val="center"/>
          </w:tcPr>
          <w:p w14:paraId="4D7994CB">
            <w:pPr>
              <w:ind w:left="-84" w:leftChars="-30" w:firstLine="1"/>
              <w:jc w:val="center"/>
              <w:rPr>
                <w:rFonts w:ascii="宋体" w:hAnsi="宋体" w:cs="宋体"/>
                <w:b/>
                <w:color w:val="auto"/>
                <w:sz w:val="21"/>
                <w:szCs w:val="21"/>
              </w:rPr>
            </w:pPr>
            <w:r>
              <w:rPr>
                <w:rFonts w:hint="eastAsia" w:ascii="宋体" w:hAnsi="宋体" w:cs="宋体"/>
                <w:b/>
                <w:color w:val="auto"/>
                <w:sz w:val="21"/>
                <w:szCs w:val="21"/>
              </w:rPr>
              <w:t>分值</w:t>
            </w:r>
          </w:p>
        </w:tc>
        <w:tc>
          <w:tcPr>
            <w:tcW w:w="5054" w:type="dxa"/>
            <w:vAlign w:val="center"/>
          </w:tcPr>
          <w:p w14:paraId="2D1205AC">
            <w:pPr>
              <w:ind w:left="-84" w:leftChars="-30" w:firstLine="1"/>
              <w:jc w:val="center"/>
              <w:rPr>
                <w:rFonts w:ascii="宋体" w:hAnsi="宋体" w:cs="宋体"/>
                <w:b/>
                <w:color w:val="auto"/>
                <w:sz w:val="21"/>
                <w:szCs w:val="21"/>
              </w:rPr>
            </w:pPr>
            <w:r>
              <w:rPr>
                <w:rFonts w:hint="eastAsia" w:ascii="宋体" w:hAnsi="宋体" w:cs="宋体"/>
                <w:b/>
                <w:color w:val="auto"/>
                <w:sz w:val="21"/>
                <w:szCs w:val="21"/>
              </w:rPr>
              <w:t>评分标准</w:t>
            </w:r>
          </w:p>
        </w:tc>
        <w:tc>
          <w:tcPr>
            <w:tcW w:w="1548" w:type="dxa"/>
            <w:vAlign w:val="center"/>
          </w:tcPr>
          <w:p w14:paraId="0F0669A4">
            <w:pPr>
              <w:ind w:left="-84" w:leftChars="-30" w:firstLine="1"/>
              <w:jc w:val="center"/>
              <w:rPr>
                <w:rFonts w:ascii="宋体" w:hAnsi="宋体" w:cs="宋体"/>
                <w:b/>
                <w:color w:val="auto"/>
                <w:sz w:val="21"/>
                <w:szCs w:val="21"/>
              </w:rPr>
            </w:pPr>
            <w:r>
              <w:rPr>
                <w:rFonts w:hint="eastAsia" w:ascii="宋体" w:hAnsi="宋体" w:cs="宋体"/>
                <w:b/>
                <w:color w:val="auto"/>
                <w:sz w:val="21"/>
                <w:szCs w:val="21"/>
              </w:rPr>
              <w:t>评审依据</w:t>
            </w:r>
          </w:p>
        </w:tc>
      </w:tr>
      <w:tr w14:paraId="3623E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Align w:val="center"/>
          </w:tcPr>
          <w:p w14:paraId="3A973577">
            <w:pPr>
              <w:ind w:left="-30"/>
              <w:jc w:val="center"/>
              <w:rPr>
                <w:rFonts w:ascii="宋体" w:hAnsi="宋体" w:cs="宋体"/>
                <w:b/>
                <w:color w:val="auto"/>
                <w:sz w:val="21"/>
                <w:szCs w:val="21"/>
              </w:rPr>
            </w:pPr>
            <w:r>
              <w:rPr>
                <w:rFonts w:hint="eastAsia" w:ascii="宋体" w:hAnsi="宋体" w:cs="宋体"/>
                <w:b/>
                <w:color w:val="auto"/>
                <w:sz w:val="21"/>
                <w:szCs w:val="21"/>
              </w:rPr>
              <w:t>一</w:t>
            </w:r>
          </w:p>
        </w:tc>
        <w:tc>
          <w:tcPr>
            <w:tcW w:w="8651" w:type="dxa"/>
            <w:gridSpan w:val="5"/>
            <w:vAlign w:val="center"/>
          </w:tcPr>
          <w:p w14:paraId="7C98636C">
            <w:pPr>
              <w:ind w:left="-30"/>
              <w:rPr>
                <w:rFonts w:ascii="宋体" w:hAnsi="宋体" w:cs="宋体"/>
                <w:b/>
                <w:color w:val="auto"/>
                <w:sz w:val="21"/>
                <w:szCs w:val="21"/>
              </w:rPr>
            </w:pPr>
            <w:r>
              <w:rPr>
                <w:rFonts w:hint="eastAsia" w:ascii="宋体" w:hAnsi="宋体" w:cs="宋体"/>
                <w:b/>
                <w:color w:val="auto"/>
                <w:sz w:val="21"/>
                <w:szCs w:val="21"/>
              </w:rPr>
              <w:t>投标报价（20分）</w:t>
            </w:r>
          </w:p>
        </w:tc>
      </w:tr>
      <w:tr w14:paraId="1C042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3" w:hRule="atLeast"/>
        </w:trPr>
        <w:tc>
          <w:tcPr>
            <w:tcW w:w="671" w:type="dxa"/>
            <w:vAlign w:val="center"/>
          </w:tcPr>
          <w:p w14:paraId="4E5A2372">
            <w:pPr>
              <w:ind w:left="-30"/>
              <w:jc w:val="center"/>
              <w:rPr>
                <w:rFonts w:ascii="宋体" w:hAnsi="宋体" w:cs="宋体"/>
                <w:bCs/>
                <w:color w:val="auto"/>
                <w:sz w:val="21"/>
                <w:szCs w:val="21"/>
              </w:rPr>
            </w:pPr>
            <w:r>
              <w:rPr>
                <w:rFonts w:hint="eastAsia" w:ascii="宋体" w:hAnsi="宋体" w:cs="宋体"/>
                <w:bCs/>
                <w:color w:val="auto"/>
                <w:sz w:val="21"/>
                <w:szCs w:val="21"/>
              </w:rPr>
              <w:t>1</w:t>
            </w:r>
          </w:p>
        </w:tc>
        <w:tc>
          <w:tcPr>
            <w:tcW w:w="1203" w:type="dxa"/>
            <w:gridSpan w:val="2"/>
            <w:vAlign w:val="center"/>
          </w:tcPr>
          <w:p w14:paraId="2ED35B35">
            <w:pPr>
              <w:ind w:left="-30"/>
              <w:jc w:val="center"/>
              <w:rPr>
                <w:rFonts w:ascii="宋体" w:hAnsi="宋体" w:cs="宋体"/>
                <w:bCs/>
                <w:color w:val="auto"/>
                <w:sz w:val="21"/>
                <w:szCs w:val="21"/>
              </w:rPr>
            </w:pPr>
            <w:r>
              <w:rPr>
                <w:rFonts w:hint="eastAsia" w:ascii="宋体" w:hAnsi="宋体" w:cs="宋体"/>
                <w:bCs/>
                <w:color w:val="auto"/>
                <w:sz w:val="21"/>
                <w:szCs w:val="21"/>
              </w:rPr>
              <w:t>项目实施费用</w:t>
            </w:r>
          </w:p>
        </w:tc>
        <w:tc>
          <w:tcPr>
            <w:tcW w:w="846" w:type="dxa"/>
            <w:vAlign w:val="center"/>
          </w:tcPr>
          <w:p w14:paraId="7B540E24">
            <w:pPr>
              <w:ind w:left="-30"/>
              <w:jc w:val="center"/>
              <w:rPr>
                <w:rFonts w:ascii="宋体" w:hAnsi="宋体" w:cs="宋体"/>
                <w:color w:val="auto"/>
                <w:sz w:val="21"/>
                <w:szCs w:val="21"/>
              </w:rPr>
            </w:pPr>
            <w:r>
              <w:rPr>
                <w:rFonts w:hint="eastAsia" w:ascii="宋体" w:hAnsi="宋体" w:cs="宋体"/>
                <w:color w:val="auto"/>
                <w:sz w:val="21"/>
                <w:szCs w:val="21"/>
              </w:rPr>
              <w:t>20分</w:t>
            </w:r>
          </w:p>
        </w:tc>
        <w:tc>
          <w:tcPr>
            <w:tcW w:w="5054" w:type="dxa"/>
            <w:vAlign w:val="center"/>
          </w:tcPr>
          <w:p w14:paraId="6A09B35B">
            <w:pPr>
              <w:spacing w:line="360" w:lineRule="auto"/>
              <w:rPr>
                <w:rFonts w:ascii="宋体" w:hAnsi="宋体" w:cs="宋体"/>
                <w:color w:val="auto"/>
                <w:sz w:val="21"/>
                <w:szCs w:val="21"/>
              </w:rPr>
            </w:pPr>
            <w:r>
              <w:rPr>
                <w:rFonts w:hint="eastAsia" w:ascii="宋体" w:hAnsi="宋体" w:cs="宋体"/>
                <w:color w:val="auto"/>
                <w:sz w:val="21"/>
                <w:szCs w:val="21"/>
              </w:rPr>
              <w:t>咨询服务费用按每个清算项目（分期项目合并）计算，</w:t>
            </w:r>
            <w:r>
              <w:rPr>
                <w:rFonts w:hint="eastAsia" w:ascii="宋体" w:hAnsi="宋体" w:cs="宋体"/>
                <w:color w:val="auto"/>
                <w:sz w:val="21"/>
                <w:szCs w:val="21"/>
              </w:rPr>
              <w:t>采用基础费用和协审影响土地增值税清算税款比例费率</w:t>
            </w:r>
            <w:r>
              <w:rPr>
                <w:rFonts w:hint="eastAsia" w:ascii="宋体" w:hAnsi="宋体" w:cs="宋体"/>
                <w:color w:val="auto"/>
                <w:sz w:val="21"/>
                <w:szCs w:val="21"/>
              </w:rPr>
              <w:t>计算的“绩效费用”相结合的方法确定费用。</w:t>
            </w:r>
          </w:p>
          <w:p w14:paraId="2E370FDF">
            <w:pPr>
              <w:spacing w:line="440" w:lineRule="exact"/>
              <w:rPr>
                <w:rFonts w:ascii="宋体" w:hAnsi="宋体" w:cs="宋体"/>
                <w:color w:val="auto"/>
                <w:sz w:val="21"/>
                <w:szCs w:val="24"/>
              </w:rPr>
            </w:pPr>
            <w:r>
              <w:rPr>
                <w:rFonts w:hint="eastAsia" w:ascii="宋体" w:hAnsi="宋体" w:cs="宋体"/>
                <w:color w:val="auto"/>
                <w:sz w:val="21"/>
                <w:szCs w:val="24"/>
                <w:lang w:eastAsia="zh-CN"/>
              </w:rPr>
              <w:t>（</w:t>
            </w:r>
            <w:r>
              <w:rPr>
                <w:rFonts w:hint="eastAsia" w:ascii="宋体" w:hAnsi="宋体" w:cs="宋体"/>
                <w:color w:val="auto"/>
                <w:sz w:val="21"/>
                <w:szCs w:val="24"/>
                <w:lang w:val="en-US" w:eastAsia="zh-CN"/>
              </w:rPr>
              <w:t>1</w:t>
            </w:r>
            <w:r>
              <w:rPr>
                <w:rFonts w:hint="eastAsia" w:ascii="宋体" w:hAnsi="宋体" w:cs="宋体"/>
                <w:color w:val="auto"/>
                <w:sz w:val="21"/>
                <w:szCs w:val="24"/>
                <w:lang w:eastAsia="zh-CN"/>
              </w:rPr>
              <w:t>）</w:t>
            </w:r>
            <w:r>
              <w:rPr>
                <w:rFonts w:hint="eastAsia" w:ascii="宋体" w:hAnsi="宋体" w:cs="宋体"/>
                <w:color w:val="auto"/>
                <w:sz w:val="21"/>
                <w:szCs w:val="24"/>
              </w:rPr>
              <w:t>申请造价咨询的项目，咨询后清算土地增值税有增加土地增值税税款或者减少土地增值税退税的仅</w:t>
            </w:r>
            <w:r>
              <w:rPr>
                <w:rFonts w:hint="eastAsia" w:ascii="宋体" w:hAnsi="宋体" w:cs="宋体"/>
                <w:color w:val="auto"/>
                <w:sz w:val="21"/>
                <w:szCs w:val="24"/>
                <w:lang w:eastAsia="zh-CN"/>
              </w:rPr>
              <w:t>计</w:t>
            </w:r>
            <w:r>
              <w:rPr>
                <w:rFonts w:hint="eastAsia" w:ascii="宋体" w:hAnsi="宋体" w:cs="宋体"/>
                <w:color w:val="auto"/>
                <w:sz w:val="21"/>
                <w:szCs w:val="24"/>
              </w:rPr>
              <w:t>基础费用，分三个类分别计费：</w:t>
            </w:r>
          </w:p>
          <w:p w14:paraId="71F8F98C">
            <w:pPr>
              <w:numPr>
                <w:ilvl w:val="0"/>
                <w:numId w:val="0"/>
              </w:numPr>
              <w:spacing w:line="360" w:lineRule="auto"/>
              <w:rPr>
                <w:rFonts w:ascii="宋体" w:hAnsi="宋体" w:cs="宋体"/>
                <w:color w:val="auto"/>
                <w:sz w:val="21"/>
                <w:szCs w:val="21"/>
              </w:rPr>
            </w:pPr>
            <w:r>
              <w:rPr>
                <w:rFonts w:hint="eastAsia" w:ascii="宋体" w:hAnsi="宋体" w:cs="宋体"/>
                <w:color w:val="auto"/>
                <w:sz w:val="21"/>
                <w:szCs w:val="21"/>
              </w:rPr>
              <w:t>（1）第一类为咨询项目建筑面积6万平方米（含）以下，最高限价8000元，磋商价高于8000元的，按无效报价处理。采用低价优先法计算，即满足磋商文件要求且磋商报价最低的报价为评审基准价，其价格分为3分，其他供应商的报价得分统一按照下列公式计算：</w:t>
            </w:r>
          </w:p>
          <w:p w14:paraId="5CB84FBD">
            <w:pPr>
              <w:spacing w:line="360" w:lineRule="auto"/>
              <w:rPr>
                <w:rFonts w:ascii="宋体" w:hAnsi="宋体" w:cs="宋体"/>
                <w:color w:val="auto"/>
                <w:sz w:val="21"/>
                <w:szCs w:val="21"/>
              </w:rPr>
            </w:pPr>
            <w:r>
              <w:rPr>
                <w:rFonts w:hint="eastAsia" w:ascii="宋体" w:hAnsi="宋体" w:cs="宋体"/>
                <w:color w:val="auto"/>
                <w:sz w:val="21"/>
                <w:szCs w:val="21"/>
              </w:rPr>
              <w:t>磋商报价得分=（评审基准价/磋商报价）×3×100%。</w:t>
            </w:r>
          </w:p>
          <w:p w14:paraId="2D8D59C2">
            <w:pPr>
              <w:spacing w:line="360" w:lineRule="auto"/>
              <w:rPr>
                <w:rFonts w:ascii="宋体" w:hAnsi="宋体" w:cs="宋体"/>
                <w:color w:val="auto"/>
                <w:sz w:val="21"/>
                <w:szCs w:val="21"/>
              </w:rPr>
            </w:pPr>
            <w:r>
              <w:rPr>
                <w:rFonts w:hint="eastAsia" w:ascii="宋体" w:hAnsi="宋体" w:cs="宋体"/>
                <w:color w:val="auto"/>
                <w:sz w:val="21"/>
                <w:szCs w:val="21"/>
              </w:rPr>
              <w:t>（2）第二类为咨询项目建筑面积6—12万平方米之间，最高限价10000元，磋商价高于10000元的，按无效报价处理。采用低价优先法计算，即满足磋商文件要求且磋商报价最低的报价为评审基准价，其价格分为3分，其他供应商的报价得分统一按照下列公式计算：</w:t>
            </w:r>
          </w:p>
          <w:p w14:paraId="3FCEF05C">
            <w:pPr>
              <w:spacing w:line="360" w:lineRule="auto"/>
              <w:rPr>
                <w:rFonts w:ascii="宋体" w:hAnsi="宋体" w:cs="宋体"/>
                <w:color w:val="auto"/>
                <w:sz w:val="21"/>
                <w:szCs w:val="21"/>
              </w:rPr>
            </w:pPr>
            <w:r>
              <w:rPr>
                <w:rFonts w:hint="eastAsia" w:ascii="宋体" w:hAnsi="宋体" w:cs="宋体"/>
                <w:color w:val="auto"/>
                <w:sz w:val="21"/>
                <w:szCs w:val="21"/>
              </w:rPr>
              <w:t>磋商报价得分=（评审基准价/磋商报价）×3×100%。</w:t>
            </w:r>
          </w:p>
          <w:p w14:paraId="703EFD53">
            <w:pPr>
              <w:spacing w:line="360" w:lineRule="auto"/>
              <w:rPr>
                <w:rFonts w:ascii="宋体" w:hAnsi="宋体" w:cs="宋体"/>
                <w:color w:val="auto"/>
                <w:sz w:val="21"/>
                <w:szCs w:val="21"/>
              </w:rPr>
            </w:pPr>
            <w:r>
              <w:rPr>
                <w:rFonts w:hint="eastAsia" w:ascii="宋体" w:hAnsi="宋体" w:cs="宋体"/>
                <w:color w:val="auto"/>
                <w:sz w:val="21"/>
                <w:szCs w:val="21"/>
              </w:rPr>
              <w:t>（3）第三类为咨询项目建筑面积12万平方米（含）以上，最高限价15000元，磋商价高于15000元的，按无效报价处理。采用低价优先法计算，即满足磋商文件要求且磋商报价最低的报价为评审基准价，其价格分为3分，其他供应商的报价得分统一按照下列公式计算：</w:t>
            </w:r>
          </w:p>
          <w:p w14:paraId="107C4F72">
            <w:pPr>
              <w:spacing w:line="360" w:lineRule="auto"/>
              <w:rPr>
                <w:rFonts w:ascii="宋体" w:hAnsi="宋体" w:cs="宋体"/>
                <w:color w:val="auto"/>
                <w:sz w:val="21"/>
                <w:szCs w:val="21"/>
              </w:rPr>
            </w:pPr>
            <w:r>
              <w:rPr>
                <w:rFonts w:hint="eastAsia" w:ascii="宋体" w:hAnsi="宋体" w:cs="宋体"/>
                <w:color w:val="auto"/>
                <w:sz w:val="21"/>
                <w:szCs w:val="21"/>
              </w:rPr>
              <w:t>磋商报价得分=（评审基准价/磋商报价）×3×100%。</w:t>
            </w:r>
          </w:p>
          <w:p w14:paraId="21BF52AB">
            <w:pPr>
              <w:spacing w:line="360" w:lineRule="auto"/>
              <w:rPr>
                <w:rFonts w:ascii="宋体" w:hAnsi="宋体" w:cs="宋体"/>
                <w:color w:val="auto"/>
                <w:sz w:val="21"/>
                <w:szCs w:val="21"/>
              </w:rPr>
            </w:pPr>
            <w:r>
              <w:rPr>
                <w:rFonts w:hint="eastAsia" w:ascii="宋体" w:hAnsi="宋体" w:cs="宋体"/>
                <w:color w:val="auto"/>
                <w:sz w:val="21"/>
                <w:szCs w:val="21"/>
              </w:rPr>
              <w:t>2.在申请咨询的工程造价基础上，税务部门、供应商通过组织造价咨询，</w:t>
            </w:r>
            <w:r>
              <w:rPr>
                <w:rFonts w:hint="eastAsia" w:ascii="宋体" w:hAnsi="宋体" w:cs="宋体"/>
                <w:color w:val="auto"/>
                <w:sz w:val="21"/>
                <w:szCs w:val="21"/>
              </w:rPr>
              <w:t>新增加的补税金额或减少的退税金额</w:t>
            </w:r>
            <w:r>
              <w:rPr>
                <w:rFonts w:hint="eastAsia" w:ascii="宋体" w:hAnsi="宋体" w:cs="宋体"/>
                <w:color w:val="auto"/>
                <w:sz w:val="21"/>
                <w:szCs w:val="21"/>
              </w:rPr>
              <w:t>视为增加量，绩效费用</w:t>
            </w:r>
            <w:r>
              <w:rPr>
                <w:rFonts w:hint="eastAsia" w:ascii="宋体" w:hAnsi="宋体" w:cs="宋体"/>
                <w:color w:val="auto"/>
                <w:sz w:val="21"/>
                <w:szCs w:val="21"/>
              </w:rPr>
              <w:t>按增加量的百分比值</w:t>
            </w:r>
            <w:r>
              <w:rPr>
                <w:rFonts w:hint="eastAsia" w:ascii="宋体" w:hAnsi="宋体" w:cs="宋体"/>
                <w:color w:val="auto"/>
                <w:sz w:val="21"/>
                <w:szCs w:val="21"/>
              </w:rPr>
              <w:t>计算，分两个档次累进费率计费：</w:t>
            </w:r>
          </w:p>
          <w:p w14:paraId="64C15C4C">
            <w:pPr>
              <w:spacing w:line="360" w:lineRule="auto"/>
              <w:rPr>
                <w:rFonts w:ascii="宋体" w:hAnsi="宋体" w:cs="宋体"/>
                <w:color w:val="auto"/>
                <w:sz w:val="21"/>
                <w:szCs w:val="21"/>
              </w:rPr>
            </w:pPr>
            <w:r>
              <w:rPr>
                <w:rFonts w:hint="eastAsia" w:ascii="宋体" w:hAnsi="宋体" w:cs="宋体"/>
                <w:color w:val="auto"/>
                <w:sz w:val="21"/>
                <w:szCs w:val="21"/>
              </w:rPr>
              <w:t>（1）第一个档次为增加量小于等于500万，1%为最高限价，任何磋商报价高于1%的报价将视为无效报价。采用低价优先法计算，即满足磋商文件要求且磋商报价最低的报价为评审基准价，其价格分为6分，其他供应商的报价得分统一按照下列公式计算：</w:t>
            </w:r>
          </w:p>
          <w:p w14:paraId="30C34990">
            <w:pPr>
              <w:spacing w:line="360" w:lineRule="auto"/>
              <w:rPr>
                <w:rFonts w:ascii="宋体" w:hAnsi="宋体" w:cs="宋体"/>
                <w:color w:val="auto"/>
                <w:sz w:val="21"/>
                <w:szCs w:val="21"/>
              </w:rPr>
            </w:pPr>
            <w:r>
              <w:rPr>
                <w:rFonts w:hint="eastAsia" w:ascii="宋体" w:hAnsi="宋体" w:cs="宋体"/>
                <w:color w:val="auto"/>
                <w:sz w:val="21"/>
                <w:szCs w:val="21"/>
              </w:rPr>
              <w:t>磋商报价得分=（评审基准价/磋商报价）×6×100%。</w:t>
            </w:r>
          </w:p>
          <w:p w14:paraId="7D10D13F">
            <w:pPr>
              <w:spacing w:line="360" w:lineRule="auto"/>
              <w:rPr>
                <w:rFonts w:ascii="宋体" w:hAnsi="宋体" w:cs="宋体"/>
                <w:color w:val="auto"/>
                <w:sz w:val="21"/>
                <w:szCs w:val="21"/>
              </w:rPr>
            </w:pPr>
            <w:r>
              <w:rPr>
                <w:rFonts w:hint="eastAsia" w:ascii="宋体" w:hAnsi="宋体" w:cs="宋体"/>
                <w:color w:val="auto"/>
                <w:sz w:val="21"/>
                <w:szCs w:val="21"/>
              </w:rPr>
              <w:t>（2）第二个档次为增加量大于500万，0.5%为最高限价，任何磋商报价高于0.5%的报价将视为无效报价。采用低价优先法计算，即满足磋商文件要求且磋商报价最低的报价为评审基准价，其价格分为5分，其他供应商的报价得分统一按照下列公式计算：</w:t>
            </w:r>
          </w:p>
          <w:p w14:paraId="56CCAB83">
            <w:pPr>
              <w:spacing w:line="360" w:lineRule="auto"/>
              <w:rPr>
                <w:rFonts w:ascii="宋体" w:hAnsi="宋体" w:cs="宋体"/>
                <w:color w:val="auto"/>
                <w:sz w:val="21"/>
                <w:szCs w:val="21"/>
              </w:rPr>
            </w:pPr>
            <w:r>
              <w:rPr>
                <w:rFonts w:hint="eastAsia" w:ascii="宋体" w:hAnsi="宋体" w:cs="宋体"/>
                <w:color w:val="auto"/>
                <w:sz w:val="21"/>
                <w:szCs w:val="21"/>
              </w:rPr>
              <w:t>磋商报价得分=（评审基准价/磋商报价）×5×100%。</w:t>
            </w:r>
          </w:p>
        </w:tc>
        <w:tc>
          <w:tcPr>
            <w:tcW w:w="1548" w:type="dxa"/>
            <w:vAlign w:val="center"/>
          </w:tcPr>
          <w:p w14:paraId="701501A5">
            <w:pPr>
              <w:ind w:left="-30"/>
              <w:rPr>
                <w:rFonts w:ascii="宋体" w:hAnsi="宋体" w:cs="宋体"/>
                <w:color w:val="auto"/>
                <w:sz w:val="21"/>
                <w:szCs w:val="21"/>
              </w:rPr>
            </w:pPr>
          </w:p>
        </w:tc>
      </w:tr>
      <w:tr w14:paraId="4F852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Align w:val="center"/>
          </w:tcPr>
          <w:p w14:paraId="5D672B05">
            <w:pPr>
              <w:ind w:left="-30"/>
              <w:jc w:val="center"/>
              <w:rPr>
                <w:rFonts w:ascii="宋体" w:hAnsi="宋体" w:cs="宋体"/>
                <w:b/>
                <w:color w:val="auto"/>
                <w:sz w:val="21"/>
                <w:szCs w:val="21"/>
              </w:rPr>
            </w:pPr>
            <w:r>
              <w:rPr>
                <w:rFonts w:hint="eastAsia" w:ascii="宋体" w:hAnsi="宋体" w:cs="宋体"/>
                <w:b/>
                <w:color w:val="auto"/>
                <w:sz w:val="21"/>
                <w:szCs w:val="21"/>
              </w:rPr>
              <w:t>二</w:t>
            </w:r>
          </w:p>
        </w:tc>
        <w:tc>
          <w:tcPr>
            <w:tcW w:w="8651" w:type="dxa"/>
            <w:gridSpan w:val="5"/>
            <w:vAlign w:val="center"/>
          </w:tcPr>
          <w:p w14:paraId="22D555DD">
            <w:pPr>
              <w:ind w:left="-30"/>
              <w:rPr>
                <w:rFonts w:ascii="宋体" w:hAnsi="宋体" w:cs="宋体"/>
                <w:b/>
                <w:color w:val="auto"/>
                <w:sz w:val="21"/>
                <w:szCs w:val="21"/>
              </w:rPr>
            </w:pPr>
            <w:r>
              <w:rPr>
                <w:rFonts w:hint="eastAsia" w:ascii="宋体" w:hAnsi="宋体" w:cs="宋体"/>
                <w:b/>
                <w:color w:val="auto"/>
                <w:sz w:val="21"/>
                <w:szCs w:val="21"/>
              </w:rPr>
              <w:t>投标人业绩、</w:t>
            </w:r>
            <w:r>
              <w:rPr>
                <w:rFonts w:hint="eastAsia" w:ascii="宋体" w:hAnsi="宋体" w:cs="宋体"/>
                <w:b/>
                <w:bCs/>
                <w:color w:val="auto"/>
                <w:sz w:val="21"/>
                <w:szCs w:val="21"/>
              </w:rPr>
              <w:t>人力资源配置（42分）</w:t>
            </w:r>
          </w:p>
        </w:tc>
      </w:tr>
      <w:tr w14:paraId="38C8D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Align w:val="center"/>
          </w:tcPr>
          <w:p w14:paraId="3988954B">
            <w:pPr>
              <w:spacing w:line="400" w:lineRule="exact"/>
              <w:jc w:val="center"/>
              <w:rPr>
                <w:rFonts w:ascii="宋体" w:hAnsi="宋体" w:cs="宋体"/>
                <w:bCs/>
                <w:color w:val="auto"/>
                <w:sz w:val="21"/>
                <w:szCs w:val="21"/>
              </w:rPr>
            </w:pPr>
            <w:r>
              <w:rPr>
                <w:rFonts w:hint="eastAsia" w:ascii="宋体" w:hAnsi="宋体" w:cs="宋体"/>
                <w:bCs/>
                <w:color w:val="auto"/>
                <w:sz w:val="21"/>
                <w:szCs w:val="21"/>
              </w:rPr>
              <w:t>1</w:t>
            </w:r>
          </w:p>
        </w:tc>
        <w:tc>
          <w:tcPr>
            <w:tcW w:w="1203" w:type="dxa"/>
            <w:gridSpan w:val="2"/>
            <w:vAlign w:val="center"/>
          </w:tcPr>
          <w:p w14:paraId="2BF300C4">
            <w:pPr>
              <w:ind w:firstLine="28"/>
              <w:jc w:val="center"/>
              <w:rPr>
                <w:rFonts w:ascii="宋体" w:hAnsi="宋体" w:cs="宋体"/>
                <w:color w:val="auto"/>
                <w:sz w:val="21"/>
                <w:szCs w:val="21"/>
              </w:rPr>
            </w:pPr>
            <w:r>
              <w:rPr>
                <w:rFonts w:hint="eastAsia" w:ascii="宋体" w:hAnsi="宋体" w:cs="宋体"/>
                <w:color w:val="auto"/>
                <w:sz w:val="21"/>
                <w:szCs w:val="21"/>
              </w:rPr>
              <w:t>信用等级</w:t>
            </w:r>
          </w:p>
          <w:p w14:paraId="7C3750E8">
            <w:pPr>
              <w:ind w:left="-84" w:leftChars="-30" w:firstLine="1"/>
              <w:rPr>
                <w:rFonts w:ascii="宋体" w:hAnsi="宋体" w:cs="宋体"/>
                <w:color w:val="auto"/>
                <w:sz w:val="21"/>
                <w:szCs w:val="21"/>
              </w:rPr>
            </w:pPr>
          </w:p>
        </w:tc>
        <w:tc>
          <w:tcPr>
            <w:tcW w:w="846" w:type="dxa"/>
            <w:vAlign w:val="center"/>
          </w:tcPr>
          <w:p w14:paraId="62AEADD4">
            <w:pPr>
              <w:ind w:left="-30"/>
              <w:jc w:val="center"/>
              <w:rPr>
                <w:rFonts w:ascii="宋体" w:hAnsi="宋体" w:cs="宋体"/>
                <w:color w:val="auto"/>
                <w:sz w:val="21"/>
                <w:szCs w:val="21"/>
              </w:rPr>
            </w:pPr>
            <w:r>
              <w:rPr>
                <w:rFonts w:hint="eastAsia" w:ascii="宋体" w:hAnsi="宋体" w:cs="宋体"/>
                <w:color w:val="auto"/>
                <w:sz w:val="21"/>
                <w:szCs w:val="21"/>
              </w:rPr>
              <w:t>5分</w:t>
            </w:r>
          </w:p>
        </w:tc>
        <w:tc>
          <w:tcPr>
            <w:tcW w:w="5054" w:type="dxa"/>
            <w:vAlign w:val="center"/>
          </w:tcPr>
          <w:p w14:paraId="39210845">
            <w:pPr>
              <w:numPr>
                <w:ilvl w:val="0"/>
                <w:numId w:val="4"/>
              </w:numPr>
              <w:rPr>
                <w:rFonts w:ascii="宋体" w:hAnsi="宋体" w:cs="宋体"/>
                <w:color w:val="auto"/>
                <w:sz w:val="21"/>
                <w:szCs w:val="21"/>
              </w:rPr>
            </w:pPr>
            <w:r>
              <w:rPr>
                <w:rFonts w:hint="eastAsia" w:ascii="宋体" w:hAnsi="宋体" w:cs="宋体"/>
                <w:color w:val="auto"/>
                <w:sz w:val="21"/>
                <w:szCs w:val="21"/>
              </w:rPr>
              <w:t>响应人近三年（响应截止时间往前推）在中国建设工程造价管理协会公布的全国工程造价咨询企业信用评价中获得3A级的得5分，获得2A级得2分，其他不得分。</w:t>
            </w:r>
          </w:p>
          <w:p w14:paraId="43088F42">
            <w:pPr>
              <w:numPr>
                <w:ilvl w:val="0"/>
                <w:numId w:val="4"/>
              </w:numPr>
              <w:rPr>
                <w:rFonts w:ascii="宋体" w:hAnsi="宋体" w:cs="宋体"/>
                <w:color w:val="auto"/>
                <w:sz w:val="21"/>
                <w:szCs w:val="21"/>
              </w:rPr>
            </w:pPr>
            <w:r>
              <w:rPr>
                <w:rFonts w:hint="eastAsia" w:ascii="宋体" w:hAnsi="宋体" w:cs="宋体"/>
                <w:color w:val="auto"/>
                <w:sz w:val="21"/>
                <w:szCs w:val="21"/>
              </w:rPr>
              <w:t>响应人近三年（响应截止时间往前推）获得省级建设工程造价管理部门或省级建设工程造价行业协会颁布的工程造价咨询企业信用等级评价4A级及以上的得5分，3A级的得2分，其他不得分。</w:t>
            </w:r>
          </w:p>
          <w:p w14:paraId="08EAC0B9">
            <w:pPr>
              <w:rPr>
                <w:rFonts w:ascii="宋体" w:hAnsi="宋体" w:cs="宋体"/>
                <w:color w:val="auto"/>
                <w:sz w:val="21"/>
                <w:szCs w:val="21"/>
              </w:rPr>
            </w:pPr>
            <w:r>
              <w:rPr>
                <w:rFonts w:hint="eastAsia" w:ascii="宋体" w:hAnsi="宋体" w:cs="宋体"/>
                <w:color w:val="auto"/>
                <w:sz w:val="21"/>
                <w:szCs w:val="21"/>
              </w:rPr>
              <w:t>注：</w:t>
            </w:r>
          </w:p>
          <w:p w14:paraId="3B1FB280">
            <w:pPr>
              <w:rPr>
                <w:rFonts w:ascii="宋体" w:hAnsi="宋体" w:cs="宋体"/>
                <w:color w:val="auto"/>
                <w:sz w:val="21"/>
                <w:szCs w:val="21"/>
              </w:rPr>
            </w:pPr>
            <w:r>
              <w:rPr>
                <w:rFonts w:hint="eastAsia" w:ascii="宋体" w:hAnsi="宋体" w:cs="宋体"/>
                <w:color w:val="auto"/>
                <w:sz w:val="21"/>
                <w:szCs w:val="21"/>
              </w:rPr>
              <w:t>①响应文件中提供有效期内的信用评价证书复印件并加盖公章，原件核查。</w:t>
            </w:r>
          </w:p>
          <w:p w14:paraId="11743C25">
            <w:pPr>
              <w:rPr>
                <w:rFonts w:ascii="宋体" w:hAnsi="宋体" w:cs="宋体"/>
                <w:color w:val="auto"/>
                <w:sz w:val="21"/>
                <w:szCs w:val="21"/>
              </w:rPr>
            </w:pPr>
            <w:r>
              <w:rPr>
                <w:rFonts w:hint="eastAsia" w:ascii="宋体" w:hAnsi="宋体" w:cs="宋体"/>
                <w:color w:val="auto"/>
                <w:sz w:val="21"/>
                <w:szCs w:val="21"/>
              </w:rPr>
              <w:t>②上述1、2二项不可重复计分，记最高分。</w:t>
            </w:r>
          </w:p>
        </w:tc>
        <w:tc>
          <w:tcPr>
            <w:tcW w:w="1548" w:type="dxa"/>
            <w:vAlign w:val="center"/>
          </w:tcPr>
          <w:p w14:paraId="5586F103">
            <w:pPr>
              <w:ind w:left="-84" w:leftChars="-30"/>
              <w:rPr>
                <w:rFonts w:ascii="宋体" w:hAnsi="宋体" w:cs="宋体"/>
                <w:color w:val="auto"/>
                <w:sz w:val="21"/>
                <w:szCs w:val="21"/>
              </w:rPr>
            </w:pPr>
          </w:p>
        </w:tc>
      </w:tr>
      <w:tr w14:paraId="08977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Align w:val="center"/>
          </w:tcPr>
          <w:p w14:paraId="21389E94">
            <w:pPr>
              <w:spacing w:line="400" w:lineRule="exact"/>
              <w:jc w:val="center"/>
              <w:rPr>
                <w:rFonts w:ascii="宋体" w:hAnsi="宋体" w:cs="宋体"/>
                <w:bCs/>
                <w:color w:val="auto"/>
                <w:sz w:val="21"/>
                <w:szCs w:val="21"/>
              </w:rPr>
            </w:pPr>
            <w:r>
              <w:rPr>
                <w:rFonts w:hint="eastAsia" w:ascii="宋体" w:hAnsi="宋体" w:cs="宋体"/>
                <w:bCs/>
                <w:color w:val="auto"/>
                <w:sz w:val="21"/>
                <w:szCs w:val="21"/>
              </w:rPr>
              <w:t>2</w:t>
            </w:r>
          </w:p>
        </w:tc>
        <w:tc>
          <w:tcPr>
            <w:tcW w:w="1203" w:type="dxa"/>
            <w:gridSpan w:val="2"/>
            <w:vAlign w:val="center"/>
          </w:tcPr>
          <w:p w14:paraId="435CBE5E">
            <w:pPr>
              <w:ind w:left="-84" w:leftChars="-30" w:firstLine="1"/>
              <w:jc w:val="center"/>
              <w:rPr>
                <w:rFonts w:ascii="宋体" w:hAnsi="宋体" w:cs="宋体"/>
                <w:color w:val="auto"/>
                <w:sz w:val="21"/>
                <w:szCs w:val="21"/>
              </w:rPr>
            </w:pPr>
            <w:r>
              <w:rPr>
                <w:rFonts w:hint="eastAsia" w:ascii="宋体" w:hAnsi="宋体" w:cs="宋体"/>
                <w:color w:val="auto"/>
                <w:sz w:val="21"/>
                <w:szCs w:val="21"/>
              </w:rPr>
              <w:t>服务业绩</w:t>
            </w:r>
          </w:p>
        </w:tc>
        <w:tc>
          <w:tcPr>
            <w:tcW w:w="846" w:type="dxa"/>
            <w:vAlign w:val="center"/>
          </w:tcPr>
          <w:p w14:paraId="0A59944F">
            <w:pPr>
              <w:ind w:left="-30"/>
              <w:jc w:val="center"/>
              <w:rPr>
                <w:rFonts w:ascii="宋体" w:hAnsi="宋体" w:cs="宋体"/>
                <w:color w:val="auto"/>
                <w:sz w:val="21"/>
                <w:szCs w:val="21"/>
              </w:rPr>
            </w:pPr>
            <w:r>
              <w:rPr>
                <w:rFonts w:hint="eastAsia" w:ascii="宋体" w:hAnsi="宋体" w:cs="宋体"/>
                <w:color w:val="auto"/>
                <w:sz w:val="21"/>
                <w:szCs w:val="21"/>
              </w:rPr>
              <w:t>15分</w:t>
            </w:r>
          </w:p>
        </w:tc>
        <w:tc>
          <w:tcPr>
            <w:tcW w:w="5054" w:type="dxa"/>
            <w:vAlign w:val="center"/>
          </w:tcPr>
          <w:p w14:paraId="2FB0D347">
            <w:pPr>
              <w:rPr>
                <w:rFonts w:ascii="宋体" w:hAnsi="宋体" w:cs="宋体"/>
                <w:color w:val="auto"/>
                <w:sz w:val="21"/>
                <w:szCs w:val="21"/>
              </w:rPr>
            </w:pPr>
            <w:r>
              <w:rPr>
                <w:rFonts w:hint="eastAsia" w:ascii="宋体" w:hAnsi="宋体" w:cs="宋体"/>
                <w:color w:val="auto"/>
                <w:sz w:val="21"/>
                <w:szCs w:val="21"/>
              </w:rPr>
              <w:t>响应人近三年（响应截止时间往前推）承担过行政事业单位或国有企业投资的工程类审计咨询项目业绩的，每有1个项目得5分，最高15分。响应文件中提供合同复印件并加盖供应商公章。（同一项目不同年度合同不累计得分）</w:t>
            </w:r>
          </w:p>
          <w:p w14:paraId="315E3AB1">
            <w:pPr>
              <w:rPr>
                <w:rFonts w:ascii="宋体" w:hAnsi="宋体" w:cs="宋体"/>
                <w:color w:val="auto"/>
                <w:sz w:val="21"/>
                <w:szCs w:val="21"/>
              </w:rPr>
            </w:pPr>
            <w:r>
              <w:rPr>
                <w:rFonts w:hint="eastAsia" w:ascii="宋体" w:hAnsi="宋体" w:cs="宋体"/>
                <w:color w:val="auto"/>
                <w:sz w:val="21"/>
                <w:szCs w:val="21"/>
              </w:rPr>
              <w:t>注：</w:t>
            </w:r>
          </w:p>
          <w:p w14:paraId="717C1619">
            <w:pPr>
              <w:rPr>
                <w:rFonts w:ascii="宋体" w:hAnsi="宋体" w:cs="宋体"/>
                <w:color w:val="auto"/>
                <w:sz w:val="21"/>
                <w:szCs w:val="21"/>
              </w:rPr>
            </w:pPr>
            <w:r>
              <w:rPr>
                <w:rFonts w:hint="eastAsia" w:ascii="宋体" w:hAnsi="宋体" w:cs="宋体"/>
                <w:color w:val="auto"/>
                <w:sz w:val="21"/>
                <w:szCs w:val="21"/>
              </w:rPr>
              <w:t xml:space="preserve">1）时间以合同签订时间为准，未注明的不得分。 </w:t>
            </w:r>
          </w:p>
          <w:p w14:paraId="349A093E">
            <w:pPr>
              <w:ind w:left="-30"/>
              <w:rPr>
                <w:rFonts w:ascii="宋体" w:hAnsi="宋体" w:cs="宋体"/>
                <w:color w:val="auto"/>
                <w:sz w:val="21"/>
                <w:szCs w:val="21"/>
              </w:rPr>
            </w:pPr>
            <w:r>
              <w:rPr>
                <w:rFonts w:hint="eastAsia" w:ascii="宋体" w:hAnsi="宋体" w:cs="宋体"/>
                <w:color w:val="auto"/>
                <w:sz w:val="21"/>
                <w:szCs w:val="21"/>
              </w:rPr>
              <w:t>2）本项提供合同原件核查。</w:t>
            </w:r>
          </w:p>
        </w:tc>
        <w:tc>
          <w:tcPr>
            <w:tcW w:w="1548" w:type="dxa"/>
            <w:vAlign w:val="center"/>
          </w:tcPr>
          <w:p w14:paraId="1684EEF5">
            <w:pPr>
              <w:rPr>
                <w:rFonts w:ascii="宋体" w:hAnsi="宋体" w:cs="宋体"/>
                <w:bCs/>
                <w:color w:val="auto"/>
                <w:sz w:val="21"/>
                <w:szCs w:val="21"/>
              </w:rPr>
            </w:pPr>
          </w:p>
        </w:tc>
      </w:tr>
      <w:tr w14:paraId="38866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7" w:hRule="atLeast"/>
        </w:trPr>
        <w:tc>
          <w:tcPr>
            <w:tcW w:w="671" w:type="dxa"/>
            <w:vMerge w:val="restart"/>
            <w:vAlign w:val="center"/>
          </w:tcPr>
          <w:p w14:paraId="59AFCF8D">
            <w:pPr>
              <w:spacing w:line="400" w:lineRule="exact"/>
              <w:jc w:val="center"/>
              <w:rPr>
                <w:rFonts w:ascii="宋体" w:hAnsi="宋体" w:cs="宋体"/>
                <w:bCs/>
                <w:color w:val="auto"/>
                <w:sz w:val="21"/>
                <w:szCs w:val="21"/>
              </w:rPr>
            </w:pPr>
            <w:r>
              <w:rPr>
                <w:rFonts w:hint="eastAsia" w:ascii="宋体" w:hAnsi="宋体" w:cs="宋体"/>
                <w:bCs/>
                <w:color w:val="auto"/>
                <w:sz w:val="21"/>
                <w:szCs w:val="21"/>
              </w:rPr>
              <w:t>3</w:t>
            </w:r>
          </w:p>
        </w:tc>
        <w:tc>
          <w:tcPr>
            <w:tcW w:w="601" w:type="dxa"/>
            <w:vMerge w:val="restart"/>
            <w:vAlign w:val="center"/>
          </w:tcPr>
          <w:p w14:paraId="38A99258">
            <w:pPr>
              <w:ind w:left="-84" w:leftChars="-30" w:firstLine="1"/>
              <w:jc w:val="center"/>
              <w:rPr>
                <w:rFonts w:ascii="宋体" w:hAnsi="宋体" w:cs="宋体"/>
                <w:color w:val="auto"/>
                <w:sz w:val="21"/>
                <w:szCs w:val="21"/>
              </w:rPr>
            </w:pPr>
            <w:r>
              <w:rPr>
                <w:rFonts w:hint="eastAsia" w:ascii="宋体" w:hAnsi="宋体" w:cs="宋体"/>
                <w:color w:val="auto"/>
                <w:sz w:val="21"/>
                <w:szCs w:val="21"/>
              </w:rPr>
              <w:t>针对本项目派出人员的规模</w:t>
            </w:r>
          </w:p>
        </w:tc>
        <w:tc>
          <w:tcPr>
            <w:tcW w:w="602" w:type="dxa"/>
            <w:vAlign w:val="center"/>
          </w:tcPr>
          <w:p w14:paraId="778BB76E">
            <w:pPr>
              <w:ind w:left="-84" w:leftChars="-30" w:firstLine="1"/>
              <w:jc w:val="center"/>
              <w:rPr>
                <w:rFonts w:ascii="宋体" w:hAnsi="宋体" w:cs="宋体"/>
                <w:color w:val="auto"/>
                <w:sz w:val="21"/>
                <w:szCs w:val="21"/>
              </w:rPr>
            </w:pPr>
            <w:r>
              <w:rPr>
                <w:rFonts w:hint="eastAsia" w:ascii="宋体" w:hAnsi="宋体" w:cs="宋体"/>
                <w:color w:val="auto"/>
                <w:sz w:val="21"/>
                <w:szCs w:val="21"/>
              </w:rPr>
              <w:t>项目负责人</w:t>
            </w:r>
          </w:p>
        </w:tc>
        <w:tc>
          <w:tcPr>
            <w:tcW w:w="846" w:type="dxa"/>
            <w:vAlign w:val="center"/>
          </w:tcPr>
          <w:p w14:paraId="4F27969C">
            <w:pPr>
              <w:ind w:left="-30"/>
              <w:jc w:val="center"/>
              <w:rPr>
                <w:rFonts w:ascii="宋体" w:hAnsi="宋体" w:cs="宋体"/>
                <w:color w:val="auto"/>
                <w:sz w:val="21"/>
                <w:szCs w:val="21"/>
              </w:rPr>
            </w:pPr>
            <w:r>
              <w:rPr>
                <w:rFonts w:hint="eastAsia" w:ascii="宋体" w:hAnsi="宋体" w:cs="宋体"/>
                <w:color w:val="auto"/>
                <w:sz w:val="21"/>
                <w:szCs w:val="21"/>
              </w:rPr>
              <w:t>9分</w:t>
            </w:r>
          </w:p>
        </w:tc>
        <w:tc>
          <w:tcPr>
            <w:tcW w:w="5054" w:type="dxa"/>
            <w:vAlign w:val="center"/>
          </w:tcPr>
          <w:p w14:paraId="532227CC">
            <w:pPr>
              <w:numPr>
                <w:ilvl w:val="0"/>
                <w:numId w:val="5"/>
              </w:numPr>
              <w:ind w:left="-30"/>
              <w:rPr>
                <w:rFonts w:ascii="宋体" w:hAnsi="宋体" w:cs="宋体"/>
                <w:color w:val="auto"/>
                <w:sz w:val="21"/>
                <w:szCs w:val="21"/>
              </w:rPr>
            </w:pPr>
            <w:r>
              <w:rPr>
                <w:rFonts w:hint="eastAsia" w:ascii="宋体" w:hAnsi="宋体" w:cs="宋体"/>
                <w:color w:val="auto"/>
                <w:sz w:val="21"/>
                <w:szCs w:val="21"/>
              </w:rPr>
              <w:t>项目负责人具有其他工程类国家级执业资格的证书的【除国家注册造价工程师（或国家注册一级造价工程师）资格以外】，得5分。</w:t>
            </w:r>
          </w:p>
          <w:p w14:paraId="74BEA2A2">
            <w:pPr>
              <w:numPr>
                <w:ilvl w:val="0"/>
                <w:numId w:val="5"/>
              </w:numPr>
              <w:ind w:left="-30"/>
              <w:rPr>
                <w:rFonts w:ascii="宋体" w:hAnsi="宋体" w:cs="宋体"/>
                <w:color w:val="auto"/>
                <w:sz w:val="21"/>
                <w:szCs w:val="21"/>
              </w:rPr>
            </w:pPr>
            <w:r>
              <w:rPr>
                <w:rFonts w:hint="eastAsia" w:ascii="宋体" w:hAnsi="宋体" w:cs="宋体"/>
                <w:color w:val="auto"/>
                <w:sz w:val="21"/>
                <w:szCs w:val="21"/>
              </w:rPr>
              <w:t>项目负责人具有高级职称（建设工程类或经济类），得4分。</w:t>
            </w:r>
          </w:p>
          <w:p w14:paraId="290BD7E5">
            <w:pPr>
              <w:ind w:left="-30"/>
              <w:rPr>
                <w:rFonts w:ascii="宋体" w:hAnsi="宋体" w:cs="宋体"/>
                <w:color w:val="auto"/>
                <w:sz w:val="21"/>
                <w:szCs w:val="21"/>
              </w:rPr>
            </w:pPr>
            <w:r>
              <w:rPr>
                <w:rFonts w:hint="eastAsia" w:ascii="宋体" w:hAnsi="宋体" w:cs="宋体"/>
                <w:color w:val="auto"/>
                <w:sz w:val="21"/>
                <w:szCs w:val="21"/>
              </w:rPr>
              <w:t>注：提供项目负责人的执业资格证书、注册证书、职称证书及供应商为其缴纳的近三个月（投标截止之日往前推）的社会基本养老保险的缴纳凭证【凭证包括（其中之一均可）：1）该投标供应商经社保机构出具的缴费清单；2）由社保机构打印出具的缴纳凭证】，原件核查。</w:t>
            </w:r>
          </w:p>
        </w:tc>
        <w:tc>
          <w:tcPr>
            <w:tcW w:w="1548" w:type="dxa"/>
            <w:vMerge w:val="restart"/>
            <w:shd w:val="clear" w:color="auto" w:fill="auto"/>
            <w:vAlign w:val="center"/>
          </w:tcPr>
          <w:p w14:paraId="75262044">
            <w:pPr>
              <w:ind w:left="-84" w:leftChars="-30"/>
              <w:rPr>
                <w:rFonts w:ascii="宋体" w:hAnsi="宋体" w:cs="宋体"/>
                <w:color w:val="auto"/>
                <w:kern w:val="0"/>
                <w:sz w:val="21"/>
                <w:szCs w:val="21"/>
              </w:rPr>
            </w:pPr>
          </w:p>
        </w:tc>
      </w:tr>
      <w:tr w14:paraId="1B94E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7" w:hRule="atLeast"/>
        </w:trPr>
        <w:tc>
          <w:tcPr>
            <w:tcW w:w="671" w:type="dxa"/>
            <w:vMerge w:val="continue"/>
          </w:tcPr>
          <w:p w14:paraId="408EF61C">
            <w:pPr>
              <w:ind w:left="-84" w:leftChars="-30" w:firstLine="1"/>
              <w:jc w:val="center"/>
              <w:rPr>
                <w:rFonts w:ascii="宋体" w:hAnsi="宋体" w:cs="宋体"/>
                <w:color w:val="auto"/>
                <w:sz w:val="21"/>
                <w:szCs w:val="21"/>
              </w:rPr>
            </w:pPr>
          </w:p>
        </w:tc>
        <w:tc>
          <w:tcPr>
            <w:tcW w:w="601" w:type="dxa"/>
            <w:vMerge w:val="continue"/>
            <w:vAlign w:val="center"/>
          </w:tcPr>
          <w:p w14:paraId="3CF5E01D">
            <w:pPr>
              <w:ind w:left="-84" w:leftChars="-30" w:firstLine="1"/>
              <w:jc w:val="center"/>
              <w:rPr>
                <w:rFonts w:ascii="宋体" w:hAnsi="宋体" w:cs="宋体"/>
                <w:color w:val="auto"/>
                <w:sz w:val="21"/>
                <w:szCs w:val="21"/>
              </w:rPr>
            </w:pPr>
          </w:p>
        </w:tc>
        <w:tc>
          <w:tcPr>
            <w:tcW w:w="602" w:type="dxa"/>
            <w:vAlign w:val="center"/>
          </w:tcPr>
          <w:p w14:paraId="7886DF1B">
            <w:pPr>
              <w:ind w:left="-84" w:leftChars="-30" w:firstLine="1"/>
              <w:jc w:val="center"/>
              <w:rPr>
                <w:rFonts w:ascii="宋体" w:hAnsi="宋体" w:cs="宋体"/>
                <w:color w:val="auto"/>
                <w:sz w:val="21"/>
                <w:szCs w:val="21"/>
              </w:rPr>
            </w:pPr>
            <w:r>
              <w:rPr>
                <w:rFonts w:hint="eastAsia" w:ascii="宋体" w:hAnsi="宋体" w:cs="宋体"/>
                <w:color w:val="auto"/>
                <w:sz w:val="21"/>
                <w:szCs w:val="21"/>
              </w:rPr>
              <w:t>团队成员</w:t>
            </w:r>
          </w:p>
        </w:tc>
        <w:tc>
          <w:tcPr>
            <w:tcW w:w="846" w:type="dxa"/>
            <w:vAlign w:val="center"/>
          </w:tcPr>
          <w:p w14:paraId="59A22A5A">
            <w:pPr>
              <w:ind w:left="-84" w:leftChars="-30" w:firstLine="1"/>
              <w:jc w:val="center"/>
              <w:rPr>
                <w:rFonts w:ascii="宋体" w:hAnsi="宋体" w:cs="宋体"/>
                <w:color w:val="auto"/>
                <w:sz w:val="21"/>
                <w:szCs w:val="21"/>
              </w:rPr>
            </w:pPr>
            <w:r>
              <w:rPr>
                <w:rFonts w:hint="eastAsia" w:ascii="宋体" w:hAnsi="宋体" w:cs="宋体"/>
                <w:color w:val="auto"/>
                <w:sz w:val="21"/>
                <w:szCs w:val="21"/>
              </w:rPr>
              <w:t>13分</w:t>
            </w:r>
          </w:p>
        </w:tc>
        <w:tc>
          <w:tcPr>
            <w:tcW w:w="5054" w:type="dxa"/>
            <w:vAlign w:val="center"/>
          </w:tcPr>
          <w:p w14:paraId="14010E65">
            <w:pPr>
              <w:ind w:left="-30"/>
              <w:rPr>
                <w:rFonts w:ascii="宋体" w:hAnsi="宋体" w:cs="宋体"/>
                <w:color w:val="auto"/>
                <w:sz w:val="21"/>
                <w:szCs w:val="21"/>
              </w:rPr>
            </w:pPr>
            <w:r>
              <w:rPr>
                <w:rFonts w:hint="eastAsia" w:ascii="宋体" w:hAnsi="宋体" w:cs="宋体"/>
                <w:color w:val="auto"/>
                <w:sz w:val="21"/>
                <w:szCs w:val="21"/>
              </w:rPr>
              <w:t>（1）项目组成员（项目负责人除外）中具有国家注册造价工程师（或国家注册一级造价工程师）资格（建筑工程专业）且具备工程类或经济类中级及以上职称的，每有1人得2分，最高得6分。</w:t>
            </w:r>
          </w:p>
          <w:p w14:paraId="1199DA65">
            <w:pPr>
              <w:ind w:left="-30"/>
              <w:rPr>
                <w:rFonts w:ascii="宋体" w:hAnsi="宋体" w:cs="宋体"/>
                <w:color w:val="auto"/>
                <w:sz w:val="21"/>
                <w:szCs w:val="21"/>
              </w:rPr>
            </w:pPr>
            <w:r>
              <w:rPr>
                <w:rFonts w:hint="eastAsia" w:ascii="宋体" w:hAnsi="宋体" w:cs="宋体"/>
                <w:color w:val="auto"/>
                <w:sz w:val="21"/>
                <w:szCs w:val="21"/>
              </w:rPr>
              <w:t>（2）项目组成员（项目负责人除外）中具有具有国家注册造价工程师（或国家注册一级造价工程师资格）（安装工程专业）的且具备工程类或经济类中级及以上职称的，每有1人得3分，最高得3分。</w:t>
            </w:r>
          </w:p>
          <w:p w14:paraId="55E4EF7D">
            <w:pPr>
              <w:ind w:left="-30"/>
              <w:rPr>
                <w:rFonts w:ascii="宋体" w:hAnsi="宋体" w:cs="宋体"/>
                <w:color w:val="auto"/>
                <w:sz w:val="21"/>
                <w:szCs w:val="21"/>
              </w:rPr>
            </w:pPr>
            <w:r>
              <w:rPr>
                <w:rFonts w:hint="eastAsia" w:ascii="宋体" w:hAnsi="宋体" w:cs="宋体"/>
                <w:color w:val="auto"/>
                <w:sz w:val="21"/>
                <w:szCs w:val="21"/>
              </w:rPr>
              <w:t>（3）以上成员中如另具有其他工程类国家级执业资格证书的【除国家注册造价工程师（或国家注册一级造价工程师）资格以外】，每有1人得2分，最高得4分。</w:t>
            </w:r>
          </w:p>
          <w:p w14:paraId="1372F2C7">
            <w:pPr>
              <w:ind w:left="-30"/>
              <w:rPr>
                <w:rFonts w:ascii="宋体" w:hAnsi="宋体" w:cs="宋体"/>
                <w:color w:val="auto"/>
                <w:sz w:val="21"/>
                <w:szCs w:val="21"/>
              </w:rPr>
            </w:pPr>
            <w:r>
              <w:rPr>
                <w:rFonts w:hint="eastAsia" w:ascii="宋体" w:hAnsi="宋体" w:cs="宋体"/>
                <w:color w:val="auto"/>
                <w:sz w:val="21"/>
                <w:szCs w:val="21"/>
              </w:rPr>
              <w:t>注：提供项目组成员的执业资格证书、注册证书、职称证书及供应商为其缴纳的近三个月（投标截止之日往前推）的社会基本养老保险的缴纳凭证【凭证包括（其中之一均可）：1）该投标供应商经社保机构出具的缴费清单；2）由社保机构打印出具的缴纳凭证】，原件核查。</w:t>
            </w:r>
          </w:p>
        </w:tc>
        <w:tc>
          <w:tcPr>
            <w:tcW w:w="1548" w:type="dxa"/>
            <w:vMerge w:val="continue"/>
            <w:shd w:val="clear" w:color="auto" w:fill="auto"/>
            <w:vAlign w:val="center"/>
          </w:tcPr>
          <w:p w14:paraId="15BA449E">
            <w:pPr>
              <w:ind w:left="-84" w:leftChars="-30" w:firstLine="1"/>
              <w:jc w:val="center"/>
              <w:rPr>
                <w:rFonts w:ascii="宋体" w:hAnsi="宋体" w:cs="宋体"/>
                <w:color w:val="auto"/>
                <w:sz w:val="21"/>
                <w:szCs w:val="21"/>
              </w:rPr>
            </w:pPr>
          </w:p>
        </w:tc>
      </w:tr>
      <w:tr w14:paraId="6B401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Pr>
          <w:p w14:paraId="547049F8">
            <w:pPr>
              <w:spacing w:line="400" w:lineRule="exact"/>
              <w:jc w:val="left"/>
              <w:rPr>
                <w:rFonts w:ascii="宋体" w:hAnsi="宋体" w:cs="宋体"/>
                <w:bCs/>
                <w:color w:val="auto"/>
                <w:sz w:val="21"/>
                <w:szCs w:val="21"/>
              </w:rPr>
            </w:pPr>
            <w:r>
              <w:rPr>
                <w:rFonts w:hint="eastAsia" w:ascii="宋体" w:hAnsi="宋体" w:cs="宋体"/>
                <w:bCs/>
                <w:color w:val="auto"/>
                <w:sz w:val="21"/>
                <w:szCs w:val="21"/>
              </w:rPr>
              <w:t>三</w:t>
            </w:r>
          </w:p>
        </w:tc>
        <w:tc>
          <w:tcPr>
            <w:tcW w:w="8651" w:type="dxa"/>
            <w:gridSpan w:val="5"/>
          </w:tcPr>
          <w:p w14:paraId="2719C902">
            <w:pPr>
              <w:spacing w:line="400" w:lineRule="exact"/>
              <w:jc w:val="left"/>
              <w:rPr>
                <w:rFonts w:ascii="宋体" w:hAnsi="宋体" w:cs="宋体"/>
                <w:bCs/>
                <w:color w:val="auto"/>
                <w:sz w:val="21"/>
                <w:szCs w:val="21"/>
              </w:rPr>
            </w:pPr>
            <w:r>
              <w:rPr>
                <w:rFonts w:hint="eastAsia" w:ascii="宋体" w:hAnsi="宋体" w:cs="宋体"/>
                <w:b/>
                <w:color w:val="auto"/>
                <w:sz w:val="21"/>
                <w:szCs w:val="21"/>
              </w:rPr>
              <w:t>技术方案（36分）</w:t>
            </w:r>
          </w:p>
        </w:tc>
      </w:tr>
      <w:tr w14:paraId="518C0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Align w:val="center"/>
          </w:tcPr>
          <w:p w14:paraId="4DFB48FE">
            <w:pPr>
              <w:spacing w:line="400" w:lineRule="exact"/>
              <w:jc w:val="center"/>
              <w:rPr>
                <w:rFonts w:ascii="宋体" w:hAnsi="宋体" w:cs="宋体"/>
                <w:bCs/>
                <w:color w:val="auto"/>
                <w:sz w:val="21"/>
                <w:szCs w:val="21"/>
              </w:rPr>
            </w:pPr>
            <w:r>
              <w:rPr>
                <w:rFonts w:hint="eastAsia" w:ascii="宋体" w:hAnsi="宋体" w:cs="宋体"/>
                <w:bCs/>
                <w:color w:val="auto"/>
                <w:sz w:val="21"/>
                <w:szCs w:val="21"/>
              </w:rPr>
              <w:t>1</w:t>
            </w:r>
          </w:p>
        </w:tc>
        <w:tc>
          <w:tcPr>
            <w:tcW w:w="1203" w:type="dxa"/>
            <w:gridSpan w:val="2"/>
            <w:vAlign w:val="center"/>
          </w:tcPr>
          <w:p w14:paraId="6BC635BC">
            <w:pPr>
              <w:ind w:left="-30"/>
              <w:jc w:val="center"/>
              <w:rPr>
                <w:rFonts w:ascii="宋体" w:hAnsi="宋体" w:cs="宋体"/>
                <w:color w:val="auto"/>
                <w:sz w:val="21"/>
                <w:szCs w:val="21"/>
              </w:rPr>
            </w:pPr>
            <w:r>
              <w:rPr>
                <w:rFonts w:hint="eastAsia" w:ascii="宋体" w:hAnsi="宋体" w:cs="宋体"/>
                <w:color w:val="auto"/>
                <w:sz w:val="21"/>
                <w:szCs w:val="21"/>
              </w:rPr>
              <w:t>项目实施大纲</w:t>
            </w:r>
          </w:p>
        </w:tc>
        <w:tc>
          <w:tcPr>
            <w:tcW w:w="846" w:type="dxa"/>
            <w:vAlign w:val="center"/>
          </w:tcPr>
          <w:p w14:paraId="76BF2863">
            <w:pPr>
              <w:ind w:left="-30"/>
              <w:jc w:val="center"/>
              <w:rPr>
                <w:rFonts w:ascii="宋体" w:hAnsi="宋体" w:cs="宋体"/>
                <w:bCs/>
                <w:color w:val="auto"/>
                <w:sz w:val="21"/>
                <w:szCs w:val="21"/>
              </w:rPr>
            </w:pPr>
            <w:r>
              <w:rPr>
                <w:rFonts w:hint="eastAsia" w:ascii="宋体" w:hAnsi="宋体" w:cs="宋体"/>
                <w:bCs/>
                <w:color w:val="auto"/>
                <w:sz w:val="21"/>
                <w:szCs w:val="21"/>
              </w:rPr>
              <w:t>12分</w:t>
            </w:r>
          </w:p>
        </w:tc>
        <w:tc>
          <w:tcPr>
            <w:tcW w:w="5054" w:type="dxa"/>
            <w:vAlign w:val="center"/>
          </w:tcPr>
          <w:p w14:paraId="2F4F00E9">
            <w:pPr>
              <w:ind w:left="-30"/>
              <w:rPr>
                <w:rFonts w:ascii="宋体" w:hAnsi="宋体" w:cs="宋体"/>
                <w:color w:val="auto"/>
                <w:sz w:val="21"/>
                <w:szCs w:val="21"/>
              </w:rPr>
            </w:pPr>
            <w:r>
              <w:rPr>
                <w:rFonts w:hint="eastAsia" w:ascii="宋体" w:hAnsi="宋体" w:cs="宋体"/>
                <w:color w:val="auto"/>
                <w:sz w:val="21"/>
                <w:szCs w:val="21"/>
              </w:rPr>
              <w:t>（1）体现工程造价项目审计的基本要求，思路清晰、内容完整：思路清晰、目标明确、针对性强的得3分；思路一般、目标基本明确、针对性一般的得2分；思路较差、目标不清、针对性弱的，得1分，未提供不得分。</w:t>
            </w:r>
          </w:p>
          <w:p w14:paraId="7314B929">
            <w:pPr>
              <w:ind w:left="-30"/>
              <w:rPr>
                <w:rFonts w:ascii="宋体" w:hAnsi="宋体" w:cs="宋体"/>
                <w:color w:val="auto"/>
                <w:sz w:val="21"/>
                <w:szCs w:val="21"/>
              </w:rPr>
            </w:pPr>
            <w:r>
              <w:rPr>
                <w:rFonts w:hint="eastAsia" w:ascii="宋体" w:hAnsi="宋体" w:cs="宋体"/>
                <w:color w:val="auto"/>
                <w:sz w:val="21"/>
                <w:szCs w:val="21"/>
              </w:rPr>
              <w:t>（2）明确审计目标，突出审计重点：目标明确、针对性强的得3分；目标基本明确、针对性一般的得2分；工作方案内容不全，针对性弱的，得1分，未提供不得分。</w:t>
            </w:r>
          </w:p>
          <w:p w14:paraId="341ABF01">
            <w:pPr>
              <w:widowControl/>
              <w:spacing w:line="300" w:lineRule="exact"/>
              <w:rPr>
                <w:rFonts w:ascii="宋体" w:hAnsi="宋体" w:cs="宋体"/>
                <w:color w:val="auto"/>
                <w:sz w:val="21"/>
                <w:szCs w:val="21"/>
              </w:rPr>
            </w:pPr>
            <w:r>
              <w:rPr>
                <w:rFonts w:hint="eastAsia" w:ascii="宋体" w:hAnsi="宋体" w:cs="宋体"/>
                <w:color w:val="auto"/>
                <w:sz w:val="21"/>
                <w:szCs w:val="21"/>
              </w:rPr>
              <w:t>（3）针对被审计项目的专业特点具体策划，提出措施：</w:t>
            </w:r>
            <w:r>
              <w:rPr>
                <w:rFonts w:hint="eastAsia" w:ascii="宋体" w:hAnsi="宋体" w:cs="宋体"/>
                <w:color w:val="auto"/>
                <w:kern w:val="0"/>
                <w:sz w:val="21"/>
                <w:szCs w:val="21"/>
              </w:rPr>
              <w:t>方案编制完整，针对性强，得3分；方案编制较完整，针对性一般，得2分；方案编制较完整性一般，针对性不强，得1分；未提供不得分。</w:t>
            </w:r>
          </w:p>
          <w:p w14:paraId="5C1190BB">
            <w:pPr>
              <w:widowControl/>
              <w:spacing w:line="300" w:lineRule="exact"/>
              <w:rPr>
                <w:rFonts w:ascii="宋体" w:hAnsi="宋体" w:cs="宋体"/>
                <w:color w:val="auto"/>
                <w:sz w:val="21"/>
                <w:szCs w:val="21"/>
              </w:rPr>
            </w:pPr>
            <w:r>
              <w:rPr>
                <w:rFonts w:hint="eastAsia" w:ascii="宋体" w:hAnsi="宋体" w:cs="宋体"/>
                <w:color w:val="auto"/>
                <w:sz w:val="21"/>
                <w:szCs w:val="21"/>
              </w:rPr>
              <w:t>（4）有反映审计成果的具体举措：</w:t>
            </w:r>
            <w:r>
              <w:rPr>
                <w:rFonts w:hint="eastAsia" w:ascii="宋体" w:hAnsi="宋体" w:cs="宋体"/>
                <w:color w:val="auto"/>
                <w:kern w:val="0"/>
                <w:sz w:val="21"/>
                <w:szCs w:val="21"/>
              </w:rPr>
              <w:t>方案编制完整，针对性强，得3分；方案编制较完整，针对性一般，得2分；方案编制较完整性一般，针对性不强，得1分；未提供不得分。</w:t>
            </w:r>
          </w:p>
        </w:tc>
        <w:tc>
          <w:tcPr>
            <w:tcW w:w="1548" w:type="dxa"/>
          </w:tcPr>
          <w:p w14:paraId="4B018B54">
            <w:pPr>
              <w:spacing w:line="400" w:lineRule="exact"/>
              <w:jc w:val="left"/>
              <w:rPr>
                <w:rFonts w:ascii="宋体" w:hAnsi="宋体" w:cs="宋体"/>
                <w:bCs/>
                <w:color w:val="auto"/>
                <w:sz w:val="21"/>
                <w:szCs w:val="21"/>
              </w:rPr>
            </w:pPr>
          </w:p>
        </w:tc>
      </w:tr>
      <w:tr w14:paraId="78215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Align w:val="center"/>
          </w:tcPr>
          <w:p w14:paraId="61F5253F">
            <w:pPr>
              <w:spacing w:line="400" w:lineRule="exact"/>
              <w:jc w:val="center"/>
              <w:rPr>
                <w:rFonts w:ascii="宋体" w:hAnsi="宋体" w:cs="宋体"/>
                <w:bCs/>
                <w:color w:val="auto"/>
                <w:sz w:val="21"/>
                <w:szCs w:val="21"/>
              </w:rPr>
            </w:pPr>
            <w:r>
              <w:rPr>
                <w:rFonts w:hint="eastAsia" w:ascii="宋体" w:hAnsi="宋体" w:cs="宋体"/>
                <w:bCs/>
                <w:color w:val="auto"/>
                <w:sz w:val="21"/>
                <w:szCs w:val="21"/>
              </w:rPr>
              <w:t>2</w:t>
            </w:r>
          </w:p>
        </w:tc>
        <w:tc>
          <w:tcPr>
            <w:tcW w:w="1203" w:type="dxa"/>
            <w:gridSpan w:val="2"/>
            <w:vAlign w:val="center"/>
          </w:tcPr>
          <w:p w14:paraId="4CF7F4C8">
            <w:pPr>
              <w:spacing w:line="400" w:lineRule="exact"/>
              <w:jc w:val="center"/>
              <w:rPr>
                <w:rFonts w:ascii="宋体" w:hAnsi="宋体" w:cs="宋体"/>
                <w:bCs/>
                <w:color w:val="auto"/>
                <w:sz w:val="21"/>
                <w:szCs w:val="21"/>
              </w:rPr>
            </w:pPr>
            <w:r>
              <w:rPr>
                <w:rFonts w:hint="eastAsia" w:ascii="宋体" w:hAnsi="宋体" w:cs="宋体"/>
                <w:color w:val="auto"/>
                <w:kern w:val="0"/>
                <w:sz w:val="21"/>
                <w:szCs w:val="21"/>
              </w:rPr>
              <w:t>造价咨询应发挥的作用</w:t>
            </w:r>
          </w:p>
        </w:tc>
        <w:tc>
          <w:tcPr>
            <w:tcW w:w="846" w:type="dxa"/>
            <w:vAlign w:val="center"/>
          </w:tcPr>
          <w:p w14:paraId="0DE0BB71">
            <w:pPr>
              <w:spacing w:line="400" w:lineRule="exact"/>
              <w:jc w:val="center"/>
              <w:rPr>
                <w:rFonts w:ascii="宋体" w:hAnsi="宋体" w:cs="宋体"/>
                <w:bCs/>
                <w:color w:val="auto"/>
                <w:sz w:val="21"/>
                <w:szCs w:val="21"/>
              </w:rPr>
            </w:pPr>
            <w:r>
              <w:rPr>
                <w:rFonts w:hint="eastAsia" w:ascii="宋体" w:hAnsi="宋体" w:cs="宋体"/>
                <w:bCs/>
                <w:color w:val="auto"/>
                <w:sz w:val="21"/>
                <w:szCs w:val="21"/>
              </w:rPr>
              <w:t>12分</w:t>
            </w:r>
          </w:p>
        </w:tc>
        <w:tc>
          <w:tcPr>
            <w:tcW w:w="5054" w:type="dxa"/>
          </w:tcPr>
          <w:p w14:paraId="463ADCB8">
            <w:pPr>
              <w:widowControl/>
              <w:spacing w:line="300" w:lineRule="exact"/>
              <w:rPr>
                <w:rFonts w:ascii="宋体" w:hAnsi="宋体" w:cs="宋体"/>
                <w:color w:val="auto"/>
                <w:kern w:val="0"/>
                <w:sz w:val="21"/>
                <w:szCs w:val="21"/>
              </w:rPr>
            </w:pPr>
            <w:r>
              <w:rPr>
                <w:rFonts w:hint="eastAsia" w:ascii="宋体" w:hAnsi="宋体" w:cs="宋体"/>
                <w:color w:val="auto"/>
                <w:kern w:val="0"/>
                <w:sz w:val="21"/>
                <w:szCs w:val="21"/>
              </w:rPr>
              <w:t>（1）对建设项目工程造价咨询有总体思路或设想，熟悉建设项目的各个建设环节，概念清晰：</w:t>
            </w:r>
            <w:r>
              <w:rPr>
                <w:rFonts w:hint="eastAsia" w:ascii="宋体" w:hAnsi="宋体" w:cs="宋体"/>
                <w:color w:val="auto"/>
                <w:sz w:val="21"/>
                <w:szCs w:val="21"/>
              </w:rPr>
              <w:t>思路清晰、目标明确、针对性强的得3分；思路一般、目标基本明确、针对性一般的得2分；思路较差、针对性弱的，得1分，未提供不得分。</w:t>
            </w:r>
          </w:p>
          <w:p w14:paraId="7721FD1B">
            <w:pPr>
              <w:widowControl/>
              <w:spacing w:line="300" w:lineRule="exact"/>
              <w:rPr>
                <w:rFonts w:ascii="宋体" w:hAnsi="宋体" w:cs="宋体"/>
                <w:color w:val="auto"/>
                <w:kern w:val="0"/>
                <w:sz w:val="21"/>
                <w:szCs w:val="21"/>
              </w:rPr>
            </w:pPr>
            <w:r>
              <w:rPr>
                <w:rFonts w:hint="eastAsia" w:ascii="宋体" w:hAnsi="宋体" w:cs="宋体"/>
                <w:color w:val="auto"/>
                <w:kern w:val="0"/>
                <w:sz w:val="21"/>
                <w:szCs w:val="21"/>
              </w:rPr>
              <w:t>（2）工程造价咨询工作标准与具体要求：内容具体，针对性强，切实可行，得3分；内容一般，针对性一般的，得2分；内容缺项，可行性差，得1分；未提供不得分。</w:t>
            </w:r>
          </w:p>
          <w:p w14:paraId="73CE5624">
            <w:pPr>
              <w:widowControl/>
              <w:spacing w:line="300" w:lineRule="exact"/>
              <w:rPr>
                <w:rFonts w:ascii="宋体" w:hAnsi="宋体" w:cs="宋体"/>
                <w:color w:val="auto"/>
                <w:kern w:val="0"/>
                <w:sz w:val="21"/>
                <w:szCs w:val="21"/>
              </w:rPr>
            </w:pPr>
            <w:r>
              <w:rPr>
                <w:rFonts w:hint="eastAsia" w:ascii="宋体" w:hAnsi="宋体" w:cs="宋体"/>
                <w:color w:val="auto"/>
                <w:kern w:val="0"/>
                <w:sz w:val="21"/>
                <w:szCs w:val="21"/>
              </w:rPr>
              <w:t>（3）有强化项目招投标及合同管理，控制工程投资等方面内容：内容具体，针对性强，切实可行，得2分；内容一般，针对性一般的，得1分；内容缺项，可行性差，得0.5分；未提供不得分。</w:t>
            </w:r>
          </w:p>
          <w:p w14:paraId="680037EF">
            <w:pPr>
              <w:widowControl/>
              <w:spacing w:line="300" w:lineRule="exact"/>
              <w:rPr>
                <w:rFonts w:ascii="宋体" w:hAnsi="宋体" w:cs="宋体"/>
                <w:b/>
                <w:bCs/>
                <w:color w:val="auto"/>
                <w:kern w:val="0"/>
                <w:sz w:val="21"/>
                <w:szCs w:val="21"/>
              </w:rPr>
            </w:pPr>
            <w:r>
              <w:rPr>
                <w:rFonts w:hint="eastAsia" w:ascii="宋体" w:hAnsi="宋体" w:cs="宋体"/>
                <w:color w:val="auto"/>
                <w:kern w:val="0"/>
                <w:sz w:val="21"/>
                <w:szCs w:val="21"/>
              </w:rPr>
              <w:t>（4）有完善项目设计，减少设计变更，提高设计质量方面内容：内容具体，针对性强，切实可行，得2分；内容一般，针对性一般的，得1分；内容缺项，可行性差，得0.5分；未提供不得分。</w:t>
            </w:r>
          </w:p>
          <w:p w14:paraId="15124BA4">
            <w:pPr>
              <w:widowControl/>
              <w:spacing w:line="300" w:lineRule="exact"/>
              <w:rPr>
                <w:rFonts w:ascii="宋体" w:hAnsi="宋体" w:cs="宋体"/>
                <w:bCs/>
                <w:color w:val="auto"/>
                <w:sz w:val="21"/>
                <w:szCs w:val="21"/>
              </w:rPr>
            </w:pPr>
            <w:r>
              <w:rPr>
                <w:rFonts w:hint="eastAsia" w:ascii="宋体" w:hAnsi="宋体" w:cs="宋体"/>
                <w:color w:val="auto"/>
                <w:kern w:val="0"/>
                <w:sz w:val="21"/>
                <w:szCs w:val="21"/>
              </w:rPr>
              <w:t>（5）有推进材料比价招标，择优选择材料供应商方面内容：内容具体，针对性强，切实可行，得2分；内容一般，针对性一般的，得1分；内容缺项，可行性差，得0.5分；未提供不得分。</w:t>
            </w:r>
          </w:p>
        </w:tc>
        <w:tc>
          <w:tcPr>
            <w:tcW w:w="1548" w:type="dxa"/>
          </w:tcPr>
          <w:p w14:paraId="199985CB">
            <w:pPr>
              <w:spacing w:line="400" w:lineRule="exact"/>
              <w:jc w:val="left"/>
              <w:rPr>
                <w:rFonts w:ascii="宋体" w:hAnsi="宋体" w:cs="宋体"/>
                <w:bCs/>
                <w:color w:val="auto"/>
                <w:sz w:val="21"/>
                <w:szCs w:val="21"/>
              </w:rPr>
            </w:pPr>
          </w:p>
        </w:tc>
      </w:tr>
      <w:tr w14:paraId="0DDEC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Align w:val="center"/>
          </w:tcPr>
          <w:p w14:paraId="69B4E5C7">
            <w:pPr>
              <w:spacing w:line="400" w:lineRule="exact"/>
              <w:jc w:val="center"/>
              <w:rPr>
                <w:rFonts w:ascii="宋体" w:hAnsi="宋体" w:cs="宋体"/>
                <w:bCs/>
                <w:color w:val="auto"/>
                <w:sz w:val="21"/>
                <w:szCs w:val="21"/>
              </w:rPr>
            </w:pPr>
            <w:r>
              <w:rPr>
                <w:rFonts w:hint="eastAsia" w:ascii="宋体" w:hAnsi="宋体" w:cs="宋体"/>
                <w:bCs/>
                <w:color w:val="auto"/>
                <w:sz w:val="21"/>
                <w:szCs w:val="21"/>
              </w:rPr>
              <w:t>3</w:t>
            </w:r>
          </w:p>
        </w:tc>
        <w:tc>
          <w:tcPr>
            <w:tcW w:w="1203" w:type="dxa"/>
            <w:gridSpan w:val="2"/>
            <w:vAlign w:val="center"/>
          </w:tcPr>
          <w:p w14:paraId="03A4E7BE">
            <w:pPr>
              <w:spacing w:line="400" w:lineRule="exact"/>
              <w:jc w:val="center"/>
              <w:rPr>
                <w:rFonts w:ascii="宋体" w:hAnsi="宋体" w:cs="宋体"/>
                <w:bCs/>
                <w:color w:val="auto"/>
                <w:sz w:val="21"/>
                <w:szCs w:val="21"/>
              </w:rPr>
            </w:pPr>
            <w:r>
              <w:rPr>
                <w:rFonts w:hint="eastAsia" w:ascii="宋体" w:hAnsi="宋体" w:cs="宋体"/>
                <w:color w:val="auto"/>
                <w:kern w:val="0"/>
                <w:sz w:val="21"/>
                <w:szCs w:val="21"/>
              </w:rPr>
              <w:t>造价咨询质量控制制度</w:t>
            </w:r>
          </w:p>
        </w:tc>
        <w:tc>
          <w:tcPr>
            <w:tcW w:w="846" w:type="dxa"/>
            <w:vAlign w:val="center"/>
          </w:tcPr>
          <w:p w14:paraId="64E7FEE8">
            <w:pPr>
              <w:spacing w:line="400" w:lineRule="exact"/>
              <w:jc w:val="center"/>
              <w:rPr>
                <w:rFonts w:ascii="宋体" w:hAnsi="宋体" w:cs="宋体"/>
                <w:bCs/>
                <w:color w:val="auto"/>
                <w:sz w:val="21"/>
                <w:szCs w:val="21"/>
              </w:rPr>
            </w:pPr>
            <w:r>
              <w:rPr>
                <w:rFonts w:hint="eastAsia" w:ascii="宋体" w:hAnsi="宋体" w:cs="宋体"/>
                <w:bCs/>
                <w:color w:val="auto"/>
                <w:sz w:val="21"/>
                <w:szCs w:val="21"/>
              </w:rPr>
              <w:t>12分</w:t>
            </w:r>
          </w:p>
        </w:tc>
        <w:tc>
          <w:tcPr>
            <w:tcW w:w="5054" w:type="dxa"/>
          </w:tcPr>
          <w:p w14:paraId="1E98F630">
            <w:pPr>
              <w:widowControl/>
              <w:spacing w:line="300" w:lineRule="exact"/>
              <w:rPr>
                <w:rFonts w:ascii="宋体" w:hAnsi="宋体" w:cs="宋体"/>
                <w:color w:val="auto"/>
                <w:kern w:val="0"/>
                <w:sz w:val="21"/>
                <w:szCs w:val="21"/>
              </w:rPr>
            </w:pPr>
            <w:r>
              <w:rPr>
                <w:rFonts w:hint="eastAsia" w:ascii="宋体" w:hAnsi="宋体" w:cs="宋体"/>
                <w:color w:val="auto"/>
                <w:kern w:val="0"/>
                <w:sz w:val="21"/>
                <w:szCs w:val="21"/>
              </w:rPr>
              <w:t>（1）有较为完善的企业内部控制制度：编制完整，针对性强，得3分；编制较完整，针对性一般，得2分；编制较完整性一般，针对性不强，得1分；未提供不得分。</w:t>
            </w:r>
          </w:p>
          <w:p w14:paraId="18E68E61">
            <w:pPr>
              <w:widowControl/>
              <w:spacing w:line="300" w:lineRule="exact"/>
              <w:rPr>
                <w:rFonts w:ascii="宋体" w:hAnsi="宋体" w:cs="宋体"/>
                <w:color w:val="auto"/>
                <w:kern w:val="0"/>
                <w:sz w:val="21"/>
                <w:szCs w:val="21"/>
              </w:rPr>
            </w:pPr>
            <w:r>
              <w:rPr>
                <w:rFonts w:hint="eastAsia" w:ascii="宋体" w:hAnsi="宋体" w:cs="宋体"/>
                <w:color w:val="auto"/>
                <w:kern w:val="0"/>
                <w:sz w:val="21"/>
                <w:szCs w:val="21"/>
              </w:rPr>
              <w:t>（2）有为配合审计正常进行的保障措施和内部考核制度：方案编制完整，针对性强，得3分；方案编制较完整，针对性一般，得2分；方案编制较完整性一般，针对性不强，得1分；未提供不得分。</w:t>
            </w:r>
          </w:p>
          <w:p w14:paraId="1FEA9FD8">
            <w:pPr>
              <w:widowControl/>
              <w:spacing w:line="300" w:lineRule="exact"/>
              <w:rPr>
                <w:rFonts w:ascii="宋体" w:hAnsi="宋体" w:cs="宋体"/>
                <w:color w:val="auto"/>
                <w:kern w:val="0"/>
                <w:sz w:val="21"/>
                <w:szCs w:val="21"/>
              </w:rPr>
            </w:pPr>
            <w:r>
              <w:rPr>
                <w:rFonts w:hint="eastAsia" w:ascii="宋体" w:hAnsi="宋体" w:cs="宋体"/>
                <w:color w:val="auto"/>
                <w:kern w:val="0"/>
                <w:sz w:val="21"/>
                <w:szCs w:val="21"/>
              </w:rPr>
              <w:t>（3）针对本项目，有清晰明了、沟通顺畅的协调机制：方案编制完整，针对性强，得2分；方案编制较完整，针对性一般，得1分；方案编制较完整性一般，针对性不强，得0.5分；未提供不得分。</w:t>
            </w:r>
          </w:p>
          <w:p w14:paraId="7DF08ED5">
            <w:pPr>
              <w:widowControl/>
              <w:spacing w:line="300" w:lineRule="exact"/>
              <w:rPr>
                <w:rFonts w:ascii="宋体" w:hAnsi="宋体" w:cs="宋体"/>
                <w:color w:val="auto"/>
                <w:kern w:val="0"/>
                <w:sz w:val="21"/>
                <w:szCs w:val="21"/>
              </w:rPr>
            </w:pPr>
            <w:r>
              <w:rPr>
                <w:rFonts w:hint="eastAsia" w:ascii="宋体" w:hAnsi="宋体" w:cs="宋体"/>
                <w:color w:val="auto"/>
                <w:kern w:val="0"/>
                <w:sz w:val="21"/>
                <w:szCs w:val="21"/>
              </w:rPr>
              <w:t>（4）有为项目实施过程中突发事件的处理机制与预案：方案编制完整，针对性强，得2分；方案编制较完整，针对性一般，得1分；方案编制较完整性一般，针对性不强，得0.5分；未提供不得分。</w:t>
            </w:r>
          </w:p>
          <w:p w14:paraId="716DB4EA">
            <w:pPr>
              <w:widowControl/>
              <w:spacing w:line="300" w:lineRule="exact"/>
              <w:rPr>
                <w:rFonts w:ascii="宋体" w:hAnsi="宋体" w:cs="宋体"/>
                <w:bCs/>
                <w:color w:val="auto"/>
                <w:sz w:val="21"/>
                <w:szCs w:val="21"/>
              </w:rPr>
            </w:pPr>
            <w:r>
              <w:rPr>
                <w:rFonts w:hint="eastAsia" w:ascii="宋体" w:hAnsi="宋体" w:cs="宋体"/>
                <w:color w:val="auto"/>
                <w:kern w:val="0"/>
                <w:sz w:val="21"/>
                <w:szCs w:val="21"/>
              </w:rPr>
              <w:t>（5）有日常审计资料的归集措施，方案编制完整：针对性强，得2分；方案编制较完整，针对性一般，得1分；方案编制较完整性一般，针对性不强，得0.5分；未提供不得分。</w:t>
            </w:r>
          </w:p>
        </w:tc>
        <w:tc>
          <w:tcPr>
            <w:tcW w:w="1548" w:type="dxa"/>
          </w:tcPr>
          <w:p w14:paraId="60B58D64">
            <w:pPr>
              <w:spacing w:line="400" w:lineRule="exact"/>
              <w:jc w:val="left"/>
              <w:rPr>
                <w:rFonts w:ascii="宋体" w:hAnsi="宋体" w:cs="宋体"/>
                <w:bCs/>
                <w:color w:val="auto"/>
                <w:sz w:val="21"/>
                <w:szCs w:val="21"/>
              </w:rPr>
            </w:pPr>
          </w:p>
        </w:tc>
      </w:tr>
      <w:tr w14:paraId="02596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Pr>
          <w:p w14:paraId="0F775DF4">
            <w:pPr>
              <w:spacing w:line="400" w:lineRule="exact"/>
              <w:jc w:val="left"/>
              <w:rPr>
                <w:rFonts w:ascii="宋体" w:hAnsi="宋体" w:cs="宋体"/>
                <w:bCs/>
                <w:color w:val="auto"/>
                <w:sz w:val="21"/>
                <w:szCs w:val="21"/>
              </w:rPr>
            </w:pPr>
            <w:r>
              <w:rPr>
                <w:rFonts w:hint="eastAsia" w:ascii="宋体" w:hAnsi="宋体" w:cs="宋体"/>
                <w:bCs/>
                <w:color w:val="auto"/>
                <w:sz w:val="21"/>
                <w:szCs w:val="21"/>
              </w:rPr>
              <w:t>四</w:t>
            </w:r>
          </w:p>
        </w:tc>
        <w:tc>
          <w:tcPr>
            <w:tcW w:w="8651" w:type="dxa"/>
            <w:gridSpan w:val="5"/>
          </w:tcPr>
          <w:p w14:paraId="3A1C4253">
            <w:pPr>
              <w:spacing w:line="400" w:lineRule="exact"/>
              <w:jc w:val="left"/>
              <w:rPr>
                <w:rFonts w:ascii="宋体" w:hAnsi="宋体" w:cs="宋体"/>
                <w:bCs/>
                <w:color w:val="auto"/>
                <w:sz w:val="21"/>
                <w:szCs w:val="21"/>
              </w:rPr>
            </w:pPr>
            <w:r>
              <w:rPr>
                <w:rFonts w:hint="eastAsia" w:ascii="宋体" w:hAnsi="宋体" w:cs="宋体"/>
                <w:b/>
                <w:bCs/>
                <w:color w:val="auto"/>
                <w:sz w:val="21"/>
                <w:szCs w:val="21"/>
              </w:rPr>
              <w:t>履约服务承诺（2分）</w:t>
            </w:r>
          </w:p>
        </w:tc>
      </w:tr>
      <w:tr w14:paraId="26D0C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Align w:val="center"/>
          </w:tcPr>
          <w:p w14:paraId="5A462B1E">
            <w:pPr>
              <w:spacing w:line="400" w:lineRule="exact"/>
              <w:jc w:val="center"/>
              <w:rPr>
                <w:rFonts w:ascii="宋体" w:hAnsi="宋体" w:cs="宋体"/>
                <w:bCs/>
                <w:color w:val="auto"/>
                <w:sz w:val="21"/>
                <w:szCs w:val="21"/>
              </w:rPr>
            </w:pPr>
            <w:r>
              <w:rPr>
                <w:rFonts w:hint="eastAsia" w:ascii="宋体" w:hAnsi="宋体" w:cs="宋体"/>
                <w:bCs/>
                <w:color w:val="auto"/>
                <w:sz w:val="21"/>
                <w:szCs w:val="21"/>
              </w:rPr>
              <w:t>1</w:t>
            </w:r>
          </w:p>
        </w:tc>
        <w:tc>
          <w:tcPr>
            <w:tcW w:w="1203" w:type="dxa"/>
            <w:gridSpan w:val="2"/>
            <w:vAlign w:val="center"/>
          </w:tcPr>
          <w:p w14:paraId="1FD4A2EE">
            <w:pPr>
              <w:ind w:left="-30"/>
              <w:jc w:val="center"/>
              <w:rPr>
                <w:rFonts w:ascii="宋体" w:hAnsi="宋体" w:cs="宋体"/>
                <w:bCs/>
                <w:color w:val="auto"/>
                <w:sz w:val="21"/>
                <w:szCs w:val="21"/>
              </w:rPr>
            </w:pPr>
            <w:r>
              <w:rPr>
                <w:rFonts w:hint="eastAsia" w:ascii="宋体" w:hAnsi="宋体" w:cs="宋体"/>
                <w:color w:val="auto"/>
                <w:sz w:val="21"/>
                <w:szCs w:val="21"/>
              </w:rPr>
              <w:t>各项履约服务的承诺</w:t>
            </w:r>
          </w:p>
        </w:tc>
        <w:tc>
          <w:tcPr>
            <w:tcW w:w="846" w:type="dxa"/>
            <w:vAlign w:val="center"/>
          </w:tcPr>
          <w:p w14:paraId="6EF36B10">
            <w:pPr>
              <w:ind w:left="-30"/>
              <w:jc w:val="center"/>
              <w:rPr>
                <w:rFonts w:ascii="宋体" w:hAnsi="宋体" w:cs="宋体"/>
                <w:color w:val="auto"/>
                <w:sz w:val="21"/>
                <w:szCs w:val="21"/>
              </w:rPr>
            </w:pPr>
            <w:r>
              <w:rPr>
                <w:rFonts w:hint="eastAsia" w:ascii="宋体" w:hAnsi="宋体" w:cs="宋体"/>
                <w:color w:val="auto"/>
                <w:sz w:val="21"/>
                <w:szCs w:val="21"/>
              </w:rPr>
              <w:t>2分</w:t>
            </w:r>
          </w:p>
        </w:tc>
        <w:tc>
          <w:tcPr>
            <w:tcW w:w="5054" w:type="dxa"/>
            <w:vAlign w:val="center"/>
          </w:tcPr>
          <w:p w14:paraId="7B9C35C6">
            <w:pPr>
              <w:ind w:left="-30"/>
              <w:rPr>
                <w:rFonts w:ascii="宋体" w:hAnsi="宋体" w:cs="宋体"/>
                <w:color w:val="auto"/>
                <w:sz w:val="21"/>
                <w:szCs w:val="21"/>
              </w:rPr>
            </w:pPr>
            <w:r>
              <w:rPr>
                <w:rFonts w:hint="eastAsia" w:ascii="宋体" w:hAnsi="宋体" w:cs="宋体"/>
                <w:color w:val="auto"/>
                <w:sz w:val="21"/>
                <w:szCs w:val="21"/>
              </w:rPr>
              <w:t>承诺磋商文件中的各项履约服务要求，服务过程中恪守独立、公平、公正、保密原则，按规定时间节点完成相关工作任务，无保留条件的得2分。提供承诺函原件，未按上述要求提供承诺函原件的不得分。</w:t>
            </w:r>
          </w:p>
        </w:tc>
        <w:tc>
          <w:tcPr>
            <w:tcW w:w="1548" w:type="dxa"/>
          </w:tcPr>
          <w:p w14:paraId="2542C8FA">
            <w:pPr>
              <w:spacing w:line="400" w:lineRule="exact"/>
              <w:jc w:val="left"/>
              <w:rPr>
                <w:rFonts w:ascii="宋体" w:hAnsi="宋体" w:cs="宋体"/>
                <w:bCs/>
                <w:color w:val="auto"/>
                <w:sz w:val="21"/>
                <w:szCs w:val="21"/>
              </w:rPr>
            </w:pPr>
          </w:p>
        </w:tc>
      </w:tr>
    </w:tbl>
    <w:p w14:paraId="52E2516C">
      <w:pPr>
        <w:keepNext/>
        <w:keepLines/>
        <w:numPr>
          <w:ilvl w:val="2"/>
          <w:numId w:val="0"/>
        </w:numPr>
        <w:tabs>
          <w:tab w:val="left" w:pos="0"/>
        </w:tabs>
        <w:spacing w:line="390" w:lineRule="exact"/>
        <w:rPr>
          <w:rFonts w:ascii="宋体" w:hAnsi="宋体" w:cs="宋体"/>
          <w:color w:val="auto"/>
          <w:sz w:val="21"/>
          <w:szCs w:val="21"/>
        </w:rPr>
      </w:pPr>
    </w:p>
    <w:p w14:paraId="494B0F6E">
      <w:pPr>
        <w:keepNext/>
        <w:keepLines/>
        <w:numPr>
          <w:ilvl w:val="2"/>
          <w:numId w:val="0"/>
        </w:numPr>
        <w:tabs>
          <w:tab w:val="left" w:pos="0"/>
        </w:tabs>
        <w:spacing w:line="390" w:lineRule="exact"/>
        <w:rPr>
          <w:rFonts w:ascii="宋体" w:hAnsi="宋体" w:cs="宋体"/>
          <w:color w:val="auto"/>
          <w:sz w:val="21"/>
          <w:szCs w:val="21"/>
        </w:rPr>
      </w:pPr>
      <w:r>
        <w:rPr>
          <w:rFonts w:hint="eastAsia" w:ascii="宋体" w:hAnsi="宋体" w:cs="宋体"/>
          <w:color w:val="auto"/>
          <w:sz w:val="21"/>
          <w:szCs w:val="21"/>
        </w:rPr>
        <w:t>注：</w:t>
      </w:r>
    </w:p>
    <w:p w14:paraId="6A470040">
      <w:pPr>
        <w:spacing w:line="360" w:lineRule="auto"/>
        <w:ind w:firstLine="420" w:firstLineChars="200"/>
        <w:rPr>
          <w:rFonts w:ascii="宋体" w:hAnsi="宋体" w:cs="宋体"/>
          <w:color w:val="auto"/>
          <w:sz w:val="21"/>
          <w:szCs w:val="21"/>
        </w:rPr>
      </w:pPr>
      <w:r>
        <w:rPr>
          <w:rFonts w:hint="eastAsia" w:ascii="宋体" w:hAnsi="宋体" w:cs="宋体"/>
          <w:color w:val="auto"/>
          <w:sz w:val="21"/>
          <w:szCs w:val="21"/>
        </w:rPr>
        <w:t>1.进场时，若有服务未能满足磋商文件要求，须无条件按采购人及磋商文件要求整改，否则采购人有权解除合同并没收履约保证金，同时追究中标人因此造成的损失。</w:t>
      </w:r>
    </w:p>
    <w:p w14:paraId="2D24230E">
      <w:pPr>
        <w:spacing w:line="360" w:lineRule="auto"/>
        <w:ind w:firstLine="420" w:firstLineChars="200"/>
        <w:rPr>
          <w:rFonts w:ascii="宋体" w:hAnsi="宋体" w:cs="宋体"/>
          <w:color w:val="auto"/>
          <w:sz w:val="21"/>
          <w:szCs w:val="21"/>
        </w:rPr>
      </w:pPr>
      <w:r>
        <w:rPr>
          <w:rFonts w:hint="eastAsia" w:ascii="宋体" w:hAnsi="宋体" w:cs="宋体"/>
          <w:color w:val="auto"/>
          <w:sz w:val="21"/>
          <w:szCs w:val="21"/>
        </w:rPr>
        <w:t>2.评分细则中要求提供的证明文件及资料等在响应文件中提供复印件，要求“原件核查”的须在投标截止前将相关原件（或公证件）随同响应文件一并提交以供评委会核查，过时不予接收。</w:t>
      </w:r>
    </w:p>
    <w:p w14:paraId="732FE72A">
      <w:pPr>
        <w:spacing w:line="360" w:lineRule="auto"/>
        <w:ind w:firstLine="411" w:firstLineChars="196"/>
        <w:rPr>
          <w:rFonts w:ascii="宋体" w:hAnsi="宋体" w:cs="宋体"/>
          <w:color w:val="auto"/>
          <w:sz w:val="21"/>
          <w:szCs w:val="21"/>
        </w:rPr>
      </w:pPr>
      <w:r>
        <w:rPr>
          <w:rFonts w:hint="eastAsia" w:ascii="宋体" w:hAnsi="宋体" w:cs="宋体"/>
          <w:color w:val="auto"/>
          <w:sz w:val="21"/>
          <w:szCs w:val="21"/>
        </w:rPr>
        <w:t>3.评标时，未能按以上要求提供相应证明（复印件和原件、公证件）的，不作为评标依据，不得分。</w:t>
      </w:r>
    </w:p>
    <w:p w14:paraId="7C8F5C7B">
      <w:pPr>
        <w:spacing w:line="360" w:lineRule="auto"/>
        <w:ind w:firstLine="420" w:firstLineChars="200"/>
        <w:rPr>
          <w:rFonts w:ascii="宋体" w:hAnsi="宋体" w:cs="宋体"/>
          <w:color w:val="auto"/>
          <w:sz w:val="21"/>
          <w:szCs w:val="21"/>
        </w:rPr>
      </w:pPr>
      <w:r>
        <w:rPr>
          <w:rFonts w:hint="eastAsia" w:ascii="宋体" w:hAnsi="宋体" w:cs="宋体"/>
          <w:color w:val="auto"/>
          <w:sz w:val="21"/>
          <w:szCs w:val="21"/>
        </w:rPr>
        <w:t>4.响应人按评分细则所有得分项目均视为对本次招标的承诺，中标后均作为合同的组成部分。</w:t>
      </w:r>
    </w:p>
    <w:p w14:paraId="4781BA54">
      <w:pPr>
        <w:spacing w:line="360" w:lineRule="auto"/>
        <w:ind w:firstLine="420" w:firstLineChars="200"/>
        <w:rPr>
          <w:rFonts w:ascii="宋体" w:hAnsi="宋体" w:cs="宋体"/>
          <w:color w:val="auto"/>
          <w:sz w:val="21"/>
          <w:szCs w:val="21"/>
        </w:rPr>
      </w:pPr>
      <w:r>
        <w:rPr>
          <w:rFonts w:hint="eastAsia" w:ascii="宋体" w:hAnsi="宋体" w:cs="宋体"/>
          <w:color w:val="auto"/>
          <w:sz w:val="21"/>
          <w:szCs w:val="21"/>
        </w:rPr>
        <w:t>5.为便于评分，请响应人按评分表样式，逐条列出证明材料所在页码，格式自定。</w:t>
      </w:r>
    </w:p>
    <w:p w14:paraId="39F0DB33">
      <w:pPr>
        <w:jc w:val="center"/>
        <w:rPr>
          <w:rFonts w:ascii="宋体" w:hAnsi="宋体" w:cs="宋体"/>
          <w:b/>
          <w:bCs/>
          <w:color w:val="auto"/>
        </w:rPr>
      </w:pPr>
      <w:r>
        <w:rPr>
          <w:rFonts w:hint="eastAsia" w:ascii="宋体" w:hAnsi="宋体" w:cs="宋体"/>
          <w:b/>
          <w:bCs/>
          <w:color w:val="auto"/>
        </w:rPr>
        <w:t xml:space="preserve"> </w:t>
      </w:r>
    </w:p>
    <w:p w14:paraId="470A4DF7">
      <w:pPr>
        <w:rPr>
          <w:rFonts w:ascii="宋体" w:hAnsi="宋体" w:cs="宋体"/>
          <w:b/>
          <w:bCs/>
          <w:color w:val="auto"/>
        </w:rPr>
      </w:pPr>
      <w:r>
        <w:rPr>
          <w:rFonts w:hint="eastAsia" w:ascii="宋体" w:hAnsi="宋体" w:cs="宋体"/>
          <w:b/>
          <w:bCs/>
          <w:color w:val="auto"/>
        </w:rPr>
        <w:br w:type="page"/>
      </w:r>
    </w:p>
    <w:p w14:paraId="43B9DB9C">
      <w:pPr>
        <w:jc w:val="center"/>
        <w:rPr>
          <w:rFonts w:ascii="宋体" w:hAnsi="宋体" w:cs="宋体"/>
          <w:b/>
          <w:color w:val="auto"/>
          <w:sz w:val="36"/>
          <w:szCs w:val="36"/>
        </w:rPr>
      </w:pPr>
      <w:r>
        <w:rPr>
          <w:rFonts w:hint="eastAsia" w:ascii="宋体" w:hAnsi="宋体" w:cs="宋体"/>
          <w:b/>
          <w:color w:val="auto"/>
          <w:sz w:val="36"/>
          <w:szCs w:val="32"/>
        </w:rPr>
        <w:t xml:space="preserve">第六部分  </w:t>
      </w:r>
      <w:r>
        <w:rPr>
          <w:rFonts w:hint="eastAsia" w:ascii="宋体" w:hAnsi="宋体" w:cs="宋体"/>
          <w:b/>
          <w:color w:val="auto"/>
          <w:sz w:val="36"/>
          <w:szCs w:val="36"/>
        </w:rPr>
        <w:t>合同草案条款</w:t>
      </w:r>
    </w:p>
    <w:p w14:paraId="51E10B14">
      <w:pPr>
        <w:tabs>
          <w:tab w:val="left" w:pos="900"/>
          <w:tab w:val="left" w:pos="1080"/>
        </w:tabs>
        <w:snapToGrid w:val="0"/>
        <w:spacing w:line="360" w:lineRule="auto"/>
        <w:rPr>
          <w:rFonts w:ascii="宋体" w:hAnsi="宋体" w:cs="宋体"/>
          <w:color w:val="auto"/>
          <w:kern w:val="0"/>
          <w:sz w:val="18"/>
          <w:szCs w:val="18"/>
        </w:rPr>
      </w:pPr>
    </w:p>
    <w:p w14:paraId="03B6731F">
      <w:pPr>
        <w:ind w:firstLine="3360" w:firstLineChars="1200"/>
        <w:jc w:val="left"/>
        <w:rPr>
          <w:rFonts w:ascii="宋体" w:hAnsi="宋体" w:cs="宋体"/>
          <w:color w:val="auto"/>
          <w:szCs w:val="28"/>
        </w:rPr>
      </w:pPr>
    </w:p>
    <w:p w14:paraId="619B6672">
      <w:pPr>
        <w:ind w:firstLine="3360" w:firstLineChars="1200"/>
        <w:jc w:val="left"/>
        <w:rPr>
          <w:rFonts w:ascii="宋体" w:hAnsi="宋体" w:cs="宋体"/>
          <w:color w:val="auto"/>
          <w:szCs w:val="28"/>
        </w:rPr>
      </w:pPr>
    </w:p>
    <w:p w14:paraId="7F18A5B7">
      <w:pPr>
        <w:ind w:firstLine="3360" w:firstLineChars="1200"/>
        <w:jc w:val="left"/>
        <w:rPr>
          <w:rFonts w:ascii="宋体" w:hAnsi="宋体" w:cs="宋体"/>
          <w:color w:val="auto"/>
          <w:szCs w:val="28"/>
        </w:rPr>
      </w:pPr>
    </w:p>
    <w:p w14:paraId="4234B3D3">
      <w:pPr>
        <w:ind w:firstLine="3360" w:firstLineChars="1200"/>
        <w:jc w:val="left"/>
        <w:rPr>
          <w:rFonts w:ascii="宋体" w:hAnsi="宋体" w:cs="宋体"/>
          <w:color w:val="auto"/>
          <w:szCs w:val="28"/>
        </w:rPr>
      </w:pPr>
    </w:p>
    <w:p w14:paraId="1DDBBFAE">
      <w:pPr>
        <w:ind w:firstLine="3360" w:firstLineChars="1200"/>
        <w:jc w:val="left"/>
        <w:rPr>
          <w:rFonts w:ascii="宋体" w:hAnsi="宋体" w:cs="宋体"/>
          <w:color w:val="auto"/>
          <w:szCs w:val="28"/>
        </w:rPr>
      </w:pPr>
      <w:r>
        <w:rPr>
          <w:rFonts w:hint="eastAsia" w:ascii="宋体" w:hAnsi="宋体" w:cs="宋体"/>
          <w:color w:val="auto"/>
          <w:szCs w:val="28"/>
        </w:rPr>
        <w:t>合同协议书</w:t>
      </w:r>
    </w:p>
    <w:p w14:paraId="2B1CD237">
      <w:pPr>
        <w:jc w:val="left"/>
        <w:rPr>
          <w:rFonts w:ascii="宋体" w:hAnsi="宋体" w:cs="宋体"/>
          <w:color w:val="auto"/>
          <w:szCs w:val="28"/>
        </w:rPr>
      </w:pPr>
    </w:p>
    <w:p w14:paraId="27CF5C3F">
      <w:pPr>
        <w:jc w:val="left"/>
        <w:rPr>
          <w:rFonts w:ascii="宋体" w:hAnsi="宋体" w:cs="宋体"/>
          <w:color w:val="auto"/>
          <w:szCs w:val="28"/>
        </w:rPr>
      </w:pPr>
    </w:p>
    <w:p w14:paraId="26B843CF">
      <w:pPr>
        <w:jc w:val="left"/>
        <w:rPr>
          <w:rFonts w:ascii="宋体" w:hAnsi="宋体" w:cs="宋体"/>
          <w:color w:val="auto"/>
          <w:szCs w:val="28"/>
        </w:rPr>
      </w:pPr>
    </w:p>
    <w:p w14:paraId="3BE8070D">
      <w:pPr>
        <w:spacing w:line="480" w:lineRule="auto"/>
        <w:ind w:firstLine="840" w:firstLineChars="300"/>
        <w:jc w:val="left"/>
        <w:rPr>
          <w:rFonts w:ascii="宋体" w:hAnsi="宋体" w:cs="宋体"/>
          <w:color w:val="auto"/>
          <w:szCs w:val="28"/>
        </w:rPr>
      </w:pPr>
      <w:r>
        <w:rPr>
          <w:rFonts w:hint="eastAsia" w:ascii="宋体" w:hAnsi="宋体" w:cs="宋体"/>
          <w:color w:val="auto"/>
          <w:szCs w:val="28"/>
        </w:rPr>
        <w:t>项目名称：</w:t>
      </w:r>
      <w:r>
        <w:rPr>
          <w:rFonts w:hint="eastAsia" w:ascii="宋体" w:hAnsi="宋体" w:cs="宋体"/>
          <w:color w:val="auto"/>
          <w:szCs w:val="28"/>
          <w:u w:val="single"/>
        </w:rPr>
        <w:t xml:space="preserve">                              </w:t>
      </w:r>
    </w:p>
    <w:p w14:paraId="1D324CE2">
      <w:pPr>
        <w:spacing w:line="480" w:lineRule="auto"/>
        <w:ind w:firstLine="840" w:firstLineChars="300"/>
        <w:jc w:val="left"/>
        <w:rPr>
          <w:rFonts w:ascii="宋体" w:hAnsi="宋体" w:cs="宋体"/>
          <w:color w:val="auto"/>
          <w:szCs w:val="28"/>
        </w:rPr>
      </w:pPr>
      <w:r>
        <w:rPr>
          <w:rFonts w:hint="eastAsia" w:ascii="宋体" w:hAnsi="宋体" w:cs="宋体"/>
          <w:color w:val="auto"/>
          <w:szCs w:val="28"/>
        </w:rPr>
        <w:t>项目编号：</w:t>
      </w:r>
      <w:r>
        <w:rPr>
          <w:rFonts w:hint="eastAsia" w:ascii="宋体" w:hAnsi="宋体" w:cs="宋体"/>
          <w:color w:val="auto"/>
          <w:szCs w:val="28"/>
          <w:u w:val="single"/>
        </w:rPr>
        <w:t xml:space="preserve">                              </w:t>
      </w:r>
    </w:p>
    <w:p w14:paraId="462B37FD">
      <w:pPr>
        <w:spacing w:line="480" w:lineRule="auto"/>
        <w:ind w:firstLine="840" w:firstLineChars="300"/>
        <w:jc w:val="left"/>
        <w:rPr>
          <w:rFonts w:ascii="宋体" w:hAnsi="宋体" w:cs="宋体"/>
          <w:color w:val="auto"/>
          <w:szCs w:val="28"/>
        </w:rPr>
      </w:pPr>
    </w:p>
    <w:p w14:paraId="45EB2AF6">
      <w:pPr>
        <w:spacing w:line="480" w:lineRule="auto"/>
        <w:jc w:val="left"/>
        <w:rPr>
          <w:rFonts w:ascii="宋体" w:hAnsi="宋体" w:cs="宋体"/>
          <w:color w:val="auto"/>
          <w:szCs w:val="28"/>
        </w:rPr>
      </w:pPr>
    </w:p>
    <w:p w14:paraId="49CA5F1D">
      <w:pPr>
        <w:spacing w:line="480" w:lineRule="auto"/>
        <w:jc w:val="left"/>
        <w:rPr>
          <w:rFonts w:ascii="宋体" w:hAnsi="宋体" w:cs="宋体"/>
          <w:color w:val="auto"/>
          <w:szCs w:val="28"/>
        </w:rPr>
      </w:pPr>
    </w:p>
    <w:p w14:paraId="72C5285F">
      <w:pPr>
        <w:spacing w:line="480" w:lineRule="auto"/>
        <w:jc w:val="left"/>
        <w:rPr>
          <w:rFonts w:ascii="宋体" w:hAnsi="宋体" w:cs="宋体"/>
          <w:color w:val="auto"/>
          <w:szCs w:val="28"/>
        </w:rPr>
      </w:pPr>
    </w:p>
    <w:p w14:paraId="6016D064">
      <w:pPr>
        <w:spacing w:line="480" w:lineRule="auto"/>
        <w:ind w:firstLine="840" w:firstLineChars="300"/>
        <w:jc w:val="left"/>
        <w:rPr>
          <w:rFonts w:ascii="宋体" w:hAnsi="宋体" w:cs="宋体"/>
          <w:color w:val="auto"/>
          <w:szCs w:val="28"/>
        </w:rPr>
      </w:pPr>
      <w:r>
        <w:rPr>
          <w:rFonts w:hint="eastAsia" w:ascii="宋体" w:hAnsi="宋体" w:cs="宋体"/>
          <w:color w:val="auto"/>
          <w:szCs w:val="28"/>
        </w:rPr>
        <w:t>采购人（甲方）：</w:t>
      </w:r>
      <w:r>
        <w:rPr>
          <w:rFonts w:hint="eastAsia" w:ascii="宋体" w:hAnsi="宋体" w:cs="宋体"/>
          <w:color w:val="auto"/>
          <w:szCs w:val="28"/>
          <w:u w:val="single"/>
        </w:rPr>
        <w:t xml:space="preserve">                        </w:t>
      </w:r>
    </w:p>
    <w:p w14:paraId="2FC464AE">
      <w:pPr>
        <w:spacing w:line="480" w:lineRule="auto"/>
        <w:ind w:firstLine="840" w:firstLineChars="300"/>
        <w:jc w:val="left"/>
        <w:rPr>
          <w:rFonts w:ascii="宋体" w:hAnsi="宋体" w:cs="宋体"/>
          <w:color w:val="auto"/>
          <w:szCs w:val="28"/>
        </w:rPr>
      </w:pPr>
      <w:r>
        <w:rPr>
          <w:rFonts w:hint="eastAsia" w:ascii="宋体" w:hAnsi="宋体" w:cs="宋体"/>
          <w:color w:val="auto"/>
          <w:szCs w:val="28"/>
        </w:rPr>
        <w:t>成交供应商（乙方）：</w:t>
      </w:r>
      <w:r>
        <w:rPr>
          <w:rFonts w:hint="eastAsia" w:ascii="宋体" w:hAnsi="宋体" w:cs="宋体"/>
          <w:color w:val="auto"/>
          <w:szCs w:val="28"/>
          <w:u w:val="single"/>
        </w:rPr>
        <w:t xml:space="preserve">                    </w:t>
      </w:r>
    </w:p>
    <w:p w14:paraId="114DE2D1">
      <w:pPr>
        <w:widowControl/>
        <w:jc w:val="center"/>
        <w:rPr>
          <w:rFonts w:ascii="宋体" w:hAnsi="宋体" w:cs="宋体"/>
          <w:bCs/>
          <w:color w:val="auto"/>
          <w:sz w:val="21"/>
          <w:szCs w:val="21"/>
          <w:u w:color="000000"/>
        </w:rPr>
      </w:pPr>
      <w:r>
        <w:rPr>
          <w:rFonts w:hint="eastAsia" w:ascii="宋体" w:hAnsi="宋体" w:cs="宋体"/>
          <w:b/>
          <w:bCs/>
          <w:color w:val="auto"/>
          <w:sz w:val="32"/>
          <w:szCs w:val="32"/>
          <w:u w:color="000000"/>
        </w:rPr>
        <w:br w:type="page"/>
      </w:r>
      <w:r>
        <w:rPr>
          <w:rFonts w:hint="eastAsia" w:ascii="宋体" w:hAnsi="宋体" w:cs="宋体"/>
          <w:bCs/>
          <w:color w:val="auto"/>
          <w:sz w:val="21"/>
          <w:szCs w:val="21"/>
          <w:u w:color="000000"/>
        </w:rPr>
        <w:t>合同条款</w:t>
      </w:r>
    </w:p>
    <w:p w14:paraId="62DBF4C3">
      <w:pPr>
        <w:spacing w:line="440" w:lineRule="exact"/>
        <w:jc w:val="left"/>
        <w:rPr>
          <w:rFonts w:ascii="宋体" w:hAnsi="宋体" w:cs="宋体"/>
          <w:color w:val="auto"/>
          <w:sz w:val="21"/>
          <w:szCs w:val="21"/>
        </w:rPr>
      </w:pPr>
      <w:r>
        <w:rPr>
          <w:rFonts w:hint="eastAsia" w:ascii="宋体" w:hAnsi="宋体" w:cs="宋体"/>
          <w:b/>
          <w:color w:val="auto"/>
          <w:sz w:val="21"/>
          <w:szCs w:val="21"/>
        </w:rPr>
        <w:t>甲方（采购人）</w:t>
      </w:r>
      <w:r>
        <w:rPr>
          <w:rFonts w:hint="eastAsia" w:ascii="宋体" w:hAnsi="宋体" w:cs="宋体"/>
          <w:color w:val="auto"/>
          <w:sz w:val="21"/>
          <w:szCs w:val="21"/>
        </w:rPr>
        <w:t>：</w:t>
      </w:r>
      <w:r>
        <w:rPr>
          <w:rFonts w:hint="eastAsia" w:ascii="宋体" w:hAnsi="宋体" w:cs="宋体"/>
          <w:color w:val="auto"/>
          <w:sz w:val="21"/>
          <w:szCs w:val="21"/>
          <w:u w:val="single"/>
        </w:rPr>
        <w:t xml:space="preserve">                        </w:t>
      </w:r>
    </w:p>
    <w:p w14:paraId="6B4CE964">
      <w:pPr>
        <w:spacing w:line="440" w:lineRule="exact"/>
        <w:jc w:val="left"/>
        <w:rPr>
          <w:rFonts w:ascii="宋体" w:hAnsi="宋体" w:cs="宋体"/>
          <w:color w:val="auto"/>
          <w:sz w:val="21"/>
          <w:szCs w:val="21"/>
          <w:u w:val="single"/>
        </w:rPr>
      </w:pPr>
      <w:r>
        <w:rPr>
          <w:rFonts w:hint="eastAsia" w:ascii="宋体" w:hAnsi="宋体" w:cs="宋体"/>
          <w:b/>
          <w:color w:val="auto"/>
          <w:sz w:val="21"/>
          <w:szCs w:val="21"/>
        </w:rPr>
        <w:t>乙方（中标人）</w:t>
      </w:r>
      <w:r>
        <w:rPr>
          <w:rFonts w:hint="eastAsia" w:ascii="宋体" w:hAnsi="宋体" w:cs="宋体"/>
          <w:color w:val="auto"/>
          <w:sz w:val="21"/>
          <w:szCs w:val="21"/>
        </w:rPr>
        <w:t>：</w:t>
      </w:r>
      <w:r>
        <w:rPr>
          <w:rFonts w:hint="eastAsia" w:ascii="宋体" w:hAnsi="宋体" w:cs="宋体"/>
          <w:color w:val="auto"/>
          <w:sz w:val="21"/>
          <w:szCs w:val="21"/>
          <w:u w:val="single"/>
        </w:rPr>
        <w:t xml:space="preserve">                        </w:t>
      </w:r>
    </w:p>
    <w:p w14:paraId="3132C260">
      <w:pPr>
        <w:spacing w:line="360" w:lineRule="auto"/>
        <w:ind w:firstLine="420" w:firstLineChars="200"/>
        <w:rPr>
          <w:rFonts w:ascii="宋体" w:hAnsi="宋体" w:cs="宋体"/>
          <w:color w:val="auto"/>
          <w:kern w:val="0"/>
          <w:sz w:val="21"/>
          <w:szCs w:val="21"/>
        </w:rPr>
      </w:pPr>
      <w:r>
        <w:rPr>
          <w:rFonts w:hint="eastAsia" w:ascii="宋体" w:hAnsi="宋体" w:cs="宋体"/>
          <w:color w:val="auto"/>
          <w:kern w:val="0"/>
          <w:sz w:val="21"/>
          <w:szCs w:val="21"/>
        </w:rPr>
        <w:t>根据江苏信达建设工程咨询有限公司</w:t>
      </w:r>
      <w:r>
        <w:rPr>
          <w:rFonts w:hint="eastAsia" w:ascii="宋体" w:hAnsi="宋体" w:cs="宋体"/>
          <w:color w:val="auto"/>
          <w:kern w:val="0"/>
          <w:sz w:val="21"/>
          <w:szCs w:val="21"/>
          <w:u w:val="single"/>
        </w:rPr>
        <w:t>2024年  月  日</w:t>
      </w:r>
      <w:r>
        <w:rPr>
          <w:rFonts w:hint="eastAsia" w:ascii="宋体" w:hAnsi="宋体" w:cs="宋体"/>
          <w:color w:val="auto"/>
          <w:kern w:val="0"/>
          <w:sz w:val="21"/>
          <w:szCs w:val="21"/>
        </w:rPr>
        <w:t>进行的</w:t>
      </w:r>
      <w:r>
        <w:rPr>
          <w:rFonts w:hint="eastAsia" w:ascii="宋体" w:hAnsi="宋体" w:cs="宋体"/>
          <w:color w:val="auto"/>
          <w:kern w:val="0"/>
          <w:sz w:val="21"/>
          <w:szCs w:val="21"/>
          <w:u w:val="single"/>
        </w:rPr>
        <w:t xml:space="preserve">       号</w:t>
      </w:r>
      <w:r>
        <w:rPr>
          <w:rFonts w:hint="eastAsia" w:ascii="宋体" w:hAnsi="宋体" w:cs="宋体"/>
          <w:color w:val="auto"/>
          <w:kern w:val="0"/>
          <w:sz w:val="21"/>
          <w:szCs w:val="21"/>
        </w:rPr>
        <w:t>采购项目，甲乙双方就乙方中标的</w:t>
      </w:r>
      <w:r>
        <w:rPr>
          <w:rFonts w:hint="eastAsia" w:ascii="宋体" w:hAnsi="宋体" w:cs="宋体"/>
          <w:color w:val="auto"/>
          <w:kern w:val="0"/>
          <w:sz w:val="21"/>
          <w:szCs w:val="21"/>
          <w:u w:val="single"/>
        </w:rPr>
        <w:t xml:space="preserve">                   </w:t>
      </w:r>
      <w:r>
        <w:rPr>
          <w:rFonts w:hint="eastAsia" w:ascii="宋体" w:hAnsi="宋体" w:cs="宋体"/>
          <w:color w:val="auto"/>
          <w:kern w:val="0"/>
          <w:sz w:val="21"/>
          <w:szCs w:val="21"/>
        </w:rPr>
        <w:t>项目 ，本着平等互利的原则，通过共同协商，根据《中华人民共和国民法典》、《中华人民共和国政府采购法》及有关法律法规，就相关事宜达成如下合同。</w:t>
      </w:r>
    </w:p>
    <w:p w14:paraId="00D46541">
      <w:pPr>
        <w:spacing w:line="360" w:lineRule="auto"/>
        <w:rPr>
          <w:rFonts w:ascii="宋体" w:hAnsi="宋体" w:cs="宋体"/>
          <w:b/>
          <w:color w:val="auto"/>
          <w:kern w:val="0"/>
          <w:sz w:val="21"/>
          <w:szCs w:val="21"/>
        </w:rPr>
      </w:pPr>
      <w:r>
        <w:rPr>
          <w:rFonts w:hint="eastAsia" w:ascii="宋体" w:hAnsi="宋体" w:cs="宋体"/>
          <w:bCs/>
          <w:color w:val="auto"/>
          <w:kern w:val="0"/>
          <w:sz w:val="21"/>
          <w:szCs w:val="21"/>
        </w:rPr>
        <w:t xml:space="preserve">一、总则  </w:t>
      </w:r>
      <w:r>
        <w:rPr>
          <w:rFonts w:hint="eastAsia" w:ascii="宋体" w:hAnsi="宋体" w:cs="宋体"/>
          <w:b/>
          <w:color w:val="auto"/>
          <w:kern w:val="0"/>
          <w:sz w:val="21"/>
          <w:szCs w:val="21"/>
        </w:rPr>
        <w:t xml:space="preserve">           </w:t>
      </w:r>
    </w:p>
    <w:p w14:paraId="66E9DF93">
      <w:pPr>
        <w:spacing w:line="360" w:lineRule="auto"/>
        <w:ind w:firstLine="420" w:firstLineChars="200"/>
        <w:rPr>
          <w:rFonts w:ascii="宋体" w:hAnsi="宋体" w:cs="宋体"/>
          <w:color w:val="auto"/>
          <w:kern w:val="0"/>
          <w:sz w:val="21"/>
          <w:szCs w:val="21"/>
        </w:rPr>
      </w:pPr>
      <w:r>
        <w:rPr>
          <w:rFonts w:hint="eastAsia" w:ascii="宋体" w:hAnsi="宋体" w:cs="宋体"/>
          <w:color w:val="auto"/>
          <w:kern w:val="0"/>
          <w:sz w:val="21"/>
          <w:szCs w:val="21"/>
        </w:rPr>
        <w:t>1.主要服务内容：主要是以企业申报提交的《土地增值税清算申报套表》为基础，辅助税务清算审核人员对清算项目工程造价的合理性、准确性进行咨询答复和审计，在协议规定的时间内出具真实、合法的咨询协审报告、工作底稿及相关表格。咨询协审报告、工作底稿及相关表格需明确指出工程造价偏高的原因、存在问题及处理建议，且有造价工程师签名盖章，并承担法律责任。</w:t>
      </w:r>
    </w:p>
    <w:p w14:paraId="0D4F8EAE">
      <w:pPr>
        <w:spacing w:line="360" w:lineRule="auto"/>
        <w:ind w:firstLine="420" w:firstLineChars="200"/>
        <w:rPr>
          <w:rFonts w:ascii="宋体" w:hAnsi="宋体" w:cs="宋体"/>
          <w:color w:val="auto"/>
          <w:kern w:val="0"/>
          <w:sz w:val="21"/>
          <w:szCs w:val="21"/>
        </w:rPr>
      </w:pPr>
      <w:r>
        <w:rPr>
          <w:rFonts w:hint="eastAsia" w:ascii="宋体" w:hAnsi="宋体" w:cs="宋体"/>
          <w:color w:val="auto"/>
          <w:kern w:val="0"/>
          <w:sz w:val="21"/>
          <w:szCs w:val="21"/>
        </w:rPr>
        <w:t>2.本合同金额为：</w:t>
      </w:r>
    </w:p>
    <w:p w14:paraId="4DABFBCE">
      <w:pPr>
        <w:spacing w:line="360" w:lineRule="auto"/>
        <w:ind w:firstLine="420" w:firstLineChars="200"/>
        <w:rPr>
          <w:rFonts w:hint="eastAsia" w:ascii="宋体" w:hAnsi="宋体" w:cs="宋体"/>
          <w:color w:val="auto"/>
          <w:sz w:val="21"/>
          <w:szCs w:val="21"/>
          <w:lang w:eastAsia="zh-CN"/>
        </w:rPr>
      </w:pPr>
      <w:r>
        <w:rPr>
          <w:rFonts w:hint="eastAsia" w:ascii="宋体" w:hAnsi="宋体" w:cs="宋体"/>
          <w:color w:val="auto"/>
          <w:sz w:val="21"/>
          <w:szCs w:val="21"/>
        </w:rPr>
        <w:t>（1）</w:t>
      </w:r>
      <w:r>
        <w:rPr>
          <w:rFonts w:hint="eastAsia" w:ascii="宋体" w:hAnsi="宋体" w:cs="宋体"/>
          <w:color w:val="auto"/>
          <w:sz w:val="21"/>
          <w:szCs w:val="21"/>
          <w:lang w:eastAsia="zh-CN"/>
        </w:rPr>
        <w:t>申请造价咨询的项目，咨询后清算土地增值税有增加土地增值税税款或者减少土地增值税退税的仅计基础费用，分三个类分别计费：</w:t>
      </w:r>
    </w:p>
    <w:p w14:paraId="5EAB6405">
      <w:pPr>
        <w:spacing w:line="360" w:lineRule="auto"/>
        <w:ind w:firstLine="420" w:firstLineChars="200"/>
        <w:rPr>
          <w:rFonts w:ascii="宋体" w:hAnsi="宋体" w:cs="宋体"/>
          <w:color w:val="auto"/>
          <w:sz w:val="21"/>
          <w:szCs w:val="21"/>
        </w:rPr>
      </w:pPr>
      <w:r>
        <w:rPr>
          <w:rFonts w:hint="eastAsia" w:ascii="宋体" w:hAnsi="宋体" w:cs="宋体"/>
          <w:color w:val="auto"/>
          <w:sz w:val="21"/>
          <w:szCs w:val="21"/>
        </w:rPr>
        <w:t xml:space="preserve">①第一类为咨询项目建筑面积6万平方米（含）以下， </w:t>
      </w:r>
      <w:r>
        <w:rPr>
          <w:rFonts w:hint="eastAsia" w:ascii="宋体" w:hAnsi="宋体" w:cs="宋体"/>
          <w:b/>
          <w:bCs/>
          <w:color w:val="auto"/>
          <w:sz w:val="21"/>
          <w:szCs w:val="21"/>
        </w:rPr>
        <w:t>成交单价：</w:t>
      </w:r>
      <w:r>
        <w:rPr>
          <w:rFonts w:hint="eastAsia" w:ascii="宋体" w:hAnsi="宋体" w:cs="宋体"/>
          <w:color w:val="auto"/>
          <w:sz w:val="21"/>
          <w:szCs w:val="21"/>
          <w:u w:val="single"/>
        </w:rPr>
        <w:t xml:space="preserve">   </w:t>
      </w:r>
      <w:r>
        <w:rPr>
          <w:rFonts w:hint="eastAsia" w:ascii="宋体" w:hAnsi="宋体" w:cs="宋体"/>
          <w:color w:val="auto"/>
          <w:sz w:val="21"/>
          <w:szCs w:val="21"/>
        </w:rPr>
        <w:t>元。</w:t>
      </w:r>
    </w:p>
    <w:p w14:paraId="3A58D405">
      <w:pPr>
        <w:spacing w:line="360" w:lineRule="auto"/>
        <w:ind w:firstLine="420" w:firstLineChars="200"/>
        <w:rPr>
          <w:rFonts w:ascii="宋体" w:hAnsi="宋体" w:cs="宋体"/>
          <w:color w:val="auto"/>
          <w:sz w:val="21"/>
          <w:szCs w:val="21"/>
        </w:rPr>
      </w:pPr>
      <w:r>
        <w:rPr>
          <w:rFonts w:hint="eastAsia" w:ascii="宋体" w:hAnsi="宋体" w:cs="宋体"/>
          <w:color w:val="auto"/>
          <w:sz w:val="21"/>
          <w:szCs w:val="21"/>
        </w:rPr>
        <w:t>②第二类为咨询项目建筑面积6—12万平方米之间，</w:t>
      </w:r>
      <w:r>
        <w:rPr>
          <w:rFonts w:hint="eastAsia" w:ascii="宋体" w:hAnsi="宋体" w:cs="宋体"/>
          <w:b/>
          <w:bCs/>
          <w:color w:val="auto"/>
          <w:sz w:val="21"/>
          <w:szCs w:val="21"/>
        </w:rPr>
        <w:t>成交单价：</w:t>
      </w:r>
      <w:r>
        <w:rPr>
          <w:rFonts w:hint="eastAsia" w:ascii="宋体" w:hAnsi="宋体" w:cs="宋体"/>
          <w:color w:val="auto"/>
          <w:sz w:val="21"/>
          <w:szCs w:val="21"/>
          <w:u w:val="single"/>
        </w:rPr>
        <w:t xml:space="preserve">   </w:t>
      </w:r>
      <w:r>
        <w:rPr>
          <w:rFonts w:hint="eastAsia" w:ascii="宋体" w:hAnsi="宋体" w:cs="宋体"/>
          <w:color w:val="auto"/>
          <w:sz w:val="21"/>
          <w:szCs w:val="21"/>
        </w:rPr>
        <w:t>元。</w:t>
      </w:r>
    </w:p>
    <w:p w14:paraId="6FC4D292">
      <w:pPr>
        <w:spacing w:line="360" w:lineRule="auto"/>
        <w:ind w:firstLine="420" w:firstLineChars="200"/>
        <w:rPr>
          <w:rFonts w:ascii="宋体" w:hAnsi="宋体" w:cs="宋体"/>
          <w:color w:val="auto"/>
          <w:sz w:val="21"/>
          <w:szCs w:val="21"/>
        </w:rPr>
      </w:pPr>
      <w:r>
        <w:rPr>
          <w:rFonts w:hint="eastAsia" w:ascii="宋体" w:hAnsi="宋体" w:cs="宋体"/>
          <w:color w:val="auto"/>
          <w:sz w:val="21"/>
          <w:szCs w:val="21"/>
        </w:rPr>
        <w:t>③第三类为咨询项目建筑面积12万平方米（含）以上，</w:t>
      </w:r>
      <w:r>
        <w:rPr>
          <w:rFonts w:hint="eastAsia" w:ascii="宋体" w:hAnsi="宋体" w:cs="宋体"/>
          <w:b/>
          <w:bCs/>
          <w:color w:val="auto"/>
          <w:sz w:val="21"/>
          <w:szCs w:val="21"/>
        </w:rPr>
        <w:t>成交单价：</w:t>
      </w:r>
      <w:r>
        <w:rPr>
          <w:rFonts w:hint="eastAsia" w:ascii="宋体" w:hAnsi="宋体" w:cs="宋体"/>
          <w:color w:val="auto"/>
          <w:sz w:val="21"/>
          <w:szCs w:val="21"/>
          <w:u w:val="single"/>
        </w:rPr>
        <w:t xml:space="preserve">   </w:t>
      </w:r>
      <w:r>
        <w:rPr>
          <w:rFonts w:hint="eastAsia" w:ascii="宋体" w:hAnsi="宋体" w:cs="宋体"/>
          <w:color w:val="auto"/>
          <w:sz w:val="21"/>
          <w:szCs w:val="21"/>
        </w:rPr>
        <w:t>元。</w:t>
      </w:r>
    </w:p>
    <w:p w14:paraId="40678629">
      <w:pPr>
        <w:spacing w:line="360" w:lineRule="auto"/>
        <w:ind w:firstLine="420" w:firstLineChars="200"/>
        <w:rPr>
          <w:rFonts w:ascii="宋体" w:hAnsi="宋体" w:cs="宋体"/>
          <w:color w:val="auto"/>
          <w:sz w:val="21"/>
          <w:szCs w:val="21"/>
        </w:rPr>
      </w:pPr>
      <w:r>
        <w:rPr>
          <w:rFonts w:hint="eastAsia" w:ascii="宋体" w:hAnsi="宋体" w:cs="宋体"/>
          <w:color w:val="auto"/>
          <w:sz w:val="21"/>
          <w:szCs w:val="21"/>
        </w:rPr>
        <w:t>（2）在申请造价咨询的工程造价基础上，税务部门、供应商通过组织造价咨询，</w:t>
      </w:r>
      <w:r>
        <w:rPr>
          <w:rFonts w:hint="eastAsia" w:ascii="宋体" w:hAnsi="宋体" w:cs="宋体"/>
          <w:color w:val="auto"/>
          <w:sz w:val="21"/>
          <w:szCs w:val="21"/>
        </w:rPr>
        <w:t>新增加的补税金额或减少的退税金额</w:t>
      </w:r>
      <w:r>
        <w:rPr>
          <w:rFonts w:hint="eastAsia" w:ascii="宋体" w:hAnsi="宋体" w:cs="宋体"/>
          <w:color w:val="auto"/>
          <w:sz w:val="21"/>
          <w:szCs w:val="21"/>
        </w:rPr>
        <w:t>视为增加量，绩效费用</w:t>
      </w:r>
      <w:r>
        <w:rPr>
          <w:rFonts w:hint="eastAsia" w:ascii="宋体" w:hAnsi="宋体" w:cs="宋体"/>
          <w:color w:val="auto"/>
          <w:sz w:val="21"/>
          <w:szCs w:val="21"/>
        </w:rPr>
        <w:t>按增加量的百分比值</w:t>
      </w:r>
      <w:r>
        <w:rPr>
          <w:rFonts w:hint="eastAsia" w:ascii="宋体" w:hAnsi="宋体" w:cs="宋体"/>
          <w:color w:val="auto"/>
          <w:sz w:val="21"/>
          <w:szCs w:val="21"/>
        </w:rPr>
        <w:t>计算，分两个档次累进费率计费：</w:t>
      </w:r>
    </w:p>
    <w:p w14:paraId="0F7722A9">
      <w:pPr>
        <w:spacing w:line="360" w:lineRule="auto"/>
        <w:ind w:firstLine="420" w:firstLineChars="200"/>
        <w:rPr>
          <w:rFonts w:ascii="宋体" w:hAnsi="宋体" w:cs="宋体"/>
          <w:color w:val="auto"/>
          <w:sz w:val="21"/>
          <w:szCs w:val="21"/>
        </w:rPr>
      </w:pPr>
      <w:r>
        <w:rPr>
          <w:rFonts w:hint="eastAsia" w:ascii="宋体" w:hAnsi="宋体" w:cs="宋体"/>
          <w:color w:val="auto"/>
          <w:sz w:val="21"/>
          <w:szCs w:val="21"/>
        </w:rPr>
        <w:t>①第一个档次为增加量小于等于500万，成交费率：</w:t>
      </w:r>
      <w:r>
        <w:rPr>
          <w:rFonts w:hint="eastAsia" w:ascii="宋体" w:hAnsi="宋体" w:cs="宋体"/>
          <w:color w:val="auto"/>
          <w:sz w:val="21"/>
          <w:szCs w:val="21"/>
          <w:u w:val="single"/>
        </w:rPr>
        <w:t xml:space="preserve">   </w:t>
      </w:r>
      <w:r>
        <w:rPr>
          <w:rFonts w:hint="eastAsia" w:ascii="宋体" w:hAnsi="宋体" w:cs="宋体"/>
          <w:color w:val="auto"/>
          <w:sz w:val="21"/>
          <w:szCs w:val="21"/>
        </w:rPr>
        <w:t>%。</w:t>
      </w:r>
    </w:p>
    <w:p w14:paraId="362B6BF5">
      <w:pPr>
        <w:spacing w:line="360" w:lineRule="auto"/>
        <w:ind w:firstLine="420" w:firstLineChars="200"/>
        <w:rPr>
          <w:rFonts w:ascii="宋体" w:hAnsi="宋体" w:cs="宋体"/>
          <w:color w:val="auto"/>
          <w:kern w:val="0"/>
          <w:sz w:val="21"/>
          <w:szCs w:val="21"/>
        </w:rPr>
      </w:pPr>
      <w:r>
        <w:rPr>
          <w:rFonts w:hint="eastAsia" w:ascii="宋体" w:hAnsi="宋体" w:cs="宋体"/>
          <w:color w:val="auto"/>
          <w:sz w:val="21"/>
          <w:szCs w:val="21"/>
        </w:rPr>
        <w:t>②第二个档次为增加量大于500万，成交费率：</w:t>
      </w:r>
      <w:r>
        <w:rPr>
          <w:rFonts w:hint="eastAsia" w:ascii="宋体" w:hAnsi="宋体" w:cs="宋体"/>
          <w:color w:val="auto"/>
          <w:sz w:val="21"/>
          <w:szCs w:val="21"/>
          <w:u w:val="single"/>
        </w:rPr>
        <w:t xml:space="preserve">   </w:t>
      </w:r>
      <w:r>
        <w:rPr>
          <w:rFonts w:hint="eastAsia" w:ascii="宋体" w:hAnsi="宋体" w:cs="宋体"/>
          <w:color w:val="auto"/>
          <w:sz w:val="21"/>
          <w:szCs w:val="21"/>
        </w:rPr>
        <w:t>%。</w:t>
      </w:r>
    </w:p>
    <w:p w14:paraId="11280D7A">
      <w:pPr>
        <w:spacing w:line="360" w:lineRule="auto"/>
        <w:ind w:firstLine="420" w:firstLineChars="200"/>
        <w:rPr>
          <w:rFonts w:ascii="宋体" w:hAnsi="宋体" w:cs="宋体"/>
          <w:color w:val="auto"/>
          <w:kern w:val="0"/>
          <w:sz w:val="21"/>
          <w:szCs w:val="21"/>
        </w:rPr>
      </w:pPr>
      <w:r>
        <w:rPr>
          <w:rFonts w:hint="eastAsia" w:ascii="宋体" w:hAnsi="宋体" w:cs="宋体"/>
          <w:color w:val="auto"/>
          <w:kern w:val="0"/>
          <w:sz w:val="21"/>
          <w:szCs w:val="21"/>
        </w:rPr>
        <w:t>3.项目的具体服务要求见</w:t>
      </w:r>
      <w:r>
        <w:rPr>
          <w:rFonts w:hint="eastAsia" w:ascii="宋体" w:hAnsi="宋体" w:cs="宋体"/>
          <w:color w:val="auto"/>
          <w:kern w:val="0"/>
          <w:sz w:val="21"/>
          <w:szCs w:val="21"/>
          <w:u w:val="single"/>
        </w:rPr>
        <w:t xml:space="preserve">         号</w:t>
      </w:r>
      <w:r>
        <w:rPr>
          <w:rFonts w:hint="eastAsia" w:ascii="宋体" w:hAnsi="宋体" w:cs="宋体"/>
          <w:color w:val="auto"/>
          <w:kern w:val="0"/>
          <w:sz w:val="21"/>
          <w:szCs w:val="21"/>
        </w:rPr>
        <w:t>磋商文件。</w:t>
      </w:r>
    </w:p>
    <w:p w14:paraId="0E3D224F">
      <w:pPr>
        <w:spacing w:line="360" w:lineRule="auto"/>
        <w:rPr>
          <w:rFonts w:ascii="宋体" w:hAnsi="宋体" w:cs="宋体"/>
          <w:bCs/>
          <w:color w:val="auto"/>
          <w:kern w:val="0"/>
          <w:sz w:val="21"/>
          <w:szCs w:val="21"/>
        </w:rPr>
      </w:pPr>
      <w:r>
        <w:rPr>
          <w:rFonts w:hint="eastAsia" w:ascii="宋体" w:hAnsi="宋体" w:cs="宋体"/>
          <w:bCs/>
          <w:color w:val="auto"/>
          <w:kern w:val="0"/>
          <w:sz w:val="21"/>
          <w:szCs w:val="21"/>
        </w:rPr>
        <w:t>二、合同文件</w:t>
      </w:r>
    </w:p>
    <w:p w14:paraId="2038848B">
      <w:pPr>
        <w:spacing w:line="360" w:lineRule="auto"/>
        <w:ind w:firstLine="420" w:firstLineChars="200"/>
        <w:rPr>
          <w:rFonts w:ascii="宋体" w:hAnsi="宋体" w:cs="宋体"/>
          <w:color w:val="auto"/>
          <w:kern w:val="0"/>
          <w:sz w:val="21"/>
          <w:szCs w:val="21"/>
        </w:rPr>
      </w:pPr>
      <w:r>
        <w:rPr>
          <w:rFonts w:hint="eastAsia" w:ascii="宋体" w:hAnsi="宋体" w:cs="宋体"/>
          <w:color w:val="auto"/>
          <w:kern w:val="0"/>
          <w:sz w:val="21"/>
          <w:szCs w:val="21"/>
        </w:rPr>
        <w:t>下列文件是构成合同不可分割的部分，并与本合同具有同等法律效力，这些文件包括但不限于：</w:t>
      </w:r>
    </w:p>
    <w:p w14:paraId="3F82DA12">
      <w:pPr>
        <w:spacing w:line="360" w:lineRule="auto"/>
        <w:ind w:firstLine="420" w:firstLineChars="200"/>
        <w:rPr>
          <w:rFonts w:ascii="宋体" w:hAnsi="宋体" w:cs="宋体"/>
          <w:color w:val="auto"/>
          <w:kern w:val="0"/>
          <w:sz w:val="21"/>
          <w:szCs w:val="21"/>
        </w:rPr>
      </w:pPr>
      <w:r>
        <w:rPr>
          <w:rFonts w:hint="eastAsia" w:ascii="宋体" w:hAnsi="宋体" w:cs="宋体"/>
          <w:color w:val="auto"/>
          <w:kern w:val="0"/>
          <w:sz w:val="21"/>
          <w:szCs w:val="21"/>
        </w:rPr>
        <w:t>1.磋商文件。</w:t>
      </w:r>
    </w:p>
    <w:p w14:paraId="071E9B2D">
      <w:pPr>
        <w:spacing w:line="360" w:lineRule="auto"/>
        <w:ind w:firstLine="420" w:firstLineChars="200"/>
        <w:rPr>
          <w:rFonts w:ascii="宋体" w:hAnsi="宋体" w:cs="宋体"/>
          <w:color w:val="auto"/>
          <w:kern w:val="0"/>
          <w:sz w:val="21"/>
          <w:szCs w:val="21"/>
        </w:rPr>
      </w:pPr>
      <w:r>
        <w:rPr>
          <w:rFonts w:hint="eastAsia" w:ascii="宋体" w:hAnsi="宋体" w:cs="宋体"/>
          <w:color w:val="auto"/>
          <w:kern w:val="0"/>
          <w:sz w:val="21"/>
          <w:szCs w:val="21"/>
        </w:rPr>
        <w:t>2.乙方提交的响应文件。</w:t>
      </w:r>
    </w:p>
    <w:p w14:paraId="643CF5FF">
      <w:pPr>
        <w:spacing w:line="360" w:lineRule="auto"/>
        <w:ind w:firstLine="420" w:firstLineChars="200"/>
        <w:rPr>
          <w:rFonts w:ascii="宋体" w:hAnsi="宋体" w:cs="宋体"/>
          <w:color w:val="auto"/>
          <w:kern w:val="0"/>
          <w:sz w:val="21"/>
          <w:szCs w:val="21"/>
        </w:rPr>
      </w:pPr>
      <w:r>
        <w:rPr>
          <w:rFonts w:hint="eastAsia" w:ascii="宋体" w:hAnsi="宋体" w:cs="宋体"/>
          <w:color w:val="auto"/>
          <w:kern w:val="0"/>
          <w:sz w:val="21"/>
          <w:szCs w:val="21"/>
        </w:rPr>
        <w:t>3.乙方投标的其他资料及承诺。</w:t>
      </w:r>
    </w:p>
    <w:p w14:paraId="639888DA">
      <w:pPr>
        <w:spacing w:line="360" w:lineRule="auto"/>
        <w:ind w:firstLine="420" w:firstLineChars="200"/>
        <w:rPr>
          <w:rFonts w:ascii="宋体" w:hAnsi="宋体" w:cs="宋体"/>
          <w:color w:val="auto"/>
          <w:kern w:val="0"/>
          <w:sz w:val="21"/>
          <w:szCs w:val="21"/>
        </w:rPr>
      </w:pPr>
      <w:r>
        <w:rPr>
          <w:rFonts w:hint="eastAsia" w:ascii="宋体" w:hAnsi="宋体" w:cs="宋体"/>
          <w:color w:val="auto"/>
          <w:kern w:val="0"/>
          <w:sz w:val="21"/>
          <w:szCs w:val="21"/>
        </w:rPr>
        <w:t>4.评标记录。</w:t>
      </w:r>
    </w:p>
    <w:p w14:paraId="1A4A6D24">
      <w:pPr>
        <w:spacing w:line="360" w:lineRule="auto"/>
        <w:rPr>
          <w:rFonts w:ascii="宋体" w:hAnsi="宋体" w:cs="宋体"/>
          <w:bCs/>
          <w:color w:val="auto"/>
          <w:kern w:val="0"/>
          <w:sz w:val="21"/>
          <w:szCs w:val="21"/>
        </w:rPr>
      </w:pPr>
      <w:r>
        <w:rPr>
          <w:rFonts w:hint="eastAsia" w:ascii="宋体" w:hAnsi="宋体" w:cs="宋体"/>
          <w:bCs/>
          <w:color w:val="auto"/>
          <w:kern w:val="0"/>
          <w:sz w:val="21"/>
          <w:szCs w:val="21"/>
        </w:rPr>
        <w:t>三、质量保证</w:t>
      </w:r>
    </w:p>
    <w:p w14:paraId="089A854D">
      <w:pPr>
        <w:spacing w:line="360" w:lineRule="auto"/>
        <w:ind w:firstLine="420" w:firstLineChars="200"/>
        <w:rPr>
          <w:rFonts w:ascii="宋体" w:hAnsi="宋体" w:cs="宋体"/>
          <w:color w:val="auto"/>
          <w:kern w:val="0"/>
          <w:sz w:val="21"/>
          <w:szCs w:val="21"/>
        </w:rPr>
      </w:pPr>
      <w:r>
        <w:rPr>
          <w:rFonts w:hint="eastAsia" w:ascii="宋体" w:hAnsi="宋体" w:cs="宋体"/>
          <w:color w:val="auto"/>
          <w:kern w:val="0"/>
          <w:sz w:val="21"/>
          <w:szCs w:val="21"/>
        </w:rPr>
        <w:t>乙方所提供的服务必须符合国家有关标准和磋商文件的要求。</w:t>
      </w:r>
    </w:p>
    <w:p w14:paraId="72A83694">
      <w:pPr>
        <w:spacing w:line="360" w:lineRule="auto"/>
        <w:rPr>
          <w:rFonts w:ascii="宋体" w:hAnsi="宋体" w:cs="宋体"/>
          <w:bCs/>
          <w:color w:val="auto"/>
          <w:kern w:val="0"/>
          <w:sz w:val="21"/>
          <w:szCs w:val="21"/>
        </w:rPr>
      </w:pPr>
      <w:r>
        <w:rPr>
          <w:rFonts w:hint="eastAsia" w:ascii="宋体" w:hAnsi="宋体" w:cs="宋体"/>
          <w:bCs/>
          <w:color w:val="auto"/>
          <w:kern w:val="0"/>
          <w:sz w:val="21"/>
          <w:szCs w:val="21"/>
        </w:rPr>
        <w:t>四、</w:t>
      </w:r>
      <w:r>
        <w:rPr>
          <w:rFonts w:hint="eastAsia" w:ascii="宋体" w:hAnsi="宋体" w:cs="宋体"/>
          <w:color w:val="auto"/>
          <w:sz w:val="21"/>
          <w:szCs w:val="24"/>
        </w:rPr>
        <w:t>合同履行期限</w:t>
      </w:r>
      <w:r>
        <w:rPr>
          <w:rFonts w:hint="eastAsia" w:ascii="宋体" w:hAnsi="宋体" w:cs="宋体"/>
          <w:color w:val="auto"/>
          <w:spacing w:val="2"/>
          <w:sz w:val="21"/>
          <w:szCs w:val="24"/>
        </w:rPr>
        <w:t>：服务期限三年（采用1+1+1模式），自合同签订之日起，合同一年一签</w:t>
      </w:r>
      <w:r>
        <w:rPr>
          <w:rFonts w:hint="eastAsia" w:ascii="宋体" w:hAnsi="宋体" w:cs="宋体"/>
          <w:b/>
          <w:bCs/>
          <w:color w:val="auto"/>
          <w:spacing w:val="2"/>
          <w:sz w:val="21"/>
          <w:szCs w:val="24"/>
        </w:rPr>
        <w:t>，经采购人考核合格后，在年度预算满足的情况下续签下一年合同，</w:t>
      </w:r>
      <w:r>
        <w:rPr>
          <w:rFonts w:hint="eastAsia" w:ascii="宋体" w:hAnsi="宋体" w:cs="宋体"/>
          <w:color w:val="auto"/>
          <w:spacing w:val="2"/>
          <w:sz w:val="21"/>
          <w:szCs w:val="24"/>
        </w:rPr>
        <w:t>最多续签两年。</w:t>
      </w:r>
    </w:p>
    <w:p w14:paraId="4E2B4086">
      <w:pPr>
        <w:spacing w:line="360" w:lineRule="auto"/>
        <w:rPr>
          <w:rFonts w:ascii="宋体" w:hAnsi="宋体" w:cs="宋体"/>
          <w:bCs/>
          <w:color w:val="auto"/>
          <w:kern w:val="0"/>
          <w:sz w:val="21"/>
          <w:szCs w:val="21"/>
        </w:rPr>
      </w:pPr>
      <w:r>
        <w:rPr>
          <w:rFonts w:hint="eastAsia" w:ascii="宋体" w:hAnsi="宋体" w:cs="宋体"/>
          <w:bCs/>
          <w:color w:val="auto"/>
          <w:kern w:val="0"/>
          <w:sz w:val="21"/>
          <w:szCs w:val="21"/>
        </w:rPr>
        <w:t>五、付款方式：</w:t>
      </w:r>
    </w:p>
    <w:p w14:paraId="5E093690">
      <w:pPr>
        <w:spacing w:line="360" w:lineRule="auto"/>
        <w:ind w:firstLine="420" w:firstLineChars="200"/>
        <w:rPr>
          <w:rFonts w:ascii="宋体" w:hAnsi="宋体" w:cs="宋体"/>
          <w:bCs/>
          <w:color w:val="auto"/>
          <w:kern w:val="0"/>
          <w:sz w:val="21"/>
          <w:szCs w:val="21"/>
        </w:rPr>
      </w:pPr>
      <w:r>
        <w:rPr>
          <w:rFonts w:hint="eastAsia" w:ascii="宋体" w:hAnsi="宋体" w:cs="宋体"/>
          <w:bCs/>
          <w:color w:val="auto"/>
          <w:kern w:val="0"/>
          <w:sz w:val="21"/>
          <w:szCs w:val="21"/>
        </w:rPr>
        <w:t>咨询服务费用按每个清算项目（分期项目合并）计算，</w:t>
      </w:r>
      <w:r>
        <w:rPr>
          <w:rFonts w:hint="eastAsia" w:ascii="宋体" w:hAnsi="宋体" w:cs="宋体"/>
          <w:bCs/>
          <w:color w:val="auto"/>
          <w:kern w:val="0"/>
          <w:sz w:val="21"/>
          <w:szCs w:val="21"/>
        </w:rPr>
        <w:t>采用基础费用和协审影响土地增值税清算税款比例费率</w:t>
      </w:r>
      <w:r>
        <w:rPr>
          <w:rFonts w:hint="eastAsia" w:ascii="宋体" w:hAnsi="宋体" w:cs="宋体"/>
          <w:bCs/>
          <w:color w:val="auto"/>
          <w:kern w:val="0"/>
          <w:sz w:val="21"/>
          <w:szCs w:val="21"/>
        </w:rPr>
        <w:t>计算的“绩效费用”相结合的方法确定费用，</w:t>
      </w:r>
      <w:r>
        <w:rPr>
          <w:rFonts w:hint="eastAsia" w:ascii="宋体" w:hAnsi="宋体" w:cs="宋体"/>
          <w:bCs/>
          <w:color w:val="auto"/>
          <w:kern w:val="0"/>
          <w:sz w:val="21"/>
          <w:szCs w:val="21"/>
        </w:rPr>
        <w:t>具体费用以业务量*成交单价确认结算金额，结算</w:t>
      </w:r>
      <w:r>
        <w:rPr>
          <w:rFonts w:hint="eastAsia" w:ascii="宋体" w:hAnsi="宋体" w:cs="宋体"/>
          <w:bCs/>
          <w:color w:val="auto"/>
          <w:kern w:val="0"/>
          <w:sz w:val="21"/>
          <w:szCs w:val="21"/>
        </w:rPr>
        <w:t>金额中包括但不限于磋商文件及其基本技术要求范围内相应服务前的准备、员工费用和管理人员费用、离职补偿金、保险、管理费、培训费、加班费（包括全年法定假日、双休日及职工带薪年假加班费）、岗位补贴、高温补贴、员工福利、社会保险、公积金、商业保险、利润、设备、工具、消耗品、工会费、维护修理、折旧、各种税费、政策性文件规定及项目明示或暗示的所有风险、责任、义务等各项应有的费用。上述未列明，但乙方认为所需的其他费用也包含在内，甲方不接受乙方任何因遗漏报价而发生的费用追加，就爱放不再向乙方支付其他任何费用。</w:t>
      </w:r>
    </w:p>
    <w:p w14:paraId="35079659">
      <w:pPr>
        <w:spacing w:line="360" w:lineRule="auto"/>
        <w:ind w:firstLine="420" w:firstLineChars="200"/>
        <w:rPr>
          <w:rFonts w:ascii="宋体" w:hAnsi="宋体" w:cs="宋体"/>
          <w:bCs/>
          <w:color w:val="auto"/>
          <w:kern w:val="0"/>
          <w:sz w:val="21"/>
          <w:szCs w:val="21"/>
        </w:rPr>
      </w:pPr>
      <w:r>
        <w:rPr>
          <w:rFonts w:hint="eastAsia" w:ascii="宋体" w:hAnsi="宋体" w:cs="宋体"/>
          <w:bCs/>
          <w:color w:val="auto"/>
          <w:kern w:val="0"/>
          <w:sz w:val="21"/>
          <w:szCs w:val="21"/>
        </w:rPr>
        <w:t>2.每次付款时，乙方应与甲方确定对应周期结算金额，并按要求开具本项目内容的有效发票，凭票及有关付款材料向甲方申请付款，甲方收到服务费发票及有关付款材料齐全之日后15个工作日内向乙方支付相应费用。因乙方未及时提供发票及有关付款材料导致相应后果的，甲方不承担任何责任。</w:t>
      </w:r>
    </w:p>
    <w:p w14:paraId="79BC52F8">
      <w:pPr>
        <w:spacing w:line="360" w:lineRule="auto"/>
        <w:rPr>
          <w:rFonts w:ascii="宋体" w:hAnsi="宋体" w:cs="宋体"/>
          <w:bCs/>
          <w:color w:val="auto"/>
          <w:kern w:val="0"/>
          <w:sz w:val="21"/>
          <w:szCs w:val="21"/>
        </w:rPr>
      </w:pPr>
      <w:r>
        <w:rPr>
          <w:rFonts w:hint="eastAsia" w:ascii="宋体" w:hAnsi="宋体" w:cs="宋体"/>
          <w:bCs/>
          <w:color w:val="auto"/>
          <w:kern w:val="0"/>
          <w:sz w:val="21"/>
          <w:szCs w:val="21"/>
        </w:rPr>
        <w:t>六、双方权利义务</w:t>
      </w:r>
    </w:p>
    <w:p w14:paraId="4549F2EC">
      <w:pPr>
        <w:spacing w:line="360" w:lineRule="auto"/>
        <w:ind w:firstLine="422" w:firstLineChars="200"/>
        <w:rPr>
          <w:rFonts w:ascii="宋体" w:hAnsi="宋体" w:cs="宋体"/>
          <w:b/>
          <w:bCs/>
          <w:color w:val="auto"/>
          <w:sz w:val="21"/>
          <w:szCs w:val="21"/>
        </w:rPr>
      </w:pPr>
      <w:r>
        <w:rPr>
          <w:rFonts w:hint="eastAsia" w:ascii="宋体" w:hAnsi="宋体" w:cs="宋体"/>
          <w:b/>
          <w:bCs/>
          <w:color w:val="auto"/>
          <w:sz w:val="21"/>
          <w:szCs w:val="21"/>
        </w:rPr>
        <w:t>（一）甲方权利义务</w:t>
      </w:r>
    </w:p>
    <w:p w14:paraId="0DBCF350">
      <w:pPr>
        <w:spacing w:line="360" w:lineRule="auto"/>
        <w:ind w:firstLine="420" w:firstLineChars="200"/>
        <w:rPr>
          <w:rFonts w:ascii="宋体" w:hAnsi="宋体" w:cs="宋体"/>
          <w:color w:val="auto"/>
          <w:sz w:val="21"/>
          <w:szCs w:val="21"/>
        </w:rPr>
      </w:pPr>
      <w:r>
        <w:rPr>
          <w:rFonts w:hint="eastAsia" w:ascii="宋体" w:hAnsi="宋体" w:cs="宋体"/>
          <w:color w:val="auto"/>
          <w:sz w:val="21"/>
          <w:szCs w:val="21"/>
        </w:rPr>
        <w:t>1.按照磋商文件要求、响应文件承诺、合同约定等对乙方服务进行验收并考核管理；</w:t>
      </w:r>
    </w:p>
    <w:p w14:paraId="5E935D69">
      <w:pPr>
        <w:spacing w:line="360" w:lineRule="auto"/>
        <w:ind w:firstLine="420" w:firstLineChars="200"/>
        <w:rPr>
          <w:rFonts w:ascii="宋体" w:hAnsi="宋体" w:cs="宋体"/>
          <w:color w:val="auto"/>
          <w:sz w:val="21"/>
          <w:szCs w:val="21"/>
        </w:rPr>
      </w:pPr>
      <w:r>
        <w:rPr>
          <w:rFonts w:hint="eastAsia" w:ascii="宋体" w:hAnsi="宋体" w:cs="宋体"/>
          <w:color w:val="auto"/>
          <w:sz w:val="21"/>
          <w:szCs w:val="21"/>
        </w:rPr>
        <w:t>2.按时核定协审服务费。</w:t>
      </w:r>
    </w:p>
    <w:p w14:paraId="4D7DB3C0">
      <w:pPr>
        <w:spacing w:line="360" w:lineRule="auto"/>
        <w:ind w:firstLine="420" w:firstLineChars="200"/>
        <w:rPr>
          <w:rFonts w:ascii="宋体" w:hAnsi="宋体" w:cs="宋体"/>
          <w:color w:val="auto"/>
          <w:sz w:val="21"/>
          <w:szCs w:val="21"/>
        </w:rPr>
      </w:pPr>
      <w:r>
        <w:rPr>
          <w:rFonts w:hint="eastAsia" w:ascii="宋体" w:hAnsi="宋体" w:cs="宋体"/>
          <w:color w:val="auto"/>
          <w:sz w:val="21"/>
          <w:szCs w:val="21"/>
        </w:rPr>
        <w:t>3.甲方应在自身职责范围内购买服务，按照政府采购方式和程序，委托符合条件的服务供应商承担。</w:t>
      </w:r>
    </w:p>
    <w:p w14:paraId="70AB69A7">
      <w:pPr>
        <w:spacing w:line="360" w:lineRule="auto"/>
        <w:ind w:firstLine="420" w:firstLineChars="200"/>
        <w:rPr>
          <w:rFonts w:ascii="宋体" w:hAnsi="宋体" w:cs="宋体"/>
          <w:color w:val="auto"/>
          <w:sz w:val="21"/>
          <w:szCs w:val="21"/>
        </w:rPr>
      </w:pPr>
      <w:r>
        <w:rPr>
          <w:rFonts w:hint="eastAsia" w:ascii="宋体" w:hAnsi="宋体" w:cs="宋体"/>
          <w:color w:val="auto"/>
          <w:sz w:val="21"/>
          <w:szCs w:val="21"/>
        </w:rPr>
        <w:t>4.分配造价咨询任务、与乙方签订项目委托书并对乙方履行任务情况从工作效率、执业质量、服务水平、工作要求方面作出适当评价。</w:t>
      </w:r>
    </w:p>
    <w:p w14:paraId="3E65617A">
      <w:pPr>
        <w:spacing w:line="360" w:lineRule="auto"/>
        <w:ind w:firstLine="420" w:firstLineChars="200"/>
        <w:rPr>
          <w:rFonts w:ascii="宋体" w:hAnsi="宋体" w:cs="宋体"/>
          <w:color w:val="auto"/>
          <w:sz w:val="21"/>
          <w:szCs w:val="21"/>
        </w:rPr>
      </w:pPr>
      <w:r>
        <w:rPr>
          <w:rFonts w:hint="eastAsia" w:ascii="宋体" w:hAnsi="宋体" w:cs="宋体"/>
          <w:color w:val="auto"/>
          <w:sz w:val="21"/>
          <w:szCs w:val="21"/>
        </w:rPr>
        <w:t>5.为乙方开展建筑安装工程造价咨询提供必要的外部条件与协助。</w:t>
      </w:r>
    </w:p>
    <w:p w14:paraId="3800671F">
      <w:pPr>
        <w:spacing w:line="360" w:lineRule="auto"/>
        <w:ind w:firstLine="420" w:firstLineChars="200"/>
        <w:rPr>
          <w:rFonts w:ascii="宋体" w:hAnsi="宋体" w:cs="宋体"/>
          <w:color w:val="auto"/>
          <w:sz w:val="21"/>
          <w:szCs w:val="21"/>
        </w:rPr>
      </w:pPr>
      <w:r>
        <w:rPr>
          <w:rFonts w:hint="eastAsia" w:ascii="宋体" w:hAnsi="宋体" w:cs="宋体"/>
          <w:color w:val="auto"/>
          <w:sz w:val="21"/>
          <w:szCs w:val="21"/>
        </w:rPr>
        <w:t>6.在乙方全面履行本合同义务的前提下，按合同约定结算并支付委托造价咨询服务费用。</w:t>
      </w:r>
    </w:p>
    <w:p w14:paraId="1DE9EA15">
      <w:pPr>
        <w:spacing w:line="360" w:lineRule="auto"/>
        <w:ind w:firstLine="422" w:firstLineChars="200"/>
        <w:rPr>
          <w:rFonts w:ascii="宋体" w:hAnsi="宋体" w:cs="宋体"/>
          <w:b/>
          <w:bCs/>
          <w:color w:val="auto"/>
          <w:sz w:val="21"/>
          <w:szCs w:val="21"/>
        </w:rPr>
      </w:pPr>
      <w:r>
        <w:rPr>
          <w:rFonts w:hint="eastAsia" w:ascii="宋体" w:hAnsi="宋体" w:cs="宋体"/>
          <w:b/>
          <w:bCs/>
          <w:color w:val="auto"/>
          <w:sz w:val="21"/>
          <w:szCs w:val="21"/>
        </w:rPr>
        <w:t>（二）乙方权利义务</w:t>
      </w:r>
    </w:p>
    <w:p w14:paraId="445A74E6">
      <w:pPr>
        <w:spacing w:line="360" w:lineRule="auto"/>
        <w:ind w:firstLine="420" w:firstLineChars="200"/>
        <w:rPr>
          <w:rFonts w:ascii="宋体" w:hAnsi="宋体" w:cs="宋体"/>
          <w:color w:val="auto"/>
          <w:sz w:val="21"/>
          <w:szCs w:val="21"/>
        </w:rPr>
      </w:pPr>
      <w:r>
        <w:rPr>
          <w:rFonts w:hint="eastAsia" w:ascii="宋体" w:hAnsi="宋体" w:cs="宋体"/>
          <w:color w:val="auto"/>
          <w:sz w:val="21"/>
          <w:szCs w:val="21"/>
        </w:rPr>
        <w:t>1.乙方应根据甲方确定的工作安排，建立质量管理体系，严格遵守国家的有关法律、法规、制度规定、有关执业规范及甲方的工作要求和工作规范，进行项目工程造价提供咨询服务和协审，严把审核质量关，根据委托协议书和项目的具体要求独立客观公正地出具咨询协审业务报告等鉴证材料，对咨询协审意见的真实性、完整性、可靠性负责。</w:t>
      </w:r>
    </w:p>
    <w:p w14:paraId="11EEF582">
      <w:pPr>
        <w:spacing w:line="360" w:lineRule="auto"/>
        <w:ind w:firstLine="420" w:firstLineChars="200"/>
        <w:rPr>
          <w:rFonts w:ascii="宋体" w:hAnsi="宋体" w:cs="宋体"/>
          <w:color w:val="auto"/>
          <w:sz w:val="21"/>
          <w:szCs w:val="21"/>
        </w:rPr>
      </w:pPr>
      <w:r>
        <w:rPr>
          <w:rFonts w:hint="eastAsia" w:ascii="宋体" w:hAnsi="宋体" w:cs="宋体"/>
          <w:color w:val="auto"/>
          <w:sz w:val="21"/>
          <w:szCs w:val="21"/>
        </w:rPr>
        <w:t>2.乙方拟派人员整个服务期应保持稳定，拟派人员未经甲方同意不得擅自更换且数量不低于承诺数量，并服从甲方人员备案、考勤及考核管理，人员考勤合格率应符合响应文件要求。</w:t>
      </w:r>
    </w:p>
    <w:p w14:paraId="19D08757">
      <w:pPr>
        <w:spacing w:line="360" w:lineRule="auto"/>
        <w:ind w:firstLine="420" w:firstLineChars="200"/>
        <w:rPr>
          <w:rFonts w:ascii="宋体" w:hAnsi="宋体" w:cs="宋体"/>
          <w:color w:val="auto"/>
          <w:sz w:val="21"/>
          <w:szCs w:val="21"/>
        </w:rPr>
      </w:pPr>
      <w:r>
        <w:rPr>
          <w:rFonts w:hint="eastAsia" w:ascii="宋体" w:hAnsi="宋体" w:cs="宋体"/>
          <w:color w:val="auto"/>
          <w:sz w:val="21"/>
          <w:szCs w:val="21"/>
        </w:rPr>
        <w:t>3.乙方的工作必须接受甲方根据本磋商文件及其附件约定开展的考核，主要考核内容包括工作效率、执业质量、服务水平、工作要求等方面，并接受甲方根据考核结果做出的奖惩。对乙方不同意参加考核以及不配合考核的，甲方有权终止本合同，并且乙方无权要求甲方支付任何款项。</w:t>
      </w:r>
    </w:p>
    <w:p w14:paraId="369BECDB">
      <w:pPr>
        <w:spacing w:line="360" w:lineRule="auto"/>
        <w:ind w:firstLine="420" w:firstLineChars="200"/>
        <w:rPr>
          <w:rFonts w:ascii="宋体" w:hAnsi="宋体" w:cs="宋体"/>
          <w:strike/>
          <w:color w:val="auto"/>
          <w:sz w:val="21"/>
          <w:szCs w:val="21"/>
          <w:lang w:val="zh-CN"/>
        </w:rPr>
      </w:pPr>
      <w:r>
        <w:rPr>
          <w:rFonts w:hint="eastAsia" w:ascii="宋体" w:hAnsi="宋体" w:cs="宋体"/>
          <w:color w:val="auto"/>
          <w:sz w:val="21"/>
          <w:szCs w:val="21"/>
        </w:rPr>
        <w:t>4.乙方应</w:t>
      </w:r>
      <w:r>
        <w:rPr>
          <w:rFonts w:hint="eastAsia" w:ascii="宋体" w:hAnsi="宋体" w:cs="宋体"/>
          <w:color w:val="auto"/>
          <w:sz w:val="21"/>
          <w:szCs w:val="21"/>
          <w:lang w:val="zh-CN"/>
        </w:rPr>
        <w:t>确保项目审核质量，按时完成协审工作，具体时间</w:t>
      </w:r>
      <w:r>
        <w:rPr>
          <w:rFonts w:hint="eastAsia" w:ascii="宋体" w:hAnsi="宋体" w:cs="宋体"/>
          <w:color w:val="auto"/>
          <w:sz w:val="21"/>
          <w:szCs w:val="21"/>
        </w:rPr>
        <w:t>要求磋商文件为准</w:t>
      </w:r>
      <w:r>
        <w:rPr>
          <w:rFonts w:hint="eastAsia" w:ascii="宋体" w:hAnsi="宋体" w:cs="宋体"/>
          <w:color w:val="auto"/>
          <w:sz w:val="21"/>
          <w:szCs w:val="21"/>
          <w:lang w:val="zh-CN"/>
        </w:rPr>
        <w:t>。</w:t>
      </w:r>
    </w:p>
    <w:p w14:paraId="1C28FE97">
      <w:pPr>
        <w:spacing w:line="360" w:lineRule="auto"/>
        <w:ind w:firstLine="420" w:firstLineChars="200"/>
        <w:rPr>
          <w:rFonts w:ascii="宋体" w:hAnsi="宋体" w:cs="宋体"/>
          <w:color w:val="auto"/>
          <w:sz w:val="21"/>
          <w:szCs w:val="21"/>
        </w:rPr>
      </w:pPr>
      <w:r>
        <w:rPr>
          <w:rFonts w:hint="eastAsia" w:ascii="宋体" w:hAnsi="宋体" w:cs="宋体"/>
          <w:color w:val="auto"/>
          <w:sz w:val="21"/>
          <w:szCs w:val="21"/>
        </w:rPr>
        <w:t>5.乙方的协审报告只向甲方提供，不得自行提供给其他单位。对于协审工作产生重大质量误差、协审效率严重拖延、协审工作要求违反各级造价行业规定及甲方规范，以及提供不实或内容虚假的协审结果以及自行对外提供协审报告的，除由乙方自行承担责任外，甲方有权按要求进行严格考核并采取必要惩罚措施。情节严重的，依法提请有关部门追究乙方和相关责任人的行政及法律责任。</w:t>
      </w:r>
    </w:p>
    <w:p w14:paraId="6E440F08">
      <w:pPr>
        <w:spacing w:line="360" w:lineRule="auto"/>
        <w:ind w:firstLine="420" w:firstLineChars="200"/>
        <w:rPr>
          <w:rFonts w:ascii="宋体" w:hAnsi="宋体" w:cs="宋体"/>
          <w:color w:val="auto"/>
          <w:sz w:val="21"/>
          <w:szCs w:val="21"/>
        </w:rPr>
      </w:pPr>
      <w:r>
        <w:rPr>
          <w:rFonts w:hint="eastAsia" w:ascii="宋体" w:hAnsi="宋体" w:cs="宋体"/>
          <w:color w:val="auto"/>
          <w:sz w:val="21"/>
          <w:szCs w:val="21"/>
        </w:rPr>
        <w:t>6.乙方应按时提供咨询服务，完成协审工作，自接到具体项目委托时，应与甲方签订具体项目委托书。在具体项目咨询委托书签订后3个工作日内与主管税务机关完成对接，自对接次日起30日内完成咨询并提交造价咨询协审报告及明细数据，期间不得单独与清算项目单位及其利益相关者自行商谈，如遇问题，应在3个工作日内报甲方，不得擅自作主。对在咨询协审过程中发现由于被询和被审项目的单位提供资料不全，且由于补送资料不及时而严重影响进度的，由乙方提出要求延长咨询服务和协审时间的书面申请，经甲方核准后给予调整时间。发生不可抗力情形的，待该情形消除后，按上述回复期限执行。</w:t>
      </w:r>
    </w:p>
    <w:p w14:paraId="5D29AA9B">
      <w:pPr>
        <w:spacing w:line="360" w:lineRule="auto"/>
        <w:ind w:firstLine="420" w:firstLineChars="200"/>
        <w:rPr>
          <w:rFonts w:ascii="宋体" w:hAnsi="宋体" w:cs="宋体"/>
          <w:bCs/>
          <w:color w:val="auto"/>
          <w:kern w:val="0"/>
          <w:sz w:val="21"/>
          <w:szCs w:val="21"/>
        </w:rPr>
      </w:pPr>
      <w:r>
        <w:rPr>
          <w:rFonts w:hint="eastAsia" w:ascii="宋体" w:hAnsi="宋体" w:cs="宋体"/>
          <w:bCs/>
          <w:color w:val="auto"/>
          <w:kern w:val="0"/>
          <w:sz w:val="21"/>
          <w:szCs w:val="21"/>
        </w:rPr>
        <w:t>七、违约责任</w:t>
      </w:r>
    </w:p>
    <w:p w14:paraId="2C8E9628">
      <w:pPr>
        <w:spacing w:line="360" w:lineRule="auto"/>
        <w:ind w:firstLine="420" w:firstLineChars="200"/>
        <w:rPr>
          <w:rFonts w:ascii="宋体" w:hAnsi="宋体" w:cs="宋体"/>
          <w:bCs/>
          <w:color w:val="auto"/>
          <w:kern w:val="0"/>
          <w:sz w:val="21"/>
          <w:szCs w:val="21"/>
        </w:rPr>
      </w:pPr>
      <w:r>
        <w:rPr>
          <w:rFonts w:hint="eastAsia" w:ascii="宋体" w:hAnsi="宋体" w:cs="宋体"/>
          <w:bCs/>
          <w:color w:val="auto"/>
          <w:kern w:val="0"/>
          <w:sz w:val="21"/>
          <w:szCs w:val="21"/>
        </w:rPr>
        <w:t>1.乙方应按照商定的工作进度计划开展协审工作，未能在委托协审任务书要求的时间内（含同意延长的时间）完成相关工作或收到甲方两次书面警告则视为违约。如有违约，甲方可酌情扣减应付业务费总额的10%-20%；情况严重的，将暂停其协审工作，对乙方可能已经发生的费用不予支付；甲方有权终止合同执行。</w:t>
      </w:r>
    </w:p>
    <w:p w14:paraId="71B8B06E">
      <w:pPr>
        <w:spacing w:line="360" w:lineRule="auto"/>
        <w:ind w:firstLine="420" w:firstLineChars="200"/>
        <w:rPr>
          <w:rFonts w:ascii="宋体" w:hAnsi="宋体" w:cs="宋体"/>
          <w:bCs/>
          <w:color w:val="auto"/>
          <w:kern w:val="0"/>
          <w:sz w:val="21"/>
          <w:szCs w:val="21"/>
        </w:rPr>
      </w:pPr>
      <w:r>
        <w:rPr>
          <w:rFonts w:hint="eastAsia" w:ascii="宋体" w:hAnsi="宋体" w:cs="宋体"/>
          <w:bCs/>
          <w:color w:val="auto"/>
          <w:kern w:val="0"/>
          <w:sz w:val="21"/>
          <w:szCs w:val="21"/>
        </w:rPr>
        <w:t>2.乙方必须由事先约定的本单位协审小组人员独立完成协审工作,不得以转包、分包、合作等任何形式变更、转让、租借本次服务资格。如有上述情况发生，视为违约。如有违约，甲方可酌情扣减应付业务费总额的5%-10%；情况严重的，可暂停其协审工作，对乙方可能已经发生的费用不予支付；甲方有权终止合同执行。</w:t>
      </w:r>
    </w:p>
    <w:p w14:paraId="55F49643">
      <w:pPr>
        <w:spacing w:line="360" w:lineRule="auto"/>
        <w:ind w:firstLine="420" w:firstLineChars="200"/>
        <w:rPr>
          <w:rFonts w:ascii="宋体" w:hAnsi="宋体" w:cs="宋体"/>
          <w:bCs/>
          <w:color w:val="auto"/>
          <w:kern w:val="0"/>
          <w:sz w:val="21"/>
          <w:szCs w:val="21"/>
        </w:rPr>
      </w:pPr>
      <w:r>
        <w:rPr>
          <w:rFonts w:hint="eastAsia" w:ascii="宋体" w:hAnsi="宋体" w:cs="宋体"/>
          <w:bCs/>
          <w:color w:val="auto"/>
          <w:kern w:val="0"/>
          <w:sz w:val="21"/>
          <w:szCs w:val="21"/>
        </w:rPr>
        <w:t>3.对提供不实或内容虚假的结果以及自行对外提供协审意见的，除由乙方自行承担责任外，甲方可采取必要措施终止委托，情节严重的，依法提请有关部门追究单位和相关责任人的行政及法律责任。</w:t>
      </w:r>
    </w:p>
    <w:p w14:paraId="0565713C">
      <w:pPr>
        <w:spacing w:line="360" w:lineRule="auto"/>
        <w:rPr>
          <w:rFonts w:ascii="宋体" w:hAnsi="宋体" w:cs="宋体"/>
          <w:bCs/>
          <w:color w:val="auto"/>
          <w:kern w:val="0"/>
          <w:sz w:val="21"/>
          <w:szCs w:val="21"/>
        </w:rPr>
      </w:pPr>
      <w:r>
        <w:rPr>
          <w:rFonts w:hint="eastAsia" w:ascii="宋体" w:hAnsi="宋体" w:cs="宋体"/>
          <w:bCs/>
          <w:color w:val="auto"/>
          <w:kern w:val="0"/>
          <w:sz w:val="21"/>
          <w:szCs w:val="21"/>
        </w:rPr>
        <w:t>八、合同的解除</w:t>
      </w:r>
    </w:p>
    <w:p w14:paraId="0230ED56">
      <w:pPr>
        <w:spacing w:line="360" w:lineRule="auto"/>
        <w:ind w:firstLine="420" w:firstLineChars="200"/>
        <w:rPr>
          <w:rFonts w:ascii="宋体" w:hAnsi="宋体" w:cs="宋体"/>
          <w:color w:val="auto"/>
          <w:sz w:val="21"/>
          <w:szCs w:val="21"/>
        </w:rPr>
      </w:pPr>
      <w:r>
        <w:rPr>
          <w:rFonts w:hint="eastAsia" w:ascii="宋体" w:hAnsi="宋体" w:cs="宋体"/>
          <w:color w:val="auto"/>
          <w:sz w:val="21"/>
          <w:szCs w:val="21"/>
        </w:rPr>
        <w:t>1.甲方和乙方协商一致，可以解除合同。</w:t>
      </w:r>
    </w:p>
    <w:p w14:paraId="1C21B8E0">
      <w:pPr>
        <w:spacing w:line="360" w:lineRule="auto"/>
        <w:ind w:firstLine="420" w:firstLineChars="200"/>
        <w:rPr>
          <w:rFonts w:ascii="宋体" w:hAnsi="宋体" w:cs="宋体"/>
          <w:color w:val="auto"/>
          <w:sz w:val="21"/>
          <w:szCs w:val="21"/>
        </w:rPr>
      </w:pPr>
      <w:r>
        <w:rPr>
          <w:rFonts w:hint="eastAsia" w:ascii="宋体" w:hAnsi="宋体" w:cs="宋体"/>
          <w:color w:val="auto"/>
          <w:sz w:val="21"/>
          <w:szCs w:val="21"/>
        </w:rPr>
        <w:t>2.有权解除合同的一方，应当在违约事实或不可抗力发生之后三十天内书面通知对方提出解除合同，合同在书面通知到达对方时解除。</w:t>
      </w:r>
    </w:p>
    <w:p w14:paraId="6DD20913">
      <w:pPr>
        <w:spacing w:line="360" w:lineRule="auto"/>
        <w:ind w:firstLine="420" w:firstLineChars="200"/>
        <w:rPr>
          <w:rFonts w:ascii="宋体" w:hAnsi="宋体" w:cs="宋体"/>
          <w:color w:val="auto"/>
          <w:sz w:val="21"/>
          <w:szCs w:val="21"/>
        </w:rPr>
      </w:pPr>
      <w:r>
        <w:rPr>
          <w:rFonts w:hint="eastAsia" w:ascii="宋体" w:hAnsi="宋体" w:cs="宋体"/>
          <w:color w:val="auto"/>
          <w:sz w:val="21"/>
          <w:szCs w:val="21"/>
        </w:rPr>
        <w:t>3.乙方出现下列情况的，甲方除可采取相关考核措施外，甲方仍有权视情况严重程度单方面终止合同，且无需承担任何赔偿义务，由此产生的经济损失和法律责任均由乙方承担。</w:t>
      </w:r>
    </w:p>
    <w:p w14:paraId="4AF8218C">
      <w:pPr>
        <w:spacing w:line="360" w:lineRule="auto"/>
        <w:ind w:firstLine="420" w:firstLineChars="200"/>
        <w:rPr>
          <w:rFonts w:ascii="宋体" w:hAnsi="宋体" w:cs="宋体"/>
          <w:color w:val="auto"/>
          <w:sz w:val="21"/>
          <w:szCs w:val="21"/>
        </w:rPr>
      </w:pPr>
      <w:r>
        <w:rPr>
          <w:rFonts w:hint="eastAsia" w:ascii="宋体" w:hAnsi="宋体" w:cs="宋体"/>
          <w:color w:val="auto"/>
          <w:sz w:val="21"/>
          <w:szCs w:val="21"/>
        </w:rPr>
        <w:t>（1）在合同有效期内，被行业主管部门取消经营（从业）资格的。</w:t>
      </w:r>
    </w:p>
    <w:p w14:paraId="6DEEA236">
      <w:pPr>
        <w:spacing w:line="360" w:lineRule="auto"/>
        <w:ind w:firstLine="420" w:firstLineChars="200"/>
        <w:rPr>
          <w:rFonts w:ascii="宋体" w:hAnsi="宋体" w:cs="宋体"/>
          <w:color w:val="auto"/>
          <w:sz w:val="21"/>
          <w:szCs w:val="21"/>
        </w:rPr>
      </w:pPr>
      <w:r>
        <w:rPr>
          <w:rFonts w:hint="eastAsia" w:ascii="宋体" w:hAnsi="宋体" w:cs="宋体"/>
          <w:color w:val="auto"/>
          <w:sz w:val="21"/>
          <w:szCs w:val="21"/>
        </w:rPr>
        <w:t>（2）乙方未经甲方同意擅自将服务合同转包或分包给第三人的，以及乙方违反法律法规、规章或其他相关规范性文件的规定，影响合同履行的。</w:t>
      </w:r>
    </w:p>
    <w:p w14:paraId="3B753E40">
      <w:pPr>
        <w:spacing w:line="360" w:lineRule="auto"/>
        <w:ind w:firstLine="420" w:firstLineChars="200"/>
        <w:rPr>
          <w:rFonts w:ascii="宋体" w:hAnsi="宋体" w:cs="宋体"/>
          <w:color w:val="auto"/>
          <w:sz w:val="21"/>
          <w:szCs w:val="21"/>
        </w:rPr>
      </w:pPr>
      <w:r>
        <w:rPr>
          <w:rFonts w:hint="eastAsia" w:ascii="宋体" w:hAnsi="宋体" w:cs="宋体"/>
          <w:color w:val="auto"/>
          <w:sz w:val="21"/>
          <w:szCs w:val="21"/>
        </w:rPr>
        <w:t>（3）合同期内乙方未达到服务目标，对于甲方所发现的问题，乙方不按照甲方的要求进行整改或整改不到位的。</w:t>
      </w:r>
    </w:p>
    <w:p w14:paraId="77DA2CF8">
      <w:pPr>
        <w:spacing w:line="360" w:lineRule="auto"/>
        <w:ind w:firstLine="420" w:firstLineChars="200"/>
        <w:rPr>
          <w:rFonts w:ascii="宋体" w:hAnsi="宋体" w:cs="宋体"/>
          <w:color w:val="auto"/>
          <w:sz w:val="21"/>
          <w:szCs w:val="21"/>
        </w:rPr>
      </w:pPr>
      <w:r>
        <w:rPr>
          <w:rFonts w:hint="eastAsia" w:ascii="宋体" w:hAnsi="宋体" w:cs="宋体"/>
          <w:color w:val="auto"/>
          <w:sz w:val="21"/>
          <w:szCs w:val="21"/>
        </w:rPr>
        <w:t>（4）咨询答复和协审报告不实，不如实反映情况，提供虚假材料的（包括但不限于与标的纳税人勾结串通，答复造价严重偏离市场价格等情况）。</w:t>
      </w:r>
    </w:p>
    <w:p w14:paraId="29AB1C90">
      <w:pPr>
        <w:spacing w:line="360" w:lineRule="auto"/>
        <w:ind w:firstLine="420" w:firstLineChars="200"/>
        <w:rPr>
          <w:rFonts w:ascii="宋体" w:hAnsi="宋体" w:cs="宋体"/>
          <w:color w:val="auto"/>
          <w:sz w:val="21"/>
          <w:szCs w:val="21"/>
        </w:rPr>
      </w:pPr>
      <w:r>
        <w:rPr>
          <w:rFonts w:hint="eastAsia" w:ascii="宋体" w:hAnsi="宋体" w:cs="宋体"/>
          <w:color w:val="auto"/>
          <w:sz w:val="21"/>
          <w:szCs w:val="21"/>
        </w:rPr>
        <w:t>（5）甲方对乙方所服务本项目范围监督、检查，乙方未全力配合，更以各种理由阻挠甲方监督、检查工作的。</w:t>
      </w:r>
    </w:p>
    <w:p w14:paraId="01B6824B">
      <w:pPr>
        <w:spacing w:line="360" w:lineRule="auto"/>
        <w:ind w:firstLine="420" w:firstLineChars="200"/>
        <w:rPr>
          <w:rFonts w:ascii="宋体" w:hAnsi="宋体" w:cs="宋体"/>
          <w:color w:val="auto"/>
          <w:sz w:val="21"/>
          <w:szCs w:val="21"/>
        </w:rPr>
      </w:pPr>
      <w:r>
        <w:rPr>
          <w:rFonts w:hint="eastAsia" w:ascii="宋体" w:hAnsi="宋体" w:cs="宋体"/>
          <w:color w:val="auto"/>
          <w:sz w:val="21"/>
          <w:szCs w:val="21"/>
        </w:rPr>
        <w:t>（6）未按照合同规定要求，乙方增加合同价格，未按承诺的价格提供服务的。</w:t>
      </w:r>
    </w:p>
    <w:p w14:paraId="10518881">
      <w:pPr>
        <w:spacing w:line="360" w:lineRule="auto"/>
        <w:ind w:firstLine="420" w:firstLineChars="200"/>
        <w:rPr>
          <w:rFonts w:ascii="宋体" w:hAnsi="宋体" w:cs="宋体"/>
          <w:color w:val="auto"/>
          <w:sz w:val="21"/>
          <w:szCs w:val="21"/>
        </w:rPr>
      </w:pPr>
      <w:r>
        <w:rPr>
          <w:rFonts w:hint="eastAsia" w:ascii="宋体" w:hAnsi="宋体" w:cs="宋体"/>
          <w:color w:val="auto"/>
          <w:sz w:val="21"/>
          <w:szCs w:val="21"/>
        </w:rPr>
        <w:t>（7）乙方未能确保履行保密义务，乙方及其委派的估价人员对估价过程中知悉的估价对象相关可比实例相关信息、修正系数、基准价格及各类数据泄密，对外泄露任何与存量房计税价格相关的信息。</w:t>
      </w:r>
    </w:p>
    <w:p w14:paraId="51A698F1">
      <w:pPr>
        <w:spacing w:line="360" w:lineRule="auto"/>
        <w:ind w:firstLine="420" w:firstLineChars="200"/>
        <w:rPr>
          <w:rFonts w:ascii="宋体" w:hAnsi="宋体" w:cs="宋体"/>
          <w:color w:val="auto"/>
          <w:sz w:val="21"/>
          <w:szCs w:val="21"/>
        </w:rPr>
      </w:pPr>
      <w:r>
        <w:rPr>
          <w:rFonts w:hint="eastAsia" w:ascii="宋体" w:hAnsi="宋体" w:cs="宋体"/>
          <w:color w:val="auto"/>
          <w:sz w:val="21"/>
          <w:szCs w:val="21"/>
        </w:rPr>
        <w:t>（8）其他未按磋商文件、乙方自身响应文件及甲方实际合理要求执行的。</w:t>
      </w:r>
    </w:p>
    <w:p w14:paraId="4944BBAB">
      <w:pPr>
        <w:spacing w:line="360" w:lineRule="auto"/>
        <w:ind w:firstLine="420" w:firstLineChars="200"/>
        <w:rPr>
          <w:rFonts w:ascii="宋体" w:hAnsi="宋体" w:cs="宋体"/>
          <w:color w:val="auto"/>
          <w:sz w:val="21"/>
          <w:szCs w:val="21"/>
        </w:rPr>
      </w:pPr>
      <w:r>
        <w:rPr>
          <w:rFonts w:hint="eastAsia" w:ascii="宋体" w:hAnsi="宋体" w:cs="宋体"/>
          <w:color w:val="auto"/>
          <w:sz w:val="21"/>
          <w:szCs w:val="21"/>
        </w:rPr>
        <w:t>4.乙方在任何情况下都不得用任何不正当行为影响、干扰委托单位按规定的办法自主选择服务商的行为（包括回扣、非公众性赠送礼品、贬损其他商家、价格欺诈等）。一经发现可立即解除合同，通报行业主管部门或其他相关部门进行处理，并建议将其作为行业及政府采购管理和信用评价的依据之一。</w:t>
      </w:r>
    </w:p>
    <w:p w14:paraId="3E80EC92">
      <w:pPr>
        <w:spacing w:line="360" w:lineRule="auto"/>
        <w:ind w:firstLine="420" w:firstLineChars="200"/>
        <w:rPr>
          <w:rFonts w:ascii="宋体" w:hAnsi="宋体" w:cs="宋体"/>
          <w:color w:val="auto"/>
          <w:sz w:val="21"/>
          <w:szCs w:val="21"/>
        </w:rPr>
      </w:pPr>
      <w:r>
        <w:rPr>
          <w:rFonts w:hint="eastAsia" w:ascii="宋体" w:hAnsi="宋体" w:cs="宋体"/>
          <w:color w:val="auto"/>
          <w:sz w:val="21"/>
          <w:szCs w:val="21"/>
        </w:rPr>
        <w:t>5.如果乙方破产、解散、清算、停业以及其他原因无法提供服务的，甲方可在任何时间以书面形式通知取消其服务商资格。该行为将不损害或影响甲方和委托单位已经采取和将要采取的任何行动和补救措施的权力。</w:t>
      </w:r>
    </w:p>
    <w:p w14:paraId="7DA654FD">
      <w:pPr>
        <w:spacing w:line="360" w:lineRule="auto"/>
        <w:rPr>
          <w:rFonts w:ascii="宋体" w:hAnsi="宋体" w:cs="宋体"/>
          <w:bCs/>
          <w:color w:val="auto"/>
          <w:kern w:val="0"/>
          <w:sz w:val="21"/>
          <w:szCs w:val="21"/>
        </w:rPr>
      </w:pPr>
      <w:r>
        <w:rPr>
          <w:rFonts w:hint="eastAsia" w:ascii="宋体" w:hAnsi="宋体" w:cs="宋体"/>
          <w:bCs/>
          <w:color w:val="auto"/>
          <w:kern w:val="0"/>
          <w:sz w:val="21"/>
          <w:szCs w:val="21"/>
        </w:rPr>
        <w:t>九、不可抗力</w:t>
      </w:r>
    </w:p>
    <w:p w14:paraId="0670FD63">
      <w:pPr>
        <w:spacing w:line="360" w:lineRule="auto"/>
        <w:ind w:firstLine="420" w:firstLineChars="200"/>
        <w:rPr>
          <w:rFonts w:ascii="宋体" w:hAnsi="宋体" w:cs="宋体"/>
          <w:color w:val="auto"/>
          <w:kern w:val="0"/>
          <w:sz w:val="21"/>
          <w:szCs w:val="21"/>
        </w:rPr>
      </w:pPr>
      <w:r>
        <w:rPr>
          <w:rFonts w:hint="eastAsia" w:ascii="宋体" w:hAnsi="宋体" w:cs="宋体"/>
          <w:color w:val="auto"/>
          <w:kern w:val="0"/>
          <w:sz w:val="21"/>
          <w:szCs w:val="21"/>
        </w:rPr>
        <w:t>1.在执行合同期限内，任何一方因不可抗力事件造成不能履行合同时，应立即通知对方，并寄送有关权威机构出具的证明，则合同履行期可延长，延长期与不可抗力影响期相同。出现上述情况</w:t>
      </w:r>
      <w:r>
        <w:rPr>
          <w:rFonts w:hint="eastAsia" w:ascii="宋体" w:hAnsi="宋体" w:cs="宋体"/>
          <w:color w:val="auto"/>
          <w:sz w:val="21"/>
          <w:szCs w:val="21"/>
        </w:rPr>
        <w:t>甲、乙</w:t>
      </w:r>
      <w:r>
        <w:rPr>
          <w:rFonts w:hint="eastAsia" w:ascii="宋体" w:hAnsi="宋体" w:cs="宋体"/>
          <w:color w:val="auto"/>
          <w:kern w:val="0"/>
          <w:sz w:val="21"/>
          <w:szCs w:val="21"/>
        </w:rPr>
        <w:t>双方不承担合同有关逾期违约责任。</w:t>
      </w:r>
    </w:p>
    <w:p w14:paraId="7B55FCDE">
      <w:pPr>
        <w:spacing w:line="360" w:lineRule="auto"/>
        <w:ind w:firstLine="420" w:firstLineChars="200"/>
        <w:rPr>
          <w:rFonts w:ascii="宋体" w:hAnsi="宋体" w:cs="宋体"/>
          <w:color w:val="auto"/>
          <w:kern w:val="0"/>
          <w:sz w:val="21"/>
          <w:szCs w:val="21"/>
        </w:rPr>
      </w:pPr>
      <w:r>
        <w:rPr>
          <w:rFonts w:hint="eastAsia" w:ascii="宋体" w:hAnsi="宋体" w:cs="宋体"/>
          <w:color w:val="auto"/>
          <w:kern w:val="0"/>
          <w:sz w:val="21"/>
          <w:szCs w:val="21"/>
        </w:rPr>
        <w:t>2.不可抗力影响时间持续30日以上时，</w:t>
      </w:r>
      <w:r>
        <w:rPr>
          <w:rFonts w:hint="eastAsia" w:ascii="宋体" w:hAnsi="宋体" w:cs="宋体"/>
          <w:color w:val="auto"/>
          <w:sz w:val="21"/>
          <w:szCs w:val="21"/>
        </w:rPr>
        <w:t>甲、乙</w:t>
      </w:r>
      <w:r>
        <w:rPr>
          <w:rFonts w:hint="eastAsia" w:ascii="宋体" w:hAnsi="宋体" w:cs="宋体"/>
          <w:color w:val="auto"/>
          <w:kern w:val="0"/>
          <w:sz w:val="21"/>
          <w:szCs w:val="21"/>
        </w:rPr>
        <w:t>双方均可以单方面解除合同。</w:t>
      </w:r>
    </w:p>
    <w:p w14:paraId="7E90C746">
      <w:pPr>
        <w:spacing w:line="360" w:lineRule="auto"/>
        <w:ind w:firstLine="420" w:firstLineChars="200"/>
        <w:rPr>
          <w:rFonts w:ascii="宋体" w:hAnsi="宋体" w:cs="宋体"/>
          <w:color w:val="auto"/>
          <w:kern w:val="0"/>
          <w:sz w:val="21"/>
          <w:szCs w:val="21"/>
        </w:rPr>
      </w:pPr>
      <w:r>
        <w:rPr>
          <w:rFonts w:hint="eastAsia" w:ascii="宋体" w:hAnsi="宋体" w:cs="宋体"/>
          <w:color w:val="auto"/>
          <w:kern w:val="0"/>
          <w:sz w:val="21"/>
          <w:szCs w:val="21"/>
        </w:rPr>
        <w:t>3.本条所述“不可抗力”是指不可预见、不能克服及不能避免的事件，包括战争、严重火灾、洪水、地震等。</w:t>
      </w:r>
    </w:p>
    <w:p w14:paraId="2601C6E6">
      <w:pPr>
        <w:spacing w:line="360" w:lineRule="auto"/>
        <w:rPr>
          <w:rFonts w:ascii="宋体" w:hAnsi="宋体" w:cs="宋体"/>
          <w:bCs/>
          <w:color w:val="auto"/>
          <w:kern w:val="0"/>
          <w:sz w:val="21"/>
          <w:szCs w:val="21"/>
        </w:rPr>
      </w:pPr>
      <w:r>
        <w:rPr>
          <w:rFonts w:hint="eastAsia" w:ascii="宋体" w:hAnsi="宋体" w:cs="宋体"/>
          <w:bCs/>
          <w:color w:val="auto"/>
          <w:kern w:val="0"/>
          <w:sz w:val="21"/>
          <w:szCs w:val="21"/>
        </w:rPr>
        <w:t>十、合同纠纷处理</w:t>
      </w:r>
    </w:p>
    <w:p w14:paraId="12E30CC1">
      <w:pPr>
        <w:spacing w:line="360" w:lineRule="auto"/>
        <w:ind w:firstLine="420" w:firstLineChars="200"/>
        <w:rPr>
          <w:rFonts w:ascii="宋体" w:hAnsi="宋体" w:cs="宋体"/>
          <w:color w:val="auto"/>
          <w:kern w:val="0"/>
          <w:sz w:val="21"/>
          <w:szCs w:val="21"/>
        </w:rPr>
      </w:pPr>
      <w:r>
        <w:rPr>
          <w:rFonts w:hint="eastAsia" w:ascii="宋体" w:hAnsi="宋体" w:cs="宋体"/>
          <w:color w:val="auto"/>
          <w:kern w:val="0"/>
          <w:sz w:val="21"/>
          <w:szCs w:val="21"/>
        </w:rPr>
        <w:t>1.凡涉及本合同或因执行本合同而发生的一切争执，应由甲、乙双方通过协商解决。</w:t>
      </w:r>
    </w:p>
    <w:p w14:paraId="6FF7E057">
      <w:pPr>
        <w:spacing w:line="360" w:lineRule="auto"/>
        <w:ind w:firstLine="420" w:firstLineChars="200"/>
        <w:rPr>
          <w:rFonts w:ascii="宋体" w:hAnsi="宋体" w:cs="宋体"/>
          <w:color w:val="auto"/>
          <w:kern w:val="0"/>
          <w:sz w:val="21"/>
          <w:szCs w:val="21"/>
        </w:rPr>
      </w:pPr>
      <w:r>
        <w:rPr>
          <w:rFonts w:hint="eastAsia" w:ascii="宋体" w:hAnsi="宋体" w:cs="宋体"/>
          <w:color w:val="auto"/>
          <w:kern w:val="0"/>
          <w:sz w:val="21"/>
          <w:szCs w:val="21"/>
        </w:rPr>
        <w:t>2.如果协商不能解决，则提交常州仲裁委员会进行仲裁。</w:t>
      </w:r>
    </w:p>
    <w:p w14:paraId="6AF82458">
      <w:pPr>
        <w:spacing w:line="360" w:lineRule="auto"/>
        <w:ind w:firstLine="420" w:firstLineChars="200"/>
        <w:rPr>
          <w:rFonts w:ascii="宋体" w:hAnsi="宋体" w:cs="宋体"/>
          <w:color w:val="auto"/>
          <w:kern w:val="0"/>
          <w:sz w:val="21"/>
          <w:szCs w:val="21"/>
        </w:rPr>
      </w:pPr>
      <w:r>
        <w:rPr>
          <w:rFonts w:hint="eastAsia" w:ascii="宋体" w:hAnsi="宋体" w:cs="宋体"/>
          <w:color w:val="auto"/>
          <w:kern w:val="0"/>
          <w:sz w:val="21"/>
          <w:szCs w:val="21"/>
        </w:rPr>
        <w:t>3.争议在处理过程中，除正在进行仲裁或诉讼的部分外，合同的其他部分将继续执行。</w:t>
      </w:r>
    </w:p>
    <w:p w14:paraId="504F7059">
      <w:pPr>
        <w:spacing w:line="360" w:lineRule="auto"/>
        <w:rPr>
          <w:rFonts w:ascii="宋体" w:hAnsi="宋体" w:cs="宋体"/>
          <w:bCs/>
          <w:color w:val="auto"/>
          <w:kern w:val="0"/>
          <w:sz w:val="21"/>
          <w:szCs w:val="21"/>
        </w:rPr>
      </w:pPr>
      <w:r>
        <w:rPr>
          <w:rFonts w:hint="eastAsia" w:ascii="宋体" w:hAnsi="宋体" w:cs="宋体"/>
          <w:bCs/>
          <w:color w:val="auto"/>
          <w:kern w:val="0"/>
          <w:sz w:val="21"/>
          <w:szCs w:val="21"/>
        </w:rPr>
        <w:t>十一、其它约定事项</w:t>
      </w:r>
    </w:p>
    <w:p w14:paraId="7383762E">
      <w:pPr>
        <w:spacing w:line="360" w:lineRule="auto"/>
        <w:ind w:firstLine="420" w:firstLineChars="200"/>
        <w:rPr>
          <w:rFonts w:ascii="宋体" w:hAnsi="宋体" w:cs="宋体"/>
          <w:color w:val="auto"/>
          <w:kern w:val="0"/>
          <w:sz w:val="21"/>
          <w:szCs w:val="21"/>
        </w:rPr>
      </w:pPr>
      <w:r>
        <w:rPr>
          <w:rFonts w:hint="eastAsia" w:ascii="宋体" w:hAnsi="宋体" w:cs="宋体"/>
          <w:color w:val="auto"/>
          <w:kern w:val="0"/>
          <w:sz w:val="21"/>
          <w:szCs w:val="21"/>
        </w:rPr>
        <w:t>1.如需修改或补充合同内容，应经甲、乙双方协商一致，共同签署书面修改或补充协议。该协议将作为本合同不可分割的一部分。</w:t>
      </w:r>
    </w:p>
    <w:p w14:paraId="41DF998B">
      <w:pPr>
        <w:spacing w:line="360" w:lineRule="auto"/>
        <w:ind w:firstLine="420" w:firstLineChars="200"/>
        <w:rPr>
          <w:rFonts w:ascii="宋体" w:hAnsi="宋体" w:cs="宋体"/>
          <w:color w:val="auto"/>
          <w:kern w:val="0"/>
          <w:sz w:val="21"/>
          <w:szCs w:val="21"/>
        </w:rPr>
      </w:pPr>
      <w:r>
        <w:rPr>
          <w:rFonts w:hint="eastAsia" w:ascii="宋体" w:hAnsi="宋体" w:cs="宋体"/>
          <w:color w:val="auto"/>
          <w:kern w:val="0"/>
          <w:sz w:val="21"/>
          <w:szCs w:val="21"/>
        </w:rPr>
        <w:t>2.除甲方事先书面同意外，乙方不得转让任何其应履行的合同义务。</w:t>
      </w:r>
    </w:p>
    <w:p w14:paraId="72538E73">
      <w:pPr>
        <w:spacing w:line="360" w:lineRule="auto"/>
        <w:ind w:firstLine="420" w:firstLineChars="200"/>
        <w:rPr>
          <w:rFonts w:ascii="宋体" w:hAnsi="宋体" w:cs="宋体"/>
          <w:color w:val="auto"/>
          <w:kern w:val="0"/>
          <w:sz w:val="21"/>
          <w:szCs w:val="21"/>
        </w:rPr>
      </w:pPr>
      <w:r>
        <w:rPr>
          <w:rFonts w:hint="eastAsia" w:ascii="宋体" w:hAnsi="宋体" w:cs="宋体"/>
          <w:color w:val="auto"/>
          <w:kern w:val="0"/>
          <w:sz w:val="21"/>
          <w:szCs w:val="21"/>
        </w:rPr>
        <w:t>3.本合同未尽事宜，参照相关法律，甲、乙双方协商解决，按中华人民共和国现行有关法律法规执行。</w:t>
      </w:r>
    </w:p>
    <w:p w14:paraId="6BE3FB71">
      <w:pPr>
        <w:spacing w:line="360" w:lineRule="auto"/>
        <w:rPr>
          <w:rFonts w:ascii="宋体" w:hAnsi="宋体" w:cs="宋体"/>
          <w:bCs/>
          <w:color w:val="auto"/>
          <w:kern w:val="0"/>
          <w:sz w:val="21"/>
          <w:szCs w:val="21"/>
        </w:rPr>
      </w:pPr>
      <w:r>
        <w:rPr>
          <w:rFonts w:hint="eastAsia" w:ascii="宋体" w:hAnsi="宋体" w:cs="宋体"/>
          <w:bCs/>
          <w:color w:val="auto"/>
          <w:kern w:val="0"/>
          <w:sz w:val="21"/>
          <w:szCs w:val="21"/>
        </w:rPr>
        <w:t>十二、合同生效</w:t>
      </w:r>
    </w:p>
    <w:p w14:paraId="52E0234B">
      <w:pPr>
        <w:spacing w:line="360" w:lineRule="auto"/>
        <w:ind w:firstLine="420" w:firstLineChars="200"/>
        <w:rPr>
          <w:rFonts w:ascii="宋体" w:hAnsi="宋体" w:cs="宋体"/>
          <w:snapToGrid w:val="0"/>
          <w:color w:val="auto"/>
          <w:kern w:val="0"/>
          <w:sz w:val="21"/>
          <w:szCs w:val="21"/>
        </w:rPr>
      </w:pPr>
      <w:r>
        <w:rPr>
          <w:rFonts w:hint="eastAsia" w:ascii="宋体" w:hAnsi="宋体" w:cs="宋体"/>
          <w:snapToGrid w:val="0"/>
          <w:color w:val="auto"/>
          <w:kern w:val="0"/>
          <w:sz w:val="21"/>
          <w:szCs w:val="21"/>
        </w:rPr>
        <w:t>1.本合同经三方盖章后生效，如有变动，必须经三方协商一致后，方可更改。</w:t>
      </w:r>
    </w:p>
    <w:p w14:paraId="18A83448">
      <w:pPr>
        <w:spacing w:line="360" w:lineRule="auto"/>
        <w:ind w:firstLine="420" w:firstLineChars="200"/>
        <w:rPr>
          <w:rFonts w:ascii="宋体" w:hAnsi="宋体" w:cs="宋体"/>
          <w:snapToGrid w:val="0"/>
          <w:color w:val="auto"/>
          <w:kern w:val="0"/>
          <w:sz w:val="21"/>
          <w:szCs w:val="21"/>
        </w:rPr>
      </w:pPr>
      <w:r>
        <w:rPr>
          <w:rFonts w:hint="eastAsia" w:ascii="宋体" w:hAnsi="宋体" w:cs="宋体"/>
          <w:snapToGrid w:val="0"/>
          <w:color w:val="auto"/>
          <w:kern w:val="0"/>
          <w:sz w:val="21"/>
          <w:szCs w:val="21"/>
        </w:rPr>
        <w:t>2.本合同一式肆份，甲方贰份，乙方壹份，采购代理机构壹份。</w:t>
      </w:r>
    </w:p>
    <w:p w14:paraId="2A1E0C43">
      <w:pPr>
        <w:spacing w:line="360" w:lineRule="auto"/>
        <w:ind w:firstLine="420" w:firstLineChars="200"/>
        <w:rPr>
          <w:rFonts w:ascii="宋体" w:hAnsi="宋体" w:cs="宋体"/>
          <w:color w:val="auto"/>
          <w:kern w:val="0"/>
          <w:sz w:val="21"/>
          <w:szCs w:val="21"/>
        </w:rPr>
      </w:pPr>
      <w:r>
        <w:rPr>
          <w:rFonts w:hint="eastAsia" w:ascii="宋体" w:hAnsi="宋体" w:cs="宋体"/>
          <w:snapToGrid w:val="0"/>
          <w:color w:val="auto"/>
          <w:kern w:val="0"/>
          <w:sz w:val="21"/>
          <w:szCs w:val="21"/>
        </w:rPr>
        <w:t>3.其他未尽事宜，参照相关法律，甲、乙双方协商解决。</w:t>
      </w:r>
    </w:p>
    <w:p w14:paraId="07A4AD8A">
      <w:pPr>
        <w:adjustRightInd w:val="0"/>
        <w:snapToGrid w:val="0"/>
        <w:spacing w:line="360" w:lineRule="auto"/>
        <w:ind w:firstLine="420" w:firstLineChars="200"/>
        <w:jc w:val="left"/>
        <w:rPr>
          <w:rFonts w:ascii="宋体" w:hAnsi="宋体" w:cs="宋体"/>
          <w:color w:val="auto"/>
          <w:sz w:val="21"/>
          <w:szCs w:val="21"/>
        </w:rPr>
      </w:pPr>
      <w:r>
        <w:rPr>
          <w:rFonts w:hint="eastAsia" w:ascii="宋体" w:hAnsi="宋体" w:cs="宋体"/>
          <w:color w:val="auto"/>
          <w:sz w:val="21"/>
          <w:szCs w:val="21"/>
        </w:rPr>
        <w:t>甲方（盖章）：                       乙方（盖章）：</w:t>
      </w:r>
    </w:p>
    <w:p w14:paraId="00017334">
      <w:pPr>
        <w:adjustRightInd w:val="0"/>
        <w:snapToGrid w:val="0"/>
        <w:spacing w:line="360" w:lineRule="auto"/>
        <w:ind w:firstLine="420" w:firstLineChars="200"/>
        <w:jc w:val="left"/>
        <w:rPr>
          <w:rFonts w:ascii="宋体" w:hAnsi="宋体" w:cs="宋体"/>
          <w:color w:val="auto"/>
          <w:sz w:val="21"/>
          <w:szCs w:val="21"/>
        </w:rPr>
      </w:pPr>
      <w:r>
        <w:rPr>
          <w:rFonts w:hint="eastAsia" w:ascii="宋体" w:hAnsi="宋体" w:cs="宋体"/>
          <w:color w:val="auto"/>
          <w:sz w:val="21"/>
          <w:szCs w:val="21"/>
        </w:rPr>
        <w:t>法定代表人或经办人（签字）：         法定代表人或经办人（签字）：</w:t>
      </w:r>
    </w:p>
    <w:p w14:paraId="57935970">
      <w:pPr>
        <w:adjustRightInd w:val="0"/>
        <w:snapToGrid w:val="0"/>
        <w:spacing w:line="360" w:lineRule="auto"/>
        <w:ind w:firstLine="420" w:firstLineChars="200"/>
        <w:jc w:val="left"/>
        <w:rPr>
          <w:rFonts w:ascii="宋体" w:hAnsi="宋体" w:cs="宋体"/>
          <w:color w:val="auto"/>
          <w:sz w:val="21"/>
          <w:szCs w:val="21"/>
        </w:rPr>
      </w:pPr>
      <w:r>
        <w:rPr>
          <w:rFonts w:hint="eastAsia" w:ascii="宋体" w:hAnsi="宋体" w:cs="宋体"/>
          <w:color w:val="auto"/>
          <w:sz w:val="21"/>
          <w:szCs w:val="21"/>
        </w:rPr>
        <w:t>日期：                               日期：</w:t>
      </w:r>
    </w:p>
    <w:p w14:paraId="16C85E0C">
      <w:pPr>
        <w:snapToGrid w:val="0"/>
        <w:rPr>
          <w:rFonts w:ascii="Arial" w:hAnsi="Arial"/>
          <w:color w:val="auto"/>
          <w:sz w:val="21"/>
          <w:szCs w:val="24"/>
        </w:rPr>
      </w:pPr>
    </w:p>
    <w:p w14:paraId="7620A585">
      <w:pPr>
        <w:rPr>
          <w:rFonts w:ascii="宋体" w:hAnsi="宋体" w:cs="宋体"/>
          <w:b/>
          <w:bCs/>
          <w:color w:val="auto"/>
          <w:sz w:val="32"/>
          <w:szCs w:val="32"/>
          <w:u w:color="000000"/>
        </w:rPr>
      </w:pPr>
      <w:r>
        <w:rPr>
          <w:rFonts w:hint="eastAsia" w:ascii="宋体" w:hAnsi="宋体" w:cs="宋体"/>
          <w:b/>
          <w:bCs/>
          <w:color w:val="auto"/>
          <w:sz w:val="32"/>
          <w:szCs w:val="32"/>
          <w:u w:color="000000"/>
        </w:rPr>
        <w:br w:type="page"/>
      </w:r>
    </w:p>
    <w:p w14:paraId="2F50C5D5">
      <w:pPr>
        <w:snapToGrid w:val="0"/>
        <w:spacing w:line="400" w:lineRule="exact"/>
        <w:jc w:val="center"/>
        <w:outlineLvl w:val="0"/>
        <w:rPr>
          <w:rFonts w:ascii="宋体" w:hAnsi="宋体" w:cs="宋体"/>
          <w:b/>
          <w:bCs/>
          <w:color w:val="auto"/>
          <w:sz w:val="32"/>
          <w:szCs w:val="32"/>
          <w:u w:color="000000"/>
        </w:rPr>
      </w:pPr>
      <w:r>
        <w:rPr>
          <w:rFonts w:hint="eastAsia" w:ascii="宋体" w:hAnsi="宋体" w:cs="宋体"/>
          <w:b/>
          <w:bCs/>
          <w:color w:val="auto"/>
          <w:sz w:val="32"/>
          <w:szCs w:val="32"/>
          <w:u w:color="000000"/>
        </w:rPr>
        <w:t>第七部分   响应文件格式</w:t>
      </w:r>
    </w:p>
    <w:p w14:paraId="63F58B46">
      <w:pPr>
        <w:tabs>
          <w:tab w:val="left" w:pos="900"/>
          <w:tab w:val="left" w:pos="1980"/>
        </w:tabs>
        <w:snapToGrid w:val="0"/>
        <w:spacing w:line="360" w:lineRule="auto"/>
        <w:ind w:left="142"/>
        <w:rPr>
          <w:rFonts w:ascii="宋体" w:hAnsi="宋体" w:cs="宋体"/>
          <w:color w:val="auto"/>
          <w:sz w:val="24"/>
        </w:rPr>
      </w:pPr>
      <w:r>
        <w:rPr>
          <w:rFonts w:hint="eastAsia" w:ascii="宋体" w:hAnsi="宋体" w:cs="宋体"/>
          <w:b/>
          <w:color w:val="auto"/>
          <w:sz w:val="24"/>
        </w:rPr>
        <w:t>响应人编制文件须知</w:t>
      </w:r>
    </w:p>
    <w:p w14:paraId="023AC57B">
      <w:pPr>
        <w:tabs>
          <w:tab w:val="left" w:pos="900"/>
          <w:tab w:val="left" w:pos="1980"/>
        </w:tabs>
        <w:adjustRightInd w:val="0"/>
        <w:snapToGrid w:val="0"/>
        <w:spacing w:line="336" w:lineRule="auto"/>
        <w:ind w:left="142" w:firstLine="480" w:firstLineChars="200"/>
        <w:rPr>
          <w:rFonts w:ascii="宋体" w:hAnsi="宋体" w:cs="宋体"/>
          <w:color w:val="auto"/>
          <w:sz w:val="24"/>
        </w:rPr>
      </w:pPr>
      <w:r>
        <w:rPr>
          <w:rFonts w:hint="eastAsia" w:ascii="宋体" w:hAnsi="宋体" w:cs="宋体"/>
          <w:color w:val="auto"/>
          <w:sz w:val="24"/>
        </w:rPr>
        <w:t>1.响应人按照本部分的顺序编制响应文件（资格证明文件）、响应文件（商务技术文件），编制中涉及格式资料的，应按照本部分提供的内容和格式（所有表格的格式可扩展）填写提交。</w:t>
      </w:r>
    </w:p>
    <w:p w14:paraId="1C4E3366">
      <w:pPr>
        <w:tabs>
          <w:tab w:val="left" w:pos="900"/>
          <w:tab w:val="left" w:pos="1980"/>
        </w:tabs>
        <w:adjustRightInd w:val="0"/>
        <w:snapToGrid w:val="0"/>
        <w:spacing w:line="336" w:lineRule="auto"/>
        <w:ind w:left="142" w:firstLine="480" w:firstLineChars="200"/>
        <w:rPr>
          <w:rFonts w:ascii="宋体" w:hAnsi="宋体" w:cs="宋体"/>
          <w:color w:val="auto"/>
          <w:sz w:val="24"/>
        </w:rPr>
      </w:pPr>
      <w:r>
        <w:rPr>
          <w:rFonts w:hint="eastAsia" w:ascii="宋体" w:hAnsi="宋体" w:cs="宋体"/>
          <w:color w:val="auto"/>
          <w:sz w:val="24"/>
        </w:rPr>
        <w:t>2.对于磋商文件中标记了“实质性格式”文件的，响应人不得改变格式中给定的文字所表达的含义，不得删减格式中的实质性内容，不得自行添加与格式中给定的文字内容相矛盾的内容，不得对应当填写的空格不填写或不实质性响应，否则投标无效。未标记“实质性格式”的文件和磋商文件未提供格式的内容，可由响应人自行编写。</w:t>
      </w:r>
    </w:p>
    <w:p w14:paraId="03273A6D">
      <w:pPr>
        <w:pStyle w:val="8"/>
        <w:spacing w:line="400" w:lineRule="exact"/>
        <w:ind w:left="560"/>
        <w:rPr>
          <w:rFonts w:ascii="宋体" w:hAnsi="宋体" w:cs="宋体"/>
          <w:color w:val="auto"/>
          <w:sz w:val="21"/>
          <w:szCs w:val="21"/>
        </w:rPr>
      </w:pPr>
      <w:r>
        <w:rPr>
          <w:rFonts w:hint="eastAsia" w:ascii="宋体" w:hAnsi="宋体" w:cs="宋体"/>
          <w:color w:val="auto"/>
          <w:sz w:val="24"/>
        </w:rPr>
        <w:t>3.全部声明和问题的回答及所附材料必须是真实的、准确的和完整的。</w:t>
      </w:r>
    </w:p>
    <w:p w14:paraId="6B47C87F">
      <w:pPr>
        <w:spacing w:line="480" w:lineRule="auto"/>
        <w:jc w:val="center"/>
        <w:rPr>
          <w:rFonts w:ascii="宋体" w:hAnsi="宋体" w:cs="宋体"/>
          <w:b/>
          <w:color w:val="auto"/>
          <w:sz w:val="44"/>
          <w:szCs w:val="44"/>
        </w:rPr>
      </w:pPr>
    </w:p>
    <w:p w14:paraId="602401F0">
      <w:pPr>
        <w:rPr>
          <w:rFonts w:ascii="宋体" w:hAnsi="宋体" w:cs="宋体"/>
          <w:color w:val="auto"/>
        </w:rPr>
      </w:pPr>
    </w:p>
    <w:p w14:paraId="759B42B1">
      <w:pPr>
        <w:spacing w:line="480" w:lineRule="auto"/>
        <w:jc w:val="center"/>
        <w:rPr>
          <w:rFonts w:ascii="宋体" w:hAnsi="宋体" w:cs="宋体"/>
          <w:b/>
          <w:color w:val="auto"/>
          <w:sz w:val="44"/>
          <w:szCs w:val="44"/>
        </w:rPr>
      </w:pPr>
    </w:p>
    <w:p w14:paraId="679222DA">
      <w:pPr>
        <w:widowControl/>
        <w:jc w:val="left"/>
        <w:rPr>
          <w:rFonts w:ascii="宋体" w:hAnsi="宋体" w:cs="宋体"/>
          <w:b/>
          <w:color w:val="auto"/>
          <w:sz w:val="44"/>
          <w:szCs w:val="44"/>
        </w:rPr>
      </w:pPr>
      <w:r>
        <w:rPr>
          <w:rFonts w:hint="eastAsia" w:ascii="宋体" w:hAnsi="宋体" w:cs="宋体"/>
          <w:b/>
          <w:color w:val="auto"/>
          <w:sz w:val="44"/>
          <w:szCs w:val="44"/>
        </w:rPr>
        <w:br w:type="page"/>
      </w:r>
    </w:p>
    <w:p w14:paraId="35745EDB">
      <w:pPr>
        <w:spacing w:line="480" w:lineRule="auto"/>
        <w:rPr>
          <w:rFonts w:ascii="宋体" w:hAnsi="宋体" w:cs="宋体"/>
          <w:b/>
          <w:color w:val="auto"/>
          <w:sz w:val="44"/>
          <w:szCs w:val="44"/>
        </w:rPr>
      </w:pPr>
      <w:r>
        <w:rPr>
          <w:rFonts w:hint="eastAsia" w:ascii="宋体" w:hAnsi="宋体" w:cs="宋体"/>
          <w:b/>
          <w:color w:val="auto"/>
          <w:spacing w:val="20"/>
          <w:sz w:val="24"/>
        </w:rPr>
        <w:t>响应文件</w:t>
      </w:r>
      <w:r>
        <w:rPr>
          <w:rFonts w:hint="eastAsia" w:ascii="宋体" w:hAnsi="宋体" w:cs="宋体"/>
          <w:b/>
          <w:color w:val="auto"/>
          <w:sz w:val="24"/>
        </w:rPr>
        <w:t>封面（非实质性格式）</w:t>
      </w:r>
    </w:p>
    <w:p w14:paraId="22E1D851">
      <w:pPr>
        <w:spacing w:line="480" w:lineRule="auto"/>
        <w:jc w:val="center"/>
        <w:rPr>
          <w:rFonts w:ascii="宋体" w:hAnsi="宋体" w:cs="宋体"/>
          <w:b/>
          <w:color w:val="auto"/>
          <w:sz w:val="44"/>
          <w:szCs w:val="44"/>
        </w:rPr>
      </w:pPr>
      <w:r>
        <w:rPr>
          <w:rFonts w:hint="eastAsia" w:ascii="宋体" w:hAnsi="宋体" w:cs="宋体"/>
          <w:b/>
          <w:color w:val="auto"/>
          <w:sz w:val="44"/>
          <w:szCs w:val="44"/>
        </w:rPr>
        <w:t>响 应 文 件</w:t>
      </w:r>
    </w:p>
    <w:p w14:paraId="260A8A8B">
      <w:pPr>
        <w:spacing w:line="480" w:lineRule="auto"/>
        <w:jc w:val="center"/>
        <w:rPr>
          <w:rFonts w:ascii="宋体" w:hAnsi="宋体" w:cs="宋体"/>
          <w:b/>
          <w:color w:val="auto"/>
          <w:sz w:val="32"/>
          <w:szCs w:val="32"/>
        </w:rPr>
      </w:pPr>
    </w:p>
    <w:p w14:paraId="6C20836A">
      <w:pPr>
        <w:ind w:firstLine="1084" w:firstLineChars="300"/>
        <w:rPr>
          <w:rFonts w:ascii="宋体" w:hAnsi="宋体" w:cs="宋体"/>
          <w:b/>
          <w:color w:val="auto"/>
          <w:sz w:val="36"/>
        </w:rPr>
      </w:pPr>
      <w:r>
        <w:rPr>
          <w:rFonts w:hint="eastAsia" w:ascii="宋体" w:hAnsi="宋体" w:cs="宋体"/>
          <w:b/>
          <w:color w:val="auto"/>
          <w:sz w:val="36"/>
        </w:rPr>
        <w:t xml:space="preserve">项 目 名 称:               </w:t>
      </w:r>
    </w:p>
    <w:p w14:paraId="3072ED0F">
      <w:pPr>
        <w:ind w:firstLine="1084" w:firstLineChars="300"/>
        <w:rPr>
          <w:rFonts w:ascii="宋体" w:hAnsi="宋体" w:cs="宋体"/>
          <w:b/>
          <w:color w:val="auto"/>
          <w:sz w:val="36"/>
        </w:rPr>
      </w:pPr>
    </w:p>
    <w:p w14:paraId="1F449391">
      <w:pPr>
        <w:ind w:firstLine="1084" w:firstLineChars="300"/>
        <w:rPr>
          <w:rFonts w:ascii="宋体" w:hAnsi="宋体" w:cs="宋体"/>
          <w:b/>
          <w:color w:val="auto"/>
          <w:sz w:val="36"/>
        </w:rPr>
      </w:pPr>
      <w:r>
        <w:rPr>
          <w:rFonts w:hint="eastAsia" w:ascii="宋体" w:hAnsi="宋体" w:cs="宋体"/>
          <w:b/>
          <w:color w:val="auto"/>
          <w:sz w:val="36"/>
        </w:rPr>
        <w:t xml:space="preserve">项 目 编 号:               </w:t>
      </w:r>
    </w:p>
    <w:p w14:paraId="44C5E0B6">
      <w:pPr>
        <w:ind w:firstLine="1084" w:firstLineChars="300"/>
        <w:rPr>
          <w:rFonts w:ascii="宋体" w:hAnsi="宋体" w:cs="宋体"/>
          <w:b/>
          <w:color w:val="auto"/>
          <w:sz w:val="36"/>
        </w:rPr>
      </w:pPr>
      <w:r>
        <w:rPr>
          <w:rFonts w:hint="eastAsia" w:ascii="宋体" w:hAnsi="宋体" w:cs="宋体"/>
          <w:b/>
          <w:color w:val="auto"/>
          <w:sz w:val="36"/>
        </w:rPr>
        <w:t xml:space="preserve">      </w:t>
      </w:r>
    </w:p>
    <w:p w14:paraId="63A457DE">
      <w:pPr>
        <w:ind w:firstLine="1084" w:firstLineChars="300"/>
        <w:rPr>
          <w:rFonts w:ascii="宋体" w:hAnsi="宋体" w:cs="宋体"/>
          <w:b/>
          <w:color w:val="auto"/>
          <w:sz w:val="36"/>
        </w:rPr>
      </w:pPr>
      <w:r>
        <w:rPr>
          <w:rFonts w:hint="eastAsia" w:ascii="宋体" w:hAnsi="宋体" w:cs="宋体"/>
          <w:b/>
          <w:color w:val="auto"/>
          <w:sz w:val="36"/>
        </w:rPr>
        <w:t xml:space="preserve">响应人名称（加盖公章）: </w:t>
      </w:r>
    </w:p>
    <w:p w14:paraId="68EBBDC5">
      <w:pPr>
        <w:ind w:firstLine="1084" w:firstLineChars="300"/>
        <w:rPr>
          <w:rFonts w:ascii="宋体" w:hAnsi="宋体" w:cs="宋体"/>
          <w:b/>
          <w:color w:val="auto"/>
          <w:sz w:val="36"/>
        </w:rPr>
      </w:pPr>
      <w:r>
        <w:rPr>
          <w:rFonts w:hint="eastAsia" w:ascii="宋体" w:hAnsi="宋体" w:cs="宋体"/>
          <w:b/>
          <w:color w:val="auto"/>
          <w:sz w:val="36"/>
        </w:rPr>
        <w:t xml:space="preserve">               </w:t>
      </w:r>
    </w:p>
    <w:p w14:paraId="39AA27F6">
      <w:pPr>
        <w:ind w:firstLine="1084" w:firstLineChars="300"/>
        <w:rPr>
          <w:rFonts w:ascii="宋体" w:hAnsi="宋体" w:cs="宋体"/>
          <w:b/>
          <w:color w:val="auto"/>
          <w:sz w:val="36"/>
        </w:rPr>
      </w:pPr>
      <w:r>
        <w:rPr>
          <w:rFonts w:hint="eastAsia" w:ascii="宋体" w:hAnsi="宋体" w:cs="宋体"/>
          <w:b/>
          <w:color w:val="auto"/>
          <w:sz w:val="36"/>
        </w:rPr>
        <w:t xml:space="preserve">法定代表人或授权代表(签字或签章):                             </w:t>
      </w:r>
    </w:p>
    <w:p w14:paraId="3B2787D6">
      <w:pPr>
        <w:ind w:firstLine="1084" w:firstLineChars="300"/>
        <w:rPr>
          <w:rFonts w:ascii="宋体" w:hAnsi="宋体" w:cs="宋体"/>
          <w:b/>
          <w:color w:val="auto"/>
          <w:sz w:val="36"/>
        </w:rPr>
      </w:pPr>
      <w:r>
        <w:rPr>
          <w:rFonts w:hint="eastAsia" w:ascii="宋体" w:hAnsi="宋体" w:cs="宋体"/>
          <w:b/>
          <w:color w:val="auto"/>
          <w:sz w:val="36"/>
        </w:rPr>
        <w:t xml:space="preserve">      </w:t>
      </w:r>
    </w:p>
    <w:p w14:paraId="0E460410">
      <w:pPr>
        <w:ind w:firstLine="1084" w:firstLineChars="300"/>
        <w:rPr>
          <w:rFonts w:ascii="宋体" w:hAnsi="宋体" w:cs="宋体"/>
          <w:b/>
          <w:color w:val="auto"/>
          <w:sz w:val="36"/>
        </w:rPr>
      </w:pPr>
      <w:r>
        <w:rPr>
          <w:rFonts w:hint="eastAsia" w:ascii="宋体" w:hAnsi="宋体" w:cs="宋体"/>
          <w:b/>
          <w:color w:val="auto"/>
          <w:sz w:val="36"/>
        </w:rPr>
        <w:t>日      期 :</w:t>
      </w:r>
    </w:p>
    <w:p w14:paraId="3114A3E6">
      <w:pPr>
        <w:pStyle w:val="14"/>
        <w:spacing w:line="400" w:lineRule="exact"/>
        <w:ind w:firstLine="420" w:firstLineChars="200"/>
        <w:rPr>
          <w:rFonts w:hint="default" w:hAnsi="宋体" w:cs="宋体"/>
          <w:color w:val="auto"/>
          <w:sz w:val="21"/>
          <w:szCs w:val="21"/>
        </w:rPr>
      </w:pPr>
    </w:p>
    <w:p w14:paraId="137293AF">
      <w:pPr>
        <w:rPr>
          <w:rFonts w:ascii="宋体" w:hAnsi="宋体" w:cs="宋体"/>
          <w:b/>
          <w:bCs/>
          <w:color w:val="auto"/>
          <w:sz w:val="32"/>
          <w:szCs w:val="32"/>
        </w:rPr>
      </w:pPr>
      <w:r>
        <w:rPr>
          <w:rFonts w:hint="eastAsia" w:ascii="宋体" w:hAnsi="宋体" w:cs="宋体"/>
          <w:b/>
          <w:bCs/>
          <w:color w:val="auto"/>
          <w:sz w:val="32"/>
          <w:szCs w:val="32"/>
        </w:rPr>
        <w:br w:type="page"/>
      </w:r>
    </w:p>
    <w:p w14:paraId="787DA5F7">
      <w:pPr>
        <w:spacing w:line="360" w:lineRule="auto"/>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 满足《中华人民共和国政府采购法》第二十二条规定及法律法规的其他规定</w:t>
      </w:r>
    </w:p>
    <w:p w14:paraId="1A8BB0C6">
      <w:pPr>
        <w:widowControl/>
        <w:adjustRightInd w:val="0"/>
        <w:snapToGrid w:val="0"/>
        <w:spacing w:before="120" w:beforeLines="50" w:line="360" w:lineRule="auto"/>
        <w:rPr>
          <w:rFonts w:asciiTheme="minorEastAsia" w:hAnsiTheme="minorEastAsia" w:eastAsiaTheme="minorEastAsia"/>
          <w:b/>
          <w:color w:val="auto"/>
          <w:sz w:val="21"/>
          <w:szCs w:val="21"/>
        </w:rPr>
      </w:pPr>
      <w:r>
        <w:rPr>
          <w:rFonts w:asciiTheme="minorEastAsia" w:hAnsiTheme="minorEastAsia" w:eastAsiaTheme="minorEastAsia"/>
          <w:b/>
          <w:color w:val="auto"/>
          <w:sz w:val="21"/>
          <w:szCs w:val="21"/>
        </w:rPr>
        <w:t>1-</w:t>
      </w:r>
      <w:r>
        <w:rPr>
          <w:rFonts w:hint="eastAsia" w:asciiTheme="minorEastAsia" w:hAnsiTheme="minorEastAsia" w:eastAsiaTheme="minorEastAsia"/>
          <w:b/>
          <w:color w:val="auto"/>
          <w:sz w:val="21"/>
          <w:szCs w:val="21"/>
        </w:rPr>
        <w:t>1</w:t>
      </w:r>
      <w:r>
        <w:rPr>
          <w:rFonts w:asciiTheme="minorEastAsia" w:hAnsiTheme="minorEastAsia" w:eastAsiaTheme="minorEastAsia"/>
          <w:b/>
          <w:color w:val="auto"/>
          <w:sz w:val="21"/>
          <w:szCs w:val="21"/>
        </w:rPr>
        <w:t xml:space="preserve"> 供应商资格声明</w:t>
      </w:r>
      <w:r>
        <w:rPr>
          <w:rFonts w:hint="eastAsia" w:asciiTheme="minorEastAsia" w:hAnsiTheme="minorEastAsia" w:eastAsiaTheme="minorEastAsia"/>
          <w:b/>
          <w:color w:val="auto"/>
          <w:sz w:val="21"/>
          <w:szCs w:val="21"/>
        </w:rPr>
        <w:t>函</w:t>
      </w:r>
      <w:r>
        <w:rPr>
          <w:rFonts w:asciiTheme="minorEastAsia" w:hAnsiTheme="minorEastAsia" w:eastAsiaTheme="minorEastAsia"/>
          <w:b/>
          <w:color w:val="auto"/>
          <w:sz w:val="21"/>
          <w:szCs w:val="21"/>
        </w:rPr>
        <w:t>（实质性格式）</w:t>
      </w:r>
    </w:p>
    <w:p w14:paraId="31AB2EDE">
      <w:pPr>
        <w:widowControl/>
        <w:adjustRightInd w:val="0"/>
        <w:snapToGrid w:val="0"/>
        <w:spacing w:before="120" w:beforeLines="50" w:line="360" w:lineRule="auto"/>
        <w:jc w:val="center"/>
        <w:rPr>
          <w:rFonts w:cs="宋体" w:asciiTheme="minorEastAsia" w:hAnsiTheme="minorEastAsia" w:eastAsiaTheme="minorEastAsia"/>
          <w:color w:val="auto"/>
          <w:sz w:val="21"/>
          <w:szCs w:val="21"/>
        </w:rPr>
      </w:pPr>
      <w:r>
        <w:rPr>
          <w:rFonts w:hint="eastAsia" w:cs="宋体" w:asciiTheme="minorEastAsia" w:hAnsiTheme="minorEastAsia" w:eastAsiaTheme="minorEastAsia"/>
          <w:b/>
          <w:color w:val="auto"/>
          <w:sz w:val="21"/>
          <w:szCs w:val="21"/>
        </w:rPr>
        <w:t>供应商资格声明函</w:t>
      </w:r>
    </w:p>
    <w:p w14:paraId="63CC68F7">
      <w:pPr>
        <w:tabs>
          <w:tab w:val="left" w:pos="3240"/>
          <w:tab w:val="left" w:pos="3420"/>
        </w:tabs>
        <w:spacing w:line="360" w:lineRule="auto"/>
        <w:jc w:val="left"/>
        <w:rPr>
          <w:rFonts w:asciiTheme="minorEastAsia" w:hAnsiTheme="minorEastAsia" w:eastAsiaTheme="minorEastAsia"/>
          <w:b/>
          <w:bCs/>
          <w:color w:val="auto"/>
          <w:sz w:val="21"/>
          <w:szCs w:val="21"/>
          <w:u w:val="single"/>
        </w:rPr>
      </w:pPr>
      <w:r>
        <w:rPr>
          <w:rFonts w:hint="eastAsia" w:cs="宋体" w:asciiTheme="minorEastAsia" w:hAnsiTheme="minorEastAsia" w:eastAsiaTheme="minorEastAsia"/>
          <w:b/>
          <w:color w:val="auto"/>
          <w:sz w:val="21"/>
          <w:szCs w:val="21"/>
        </w:rPr>
        <w:t>致：</w:t>
      </w:r>
      <w:r>
        <w:rPr>
          <w:rFonts w:hint="eastAsia" w:asciiTheme="minorEastAsia" w:hAnsiTheme="minorEastAsia" w:eastAsiaTheme="minorEastAsia"/>
          <w:b/>
          <w:bCs/>
          <w:color w:val="auto"/>
          <w:sz w:val="21"/>
          <w:szCs w:val="21"/>
          <w:u w:val="single"/>
        </w:rPr>
        <w:t>国家税务总局常州市金坛区税务局（采购人名称）</w:t>
      </w:r>
    </w:p>
    <w:p w14:paraId="713E90F6">
      <w:pPr>
        <w:pStyle w:val="9"/>
        <w:spacing w:line="460" w:lineRule="exact"/>
        <w:rPr>
          <w:rFonts w:asciiTheme="minorEastAsia" w:hAnsiTheme="minorEastAsia"/>
          <w:color w:val="auto"/>
          <w:sz w:val="21"/>
          <w:szCs w:val="21"/>
        </w:rPr>
      </w:pPr>
      <w:r>
        <w:rPr>
          <w:rFonts w:hint="eastAsia" w:asciiTheme="minorEastAsia" w:hAnsiTheme="minorEastAsia"/>
          <w:color w:val="auto"/>
          <w:sz w:val="21"/>
          <w:szCs w:val="21"/>
        </w:rPr>
        <w:t>按照《中华人民共和国政府采购法》第二十二条和磋商文件的规定，我单位郑重声明如下：</w:t>
      </w:r>
    </w:p>
    <w:p w14:paraId="2AE49A12">
      <w:pPr>
        <w:pStyle w:val="9"/>
        <w:spacing w:line="460" w:lineRule="exact"/>
        <w:rPr>
          <w:rFonts w:asciiTheme="minorEastAsia" w:hAnsiTheme="minorEastAsia"/>
          <w:color w:val="auto"/>
          <w:sz w:val="21"/>
          <w:szCs w:val="21"/>
        </w:rPr>
      </w:pPr>
      <w:r>
        <w:rPr>
          <w:rFonts w:hint="eastAsia" w:asciiTheme="minorEastAsia" w:hAnsiTheme="minorEastAsia"/>
          <w:color w:val="auto"/>
          <w:sz w:val="21"/>
          <w:szCs w:val="21"/>
        </w:rPr>
        <w:t>一、我单位是按照中华人民共和国法律规定登记注册的，注册地点为</w:t>
      </w:r>
      <w:r>
        <w:rPr>
          <w:rFonts w:hint="eastAsia" w:asciiTheme="minorEastAsia" w:hAnsiTheme="minorEastAsia"/>
          <w:color w:val="auto"/>
          <w:sz w:val="21"/>
          <w:szCs w:val="21"/>
          <w:u w:val="single"/>
        </w:rPr>
        <w:t xml:space="preserve">         </w:t>
      </w:r>
      <w:r>
        <w:rPr>
          <w:rFonts w:hint="eastAsia" w:asciiTheme="minorEastAsia" w:hAnsiTheme="minorEastAsia"/>
          <w:color w:val="auto"/>
          <w:sz w:val="21"/>
          <w:szCs w:val="21"/>
        </w:rPr>
        <w:t>，全称为</w:t>
      </w:r>
      <w:r>
        <w:rPr>
          <w:rFonts w:hint="eastAsia" w:asciiTheme="minorEastAsia" w:hAnsiTheme="minorEastAsia"/>
          <w:color w:val="auto"/>
          <w:sz w:val="21"/>
          <w:szCs w:val="21"/>
          <w:u w:val="single"/>
        </w:rPr>
        <w:t xml:space="preserve">        </w:t>
      </w:r>
      <w:r>
        <w:rPr>
          <w:rFonts w:hint="eastAsia" w:asciiTheme="minorEastAsia" w:hAnsiTheme="minorEastAsia"/>
          <w:color w:val="auto"/>
          <w:sz w:val="21"/>
          <w:szCs w:val="21"/>
        </w:rPr>
        <w:t>，统一社会信用代码为</w:t>
      </w:r>
      <w:r>
        <w:rPr>
          <w:rFonts w:hint="eastAsia" w:asciiTheme="minorEastAsia" w:hAnsiTheme="minorEastAsia"/>
          <w:color w:val="auto"/>
          <w:sz w:val="21"/>
          <w:szCs w:val="21"/>
          <w:u w:val="single"/>
        </w:rPr>
        <w:t xml:space="preserve">           </w:t>
      </w:r>
      <w:r>
        <w:rPr>
          <w:rFonts w:hint="eastAsia" w:asciiTheme="minorEastAsia" w:hAnsiTheme="minorEastAsia"/>
          <w:color w:val="auto"/>
          <w:sz w:val="21"/>
          <w:szCs w:val="21"/>
        </w:rPr>
        <w:t xml:space="preserve"> ，法定代表人（单位负责人）为</w:t>
      </w:r>
      <w:r>
        <w:rPr>
          <w:rFonts w:hint="eastAsia" w:asciiTheme="minorEastAsia" w:hAnsiTheme="minorEastAsia"/>
          <w:color w:val="auto"/>
          <w:sz w:val="21"/>
          <w:szCs w:val="21"/>
          <w:u w:val="single"/>
        </w:rPr>
        <w:t xml:space="preserve">         </w:t>
      </w:r>
      <w:r>
        <w:rPr>
          <w:rFonts w:hint="eastAsia" w:asciiTheme="minorEastAsia" w:hAnsiTheme="minorEastAsia"/>
          <w:color w:val="auto"/>
          <w:sz w:val="21"/>
          <w:szCs w:val="21"/>
        </w:rPr>
        <w:t>，具有独立承担民事责任的能力。</w:t>
      </w:r>
    </w:p>
    <w:p w14:paraId="7EF2AF44">
      <w:pPr>
        <w:pStyle w:val="9"/>
        <w:spacing w:line="460" w:lineRule="exact"/>
        <w:rPr>
          <w:rFonts w:asciiTheme="minorEastAsia" w:hAnsiTheme="minorEastAsia"/>
          <w:color w:val="auto"/>
          <w:sz w:val="21"/>
          <w:szCs w:val="21"/>
        </w:rPr>
      </w:pPr>
      <w:r>
        <w:rPr>
          <w:rFonts w:hint="eastAsia" w:asciiTheme="minorEastAsia" w:hAnsiTheme="minorEastAsia"/>
          <w:color w:val="auto"/>
          <w:sz w:val="21"/>
          <w:szCs w:val="21"/>
        </w:rPr>
        <w:t>二、我单位未被“国家企业信用信息系统”列入经营异常名录或者严重违法企业名单。</w:t>
      </w:r>
    </w:p>
    <w:p w14:paraId="54C8CE7C">
      <w:pPr>
        <w:pStyle w:val="9"/>
        <w:spacing w:line="460" w:lineRule="exact"/>
        <w:rPr>
          <w:rFonts w:asciiTheme="minorEastAsia" w:hAnsiTheme="minorEastAsia"/>
          <w:color w:val="auto"/>
          <w:sz w:val="21"/>
          <w:szCs w:val="21"/>
        </w:rPr>
      </w:pPr>
      <w:r>
        <w:rPr>
          <w:rFonts w:hint="eastAsia" w:asciiTheme="minorEastAsia" w:hAnsiTheme="minorEastAsia"/>
          <w:color w:val="auto"/>
          <w:sz w:val="21"/>
          <w:szCs w:val="21"/>
        </w:rPr>
        <w:t>三、我单位具有良好的商业信誉（指供应商经营状况良好，无本资格声明第十条情形）和健全的财务会计制度。</w:t>
      </w:r>
    </w:p>
    <w:p w14:paraId="2375046B">
      <w:pPr>
        <w:pStyle w:val="9"/>
        <w:spacing w:line="460" w:lineRule="exact"/>
        <w:rPr>
          <w:rFonts w:asciiTheme="minorEastAsia" w:hAnsiTheme="minorEastAsia"/>
          <w:color w:val="auto"/>
          <w:sz w:val="21"/>
          <w:szCs w:val="21"/>
        </w:rPr>
      </w:pPr>
      <w:r>
        <w:rPr>
          <w:rFonts w:hint="eastAsia" w:asciiTheme="minorEastAsia" w:hAnsiTheme="minorEastAsia"/>
          <w:color w:val="auto"/>
          <w:sz w:val="21"/>
          <w:szCs w:val="21"/>
        </w:rPr>
        <w:t>四、我单位依法进行纳税和社会保险申报并实际履行了义务。</w:t>
      </w:r>
    </w:p>
    <w:p w14:paraId="3765DD85">
      <w:pPr>
        <w:pStyle w:val="9"/>
        <w:spacing w:line="460" w:lineRule="exact"/>
        <w:rPr>
          <w:rFonts w:asciiTheme="minorEastAsia" w:hAnsiTheme="minorEastAsia"/>
          <w:color w:val="auto"/>
          <w:sz w:val="21"/>
          <w:szCs w:val="21"/>
        </w:rPr>
      </w:pPr>
      <w:r>
        <w:rPr>
          <w:rFonts w:hint="eastAsia" w:asciiTheme="minorEastAsia" w:hAnsiTheme="minorEastAsia"/>
          <w:color w:val="auto"/>
          <w:sz w:val="21"/>
          <w:szCs w:val="21"/>
        </w:rPr>
        <w:t>五、我单位具有履行本项目采购合同所必需的设备和专业技术能力，并具有履行合同的良好</w:t>
      </w:r>
      <w:r>
        <w:rPr>
          <w:rFonts w:asciiTheme="minorEastAsia" w:hAnsiTheme="minorEastAsia"/>
          <w:color w:val="auto"/>
          <w:sz w:val="21"/>
          <w:szCs w:val="21"/>
        </w:rPr>
        <w:t>记录</w:t>
      </w:r>
      <w:r>
        <w:rPr>
          <w:rFonts w:hint="eastAsia" w:asciiTheme="minorEastAsia" w:hAnsiTheme="minorEastAsia"/>
          <w:color w:val="auto"/>
          <w:sz w:val="21"/>
          <w:szCs w:val="21"/>
        </w:rPr>
        <w:t>。为履行本项采购合同我单位具备如下主要设备和主要专业技术能力:</w:t>
      </w:r>
    </w:p>
    <w:p w14:paraId="2966433C">
      <w:pPr>
        <w:pStyle w:val="9"/>
        <w:spacing w:line="460" w:lineRule="exact"/>
        <w:rPr>
          <w:rFonts w:asciiTheme="minorEastAsia" w:hAnsiTheme="minorEastAsia"/>
          <w:color w:val="auto"/>
          <w:sz w:val="21"/>
          <w:szCs w:val="21"/>
        </w:rPr>
      </w:pPr>
      <w:r>
        <w:rPr>
          <w:rFonts w:hint="eastAsia" w:asciiTheme="minorEastAsia" w:hAnsiTheme="minorEastAsia"/>
          <w:color w:val="auto"/>
          <w:sz w:val="21"/>
          <w:szCs w:val="21"/>
        </w:rPr>
        <w:t>主要设备有：</w:t>
      </w:r>
      <w:r>
        <w:rPr>
          <w:rFonts w:asciiTheme="minorEastAsia" w:hAnsiTheme="minorEastAsia"/>
          <w:color w:val="auto"/>
          <w:sz w:val="21"/>
          <w:szCs w:val="21"/>
          <w:u w:val="single"/>
        </w:rPr>
        <w:t xml:space="preserve">            </w:t>
      </w:r>
    </w:p>
    <w:p w14:paraId="6B261191">
      <w:pPr>
        <w:pStyle w:val="9"/>
        <w:spacing w:line="460" w:lineRule="exact"/>
        <w:rPr>
          <w:rFonts w:asciiTheme="minorEastAsia" w:hAnsiTheme="minorEastAsia"/>
          <w:color w:val="auto"/>
          <w:sz w:val="21"/>
          <w:szCs w:val="21"/>
        </w:rPr>
      </w:pPr>
      <w:r>
        <w:rPr>
          <w:rFonts w:hint="eastAsia" w:asciiTheme="minorEastAsia" w:hAnsiTheme="minorEastAsia"/>
          <w:color w:val="auto"/>
          <w:sz w:val="21"/>
          <w:szCs w:val="21"/>
        </w:rPr>
        <w:t>主要专业技术能力有</w:t>
      </w:r>
      <w:r>
        <w:rPr>
          <w:rFonts w:hint="eastAsia" w:asciiTheme="minorEastAsia" w:hAnsiTheme="minorEastAsia"/>
          <w:color w:val="auto"/>
          <w:sz w:val="21"/>
          <w:szCs w:val="21"/>
          <w:u w:val="single"/>
        </w:rPr>
        <w:t xml:space="preserve">                 </w:t>
      </w:r>
    </w:p>
    <w:p w14:paraId="0F6E2377">
      <w:pPr>
        <w:pStyle w:val="9"/>
        <w:spacing w:line="460" w:lineRule="exact"/>
        <w:rPr>
          <w:rFonts w:asciiTheme="minorEastAsia" w:hAnsiTheme="minorEastAsia"/>
          <w:color w:val="auto"/>
          <w:sz w:val="21"/>
          <w:szCs w:val="21"/>
        </w:rPr>
      </w:pPr>
      <w:r>
        <w:rPr>
          <w:rFonts w:hint="eastAsia" w:asciiTheme="minorEastAsia" w:hAnsiTheme="minorEastAsia"/>
          <w:color w:val="auto"/>
          <w:sz w:val="21"/>
          <w:szCs w:val="21"/>
        </w:rPr>
        <w:t>六、我单位在参加采购项目政府采购活动前三年内，在经营活动中，未因违法经营受到刑事处罚或者责令停产停业、吊销许可证或者执照、较大数额罚款等行政处罚。其中较大数额罚款是指：达到处罚地行政处罚听证范围中“较大数额罚款”标准的；法律、法规、规章、国务院有关行政主管部门对“较大数额罚款”标准另有规定的，从其规定。（供应商如在参加政府采购活动前3年内因违法经营被禁止在一定期限内参加政府采购活动，期限届满的，可以参加政府采购活动。）</w:t>
      </w:r>
    </w:p>
    <w:p w14:paraId="25B9DD4B">
      <w:pPr>
        <w:pStyle w:val="9"/>
        <w:spacing w:line="460" w:lineRule="exact"/>
        <w:rPr>
          <w:rFonts w:asciiTheme="minorEastAsia" w:hAnsiTheme="minorEastAsia"/>
          <w:color w:val="auto"/>
          <w:sz w:val="21"/>
          <w:szCs w:val="21"/>
        </w:rPr>
      </w:pPr>
      <w:r>
        <w:rPr>
          <w:rFonts w:hint="eastAsia" w:asciiTheme="minorEastAsia" w:hAnsiTheme="minorEastAsia"/>
          <w:color w:val="auto"/>
          <w:sz w:val="21"/>
          <w:szCs w:val="21"/>
        </w:rPr>
        <w:t>七、我单位具备法律、行政法规规定的其他条件。</w:t>
      </w:r>
    </w:p>
    <w:p w14:paraId="46884808">
      <w:pPr>
        <w:pStyle w:val="9"/>
        <w:spacing w:line="460" w:lineRule="exact"/>
        <w:rPr>
          <w:rFonts w:asciiTheme="minorEastAsia" w:hAnsiTheme="minorEastAsia"/>
          <w:color w:val="auto"/>
          <w:sz w:val="21"/>
          <w:szCs w:val="21"/>
        </w:rPr>
      </w:pPr>
      <w:r>
        <w:rPr>
          <w:rFonts w:hint="eastAsia" w:asciiTheme="minorEastAsia" w:hAnsiTheme="minorEastAsia"/>
          <w:color w:val="auto"/>
          <w:sz w:val="21"/>
          <w:szCs w:val="21"/>
        </w:rPr>
        <w:t>八、与我单位存在“单位负责人为同一人或者存在直接控股、管理关系”的其他单位信息如下（如无此情形的，填写“无”）：</w:t>
      </w:r>
    </w:p>
    <w:p w14:paraId="1856DC85">
      <w:pPr>
        <w:pStyle w:val="9"/>
        <w:spacing w:line="460" w:lineRule="exact"/>
        <w:rPr>
          <w:rFonts w:asciiTheme="minorEastAsia" w:hAnsiTheme="minorEastAsia"/>
          <w:color w:val="auto"/>
          <w:sz w:val="21"/>
          <w:szCs w:val="21"/>
        </w:rPr>
      </w:pPr>
      <w:r>
        <w:rPr>
          <w:rFonts w:hint="eastAsia" w:asciiTheme="minorEastAsia" w:hAnsiTheme="minorEastAsia"/>
          <w:color w:val="auto"/>
          <w:sz w:val="21"/>
          <w:szCs w:val="21"/>
        </w:rPr>
        <w:t>1.与我单位的法定代表人（单位负责人）为同一人的其他单位如下：</w:t>
      </w:r>
      <w:r>
        <w:rPr>
          <w:rFonts w:hint="eastAsia" w:asciiTheme="minorEastAsia" w:hAnsiTheme="minorEastAsia"/>
          <w:color w:val="auto"/>
          <w:sz w:val="21"/>
          <w:szCs w:val="21"/>
          <w:u w:val="single"/>
        </w:rPr>
        <w:t xml:space="preserve">     </w:t>
      </w:r>
      <w:r>
        <w:rPr>
          <w:rFonts w:hint="eastAsia" w:asciiTheme="minorEastAsia" w:hAnsiTheme="minorEastAsia"/>
          <w:color w:val="auto"/>
          <w:sz w:val="21"/>
          <w:szCs w:val="21"/>
        </w:rPr>
        <w:t xml:space="preserve">          </w:t>
      </w:r>
    </w:p>
    <w:p w14:paraId="01D449A0">
      <w:pPr>
        <w:pStyle w:val="9"/>
        <w:spacing w:line="460" w:lineRule="exact"/>
        <w:rPr>
          <w:rFonts w:asciiTheme="minorEastAsia" w:hAnsiTheme="minorEastAsia"/>
          <w:color w:val="auto"/>
          <w:sz w:val="21"/>
          <w:szCs w:val="21"/>
        </w:rPr>
      </w:pPr>
      <w:r>
        <w:rPr>
          <w:rFonts w:hint="eastAsia" w:asciiTheme="minorEastAsia" w:hAnsiTheme="minorEastAsia"/>
          <w:color w:val="auto"/>
          <w:sz w:val="21"/>
          <w:szCs w:val="21"/>
        </w:rPr>
        <w:t>2.我单位直接控股的其他单位如下：</w:t>
      </w:r>
      <w:r>
        <w:rPr>
          <w:rFonts w:hint="eastAsia" w:asciiTheme="minorEastAsia" w:hAnsiTheme="minorEastAsia"/>
          <w:color w:val="auto"/>
          <w:sz w:val="21"/>
          <w:szCs w:val="21"/>
          <w:u w:val="single"/>
        </w:rPr>
        <w:t xml:space="preserve">                    </w:t>
      </w:r>
      <w:r>
        <w:rPr>
          <w:rFonts w:hint="eastAsia" w:asciiTheme="minorEastAsia" w:hAnsiTheme="minorEastAsia"/>
          <w:color w:val="auto"/>
          <w:sz w:val="21"/>
          <w:szCs w:val="21"/>
        </w:rPr>
        <w:t xml:space="preserve"> </w:t>
      </w:r>
    </w:p>
    <w:p w14:paraId="77408531">
      <w:pPr>
        <w:pStyle w:val="9"/>
        <w:spacing w:line="460" w:lineRule="exact"/>
        <w:rPr>
          <w:rFonts w:asciiTheme="minorEastAsia" w:hAnsiTheme="minorEastAsia"/>
          <w:color w:val="auto"/>
          <w:sz w:val="21"/>
          <w:szCs w:val="21"/>
        </w:rPr>
      </w:pPr>
      <w:r>
        <w:rPr>
          <w:rFonts w:hint="eastAsia" w:asciiTheme="minorEastAsia" w:hAnsiTheme="minorEastAsia"/>
          <w:color w:val="auto"/>
          <w:sz w:val="21"/>
          <w:szCs w:val="21"/>
        </w:rPr>
        <w:t>3.与我单位存在管理关系的其他单位如下：</w:t>
      </w:r>
      <w:r>
        <w:rPr>
          <w:rFonts w:hint="eastAsia" w:asciiTheme="minorEastAsia" w:hAnsiTheme="minorEastAsia"/>
          <w:color w:val="auto"/>
          <w:sz w:val="21"/>
          <w:szCs w:val="21"/>
          <w:u w:val="single"/>
        </w:rPr>
        <w:t xml:space="preserve">              </w:t>
      </w:r>
      <w:r>
        <w:rPr>
          <w:rFonts w:hint="eastAsia" w:asciiTheme="minorEastAsia" w:hAnsiTheme="minorEastAsia"/>
          <w:color w:val="auto"/>
          <w:sz w:val="21"/>
          <w:szCs w:val="21"/>
        </w:rPr>
        <w:t xml:space="preserve"> </w:t>
      </w:r>
    </w:p>
    <w:p w14:paraId="4E08F3DB">
      <w:pPr>
        <w:pStyle w:val="9"/>
        <w:spacing w:line="460" w:lineRule="exact"/>
        <w:rPr>
          <w:rFonts w:asciiTheme="minorEastAsia" w:hAnsiTheme="minorEastAsia"/>
          <w:color w:val="auto"/>
          <w:sz w:val="21"/>
          <w:szCs w:val="21"/>
        </w:rPr>
      </w:pPr>
      <w:r>
        <w:rPr>
          <w:rFonts w:hint="eastAsia" w:asciiTheme="minorEastAsia" w:hAnsiTheme="minorEastAsia"/>
          <w:color w:val="auto"/>
          <w:sz w:val="21"/>
          <w:szCs w:val="21"/>
        </w:rPr>
        <w:t>九、</w:t>
      </w:r>
      <w:r>
        <w:rPr>
          <w:rFonts w:asciiTheme="minorEastAsia" w:hAnsiTheme="minorEastAsia"/>
          <w:color w:val="auto"/>
          <w:sz w:val="21"/>
          <w:szCs w:val="21"/>
        </w:rPr>
        <w:t>我</w:t>
      </w:r>
      <w:r>
        <w:rPr>
          <w:rFonts w:hint="eastAsia" w:asciiTheme="minorEastAsia" w:hAnsiTheme="minorEastAsia"/>
          <w:color w:val="auto"/>
          <w:sz w:val="21"/>
          <w:szCs w:val="21"/>
        </w:rPr>
        <w:t>单位</w:t>
      </w:r>
      <w:r>
        <w:rPr>
          <w:rFonts w:asciiTheme="minorEastAsia" w:hAnsiTheme="minorEastAsia"/>
          <w:color w:val="auto"/>
          <w:sz w:val="21"/>
          <w:szCs w:val="21"/>
        </w:rPr>
        <w:t>不属于为本项目提供整体设计、规范编制或者项目管理、监理、检测等服务的供应商。</w:t>
      </w:r>
    </w:p>
    <w:p w14:paraId="6C82D3D1">
      <w:pPr>
        <w:pStyle w:val="9"/>
        <w:spacing w:line="460" w:lineRule="exact"/>
        <w:rPr>
          <w:rFonts w:asciiTheme="minorEastAsia" w:hAnsiTheme="minorEastAsia"/>
          <w:color w:val="auto"/>
          <w:sz w:val="21"/>
          <w:szCs w:val="21"/>
        </w:rPr>
      </w:pPr>
      <w:r>
        <w:rPr>
          <w:rFonts w:hint="eastAsia" w:asciiTheme="minorEastAsia" w:hAnsiTheme="minorEastAsia"/>
          <w:color w:val="auto"/>
          <w:sz w:val="21"/>
          <w:szCs w:val="21"/>
        </w:rPr>
        <w:t>十、</w:t>
      </w:r>
      <w:r>
        <w:rPr>
          <w:rFonts w:asciiTheme="minorEastAsia" w:hAnsiTheme="minorEastAsia"/>
          <w:color w:val="auto"/>
          <w:sz w:val="21"/>
          <w:szCs w:val="21"/>
        </w:rPr>
        <w:t>我单位无以下不良信用记录情形：</w:t>
      </w:r>
    </w:p>
    <w:p w14:paraId="04CED0E0">
      <w:pPr>
        <w:pStyle w:val="9"/>
        <w:spacing w:line="460" w:lineRule="exact"/>
        <w:rPr>
          <w:rFonts w:asciiTheme="minorEastAsia" w:hAnsiTheme="minorEastAsia"/>
          <w:color w:val="auto"/>
          <w:sz w:val="21"/>
          <w:szCs w:val="21"/>
        </w:rPr>
      </w:pPr>
      <w:r>
        <w:rPr>
          <w:rFonts w:asciiTheme="minorEastAsia" w:hAnsiTheme="minorEastAsia"/>
          <w:color w:val="auto"/>
          <w:sz w:val="21"/>
          <w:szCs w:val="21"/>
        </w:rPr>
        <w:t>1</w:t>
      </w:r>
      <w:r>
        <w:rPr>
          <w:rFonts w:hint="eastAsia" w:asciiTheme="minorEastAsia" w:hAnsiTheme="minorEastAsia"/>
          <w:color w:val="auto"/>
          <w:sz w:val="21"/>
          <w:szCs w:val="21"/>
        </w:rPr>
        <w:t>.在“信用中国”网站被列入失信被执行人和重大税收违法案件当事人名单；</w:t>
      </w:r>
    </w:p>
    <w:p w14:paraId="695C462C">
      <w:pPr>
        <w:pStyle w:val="9"/>
        <w:spacing w:line="460" w:lineRule="exact"/>
        <w:rPr>
          <w:rFonts w:asciiTheme="minorEastAsia" w:hAnsiTheme="minorEastAsia"/>
          <w:color w:val="auto"/>
          <w:sz w:val="21"/>
          <w:szCs w:val="21"/>
        </w:rPr>
      </w:pPr>
      <w:r>
        <w:rPr>
          <w:rFonts w:asciiTheme="minorEastAsia" w:hAnsiTheme="minorEastAsia"/>
          <w:color w:val="auto"/>
          <w:sz w:val="21"/>
          <w:szCs w:val="21"/>
        </w:rPr>
        <w:t>2</w:t>
      </w:r>
      <w:r>
        <w:rPr>
          <w:rFonts w:hint="eastAsia" w:asciiTheme="minorEastAsia" w:hAnsiTheme="minorEastAsia"/>
          <w:color w:val="auto"/>
          <w:sz w:val="21"/>
          <w:szCs w:val="21"/>
        </w:rPr>
        <w:t>.在“中国政府采购网”网站被列入政府采购严重违法失信行为记录名单；</w:t>
      </w:r>
    </w:p>
    <w:p w14:paraId="76A223BA">
      <w:pPr>
        <w:pStyle w:val="9"/>
        <w:spacing w:line="460" w:lineRule="exact"/>
        <w:rPr>
          <w:rFonts w:asciiTheme="minorEastAsia" w:hAnsiTheme="minorEastAsia"/>
          <w:color w:val="auto"/>
          <w:sz w:val="21"/>
          <w:szCs w:val="21"/>
        </w:rPr>
      </w:pPr>
      <w:r>
        <w:rPr>
          <w:rFonts w:asciiTheme="minorEastAsia" w:hAnsiTheme="minorEastAsia"/>
          <w:color w:val="auto"/>
          <w:sz w:val="21"/>
          <w:szCs w:val="21"/>
        </w:rPr>
        <w:t>3</w:t>
      </w:r>
      <w:r>
        <w:rPr>
          <w:rFonts w:hint="eastAsia" w:asciiTheme="minorEastAsia" w:hAnsiTheme="minorEastAsia"/>
          <w:color w:val="auto"/>
          <w:sz w:val="21"/>
          <w:szCs w:val="21"/>
        </w:rPr>
        <w:t>.</w:t>
      </w:r>
      <w:r>
        <w:rPr>
          <w:rFonts w:asciiTheme="minorEastAsia" w:hAnsiTheme="minorEastAsia"/>
          <w:color w:val="auto"/>
          <w:sz w:val="21"/>
          <w:szCs w:val="21"/>
        </w:rPr>
        <w:t>不符合《政府采购法》第二十二条规定的条件。</w:t>
      </w:r>
    </w:p>
    <w:p w14:paraId="0D9DCFD3">
      <w:pPr>
        <w:pStyle w:val="9"/>
        <w:spacing w:line="460" w:lineRule="exact"/>
        <w:rPr>
          <w:rFonts w:asciiTheme="minorEastAsia" w:hAnsiTheme="minorEastAsia"/>
          <w:color w:val="auto"/>
          <w:sz w:val="21"/>
          <w:szCs w:val="21"/>
        </w:rPr>
      </w:pPr>
    </w:p>
    <w:p w14:paraId="7B4C0DF6">
      <w:pPr>
        <w:pStyle w:val="9"/>
        <w:spacing w:line="460" w:lineRule="exact"/>
        <w:rPr>
          <w:rFonts w:asciiTheme="minorEastAsia" w:hAnsiTheme="minorEastAsia"/>
          <w:color w:val="auto"/>
          <w:sz w:val="21"/>
          <w:szCs w:val="21"/>
        </w:rPr>
      </w:pPr>
      <w:r>
        <w:rPr>
          <w:rFonts w:hint="eastAsia" w:asciiTheme="minorEastAsia" w:hAnsiTheme="minorEastAsia"/>
          <w:color w:val="auto"/>
          <w:sz w:val="21"/>
          <w:szCs w:val="21"/>
        </w:rPr>
        <w:t>我单位保证上述声明的事项都是真实的，如有虚假，我单位愿意承担相应的法律责任，并承担因此所造成的一切损失。</w:t>
      </w:r>
    </w:p>
    <w:p w14:paraId="32B74484">
      <w:pPr>
        <w:pStyle w:val="9"/>
        <w:spacing w:line="460" w:lineRule="exact"/>
        <w:rPr>
          <w:rFonts w:asciiTheme="minorEastAsia" w:hAnsiTheme="minorEastAsia"/>
          <w:color w:val="auto"/>
          <w:sz w:val="21"/>
          <w:szCs w:val="21"/>
        </w:rPr>
      </w:pPr>
    </w:p>
    <w:p w14:paraId="43F0AD13">
      <w:pPr>
        <w:pStyle w:val="9"/>
        <w:spacing w:line="460" w:lineRule="exact"/>
        <w:rPr>
          <w:rFonts w:asciiTheme="minorEastAsia" w:hAnsiTheme="minorEastAsia"/>
          <w:color w:val="auto"/>
          <w:sz w:val="21"/>
          <w:szCs w:val="21"/>
        </w:rPr>
      </w:pPr>
    </w:p>
    <w:p w14:paraId="276271C3">
      <w:pPr>
        <w:pStyle w:val="9"/>
        <w:spacing w:line="460" w:lineRule="exact"/>
        <w:rPr>
          <w:rFonts w:asciiTheme="minorEastAsia" w:hAnsiTheme="minorEastAsia"/>
          <w:color w:val="auto"/>
          <w:sz w:val="21"/>
          <w:szCs w:val="21"/>
        </w:rPr>
      </w:pPr>
      <w:r>
        <w:rPr>
          <w:rFonts w:hint="eastAsia" w:asciiTheme="minorEastAsia" w:hAnsiTheme="minorEastAsia"/>
          <w:color w:val="auto"/>
          <w:sz w:val="21"/>
          <w:szCs w:val="21"/>
        </w:rPr>
        <w:t>                                       供应商：（加盖公章）</w:t>
      </w:r>
    </w:p>
    <w:p w14:paraId="508A63AB">
      <w:pPr>
        <w:pStyle w:val="9"/>
        <w:spacing w:line="460" w:lineRule="exact"/>
        <w:rPr>
          <w:rFonts w:asciiTheme="minorEastAsia" w:hAnsiTheme="minorEastAsia"/>
          <w:color w:val="auto"/>
          <w:sz w:val="21"/>
          <w:szCs w:val="21"/>
        </w:rPr>
      </w:pPr>
      <w:r>
        <w:rPr>
          <w:rFonts w:hint="eastAsia" w:asciiTheme="minorEastAsia" w:hAnsiTheme="minorEastAsia"/>
          <w:color w:val="auto"/>
          <w:sz w:val="21"/>
          <w:szCs w:val="21"/>
        </w:rPr>
        <w:t>                                        法定代表人签字或盖章：</w:t>
      </w:r>
    </w:p>
    <w:p w14:paraId="3E1D4901">
      <w:pPr>
        <w:pStyle w:val="9"/>
        <w:spacing w:line="460" w:lineRule="exact"/>
        <w:ind w:firstLine="5985" w:firstLineChars="2850"/>
        <w:rPr>
          <w:rFonts w:asciiTheme="minorEastAsia" w:hAnsiTheme="minorEastAsia"/>
          <w:color w:val="auto"/>
          <w:sz w:val="21"/>
          <w:szCs w:val="21"/>
        </w:rPr>
      </w:pPr>
      <w:r>
        <w:rPr>
          <w:rFonts w:hint="eastAsia" w:asciiTheme="minorEastAsia" w:hAnsiTheme="minorEastAsia"/>
          <w:color w:val="auto"/>
          <w:sz w:val="21"/>
          <w:szCs w:val="21"/>
        </w:rPr>
        <w:t>日期：    年    月    日</w:t>
      </w:r>
    </w:p>
    <w:p w14:paraId="4F7E4C0D">
      <w:pPr>
        <w:spacing w:line="360" w:lineRule="auto"/>
        <w:rPr>
          <w:rFonts w:asciiTheme="minorEastAsia" w:hAnsiTheme="minorEastAsia" w:eastAsiaTheme="minorEastAsia"/>
          <w:color w:val="auto"/>
          <w:szCs w:val="21"/>
        </w:rPr>
      </w:pPr>
    </w:p>
    <w:p w14:paraId="3FAA4EC3">
      <w:pPr>
        <w:spacing w:line="360" w:lineRule="auto"/>
        <w:rPr>
          <w:rFonts w:asciiTheme="minorEastAsia" w:hAnsiTheme="minorEastAsia" w:eastAsiaTheme="minorEastAsia"/>
          <w:color w:val="auto"/>
          <w:szCs w:val="21"/>
        </w:rPr>
      </w:pPr>
    </w:p>
    <w:p w14:paraId="60F60EC3">
      <w:pPr>
        <w:spacing w:line="360" w:lineRule="auto"/>
        <w:rPr>
          <w:rFonts w:asciiTheme="minorEastAsia" w:hAnsiTheme="minorEastAsia" w:eastAsiaTheme="minorEastAsia"/>
          <w:color w:val="auto"/>
          <w:szCs w:val="21"/>
        </w:rPr>
      </w:pPr>
    </w:p>
    <w:p w14:paraId="6C135CBC">
      <w:pPr>
        <w:spacing w:line="360" w:lineRule="auto"/>
        <w:rPr>
          <w:rFonts w:asciiTheme="minorEastAsia" w:hAnsiTheme="minorEastAsia" w:eastAsiaTheme="minorEastAsia"/>
          <w:color w:val="auto"/>
          <w:sz w:val="24"/>
        </w:rPr>
      </w:pPr>
      <w:r>
        <w:rPr>
          <w:rFonts w:asciiTheme="minorEastAsia" w:hAnsiTheme="minorEastAsia" w:eastAsiaTheme="minorEastAsia"/>
          <w:color w:val="auto"/>
          <w:sz w:val="21"/>
          <w:szCs w:val="21"/>
        </w:rPr>
        <w:t>说明：</w:t>
      </w:r>
      <w:r>
        <w:rPr>
          <w:rFonts w:hint="eastAsia" w:asciiTheme="minorEastAsia" w:hAnsiTheme="minorEastAsia" w:eastAsiaTheme="minorEastAsia"/>
          <w:color w:val="auto"/>
          <w:sz w:val="21"/>
          <w:szCs w:val="21"/>
        </w:rPr>
        <w:t>供应商承诺不实的，依据《政府采购法》第七十七条“提供虚假材料谋取中标、成交的”有关规定予以处理。</w:t>
      </w:r>
      <w:r>
        <w:rPr>
          <w:rFonts w:hint="eastAsia" w:ascii="宋体" w:hAnsi="宋体" w:cs="宋体"/>
          <w:b/>
          <w:color w:val="auto"/>
          <w:szCs w:val="21"/>
        </w:rPr>
        <w:br w:type="page"/>
      </w:r>
      <w:r>
        <w:rPr>
          <w:rFonts w:hint="eastAsia" w:asciiTheme="minorEastAsia" w:hAnsiTheme="minorEastAsia" w:eastAsiaTheme="minorEastAsia"/>
          <w:color w:val="auto"/>
          <w:sz w:val="24"/>
        </w:rPr>
        <w:t>2</w:t>
      </w:r>
      <w:r>
        <w:rPr>
          <w:rFonts w:asciiTheme="minorEastAsia" w:hAnsiTheme="minorEastAsia" w:eastAsiaTheme="minorEastAsia"/>
          <w:color w:val="auto"/>
          <w:sz w:val="24"/>
        </w:rPr>
        <w:t xml:space="preserve">  响应</w:t>
      </w:r>
      <w:r>
        <w:rPr>
          <w:rFonts w:hint="eastAsia" w:asciiTheme="minorEastAsia" w:hAnsiTheme="minorEastAsia" w:eastAsiaTheme="minorEastAsia"/>
          <w:color w:val="auto"/>
          <w:sz w:val="24"/>
        </w:rPr>
        <w:t>函</w:t>
      </w:r>
      <w:r>
        <w:rPr>
          <w:rFonts w:asciiTheme="minorEastAsia" w:hAnsiTheme="minorEastAsia" w:eastAsiaTheme="minorEastAsia"/>
          <w:color w:val="auto"/>
          <w:sz w:val="24"/>
        </w:rPr>
        <w:t>（实质性格式）</w:t>
      </w:r>
    </w:p>
    <w:p w14:paraId="77003F84">
      <w:pPr>
        <w:spacing w:line="360" w:lineRule="auto"/>
        <w:rPr>
          <w:rFonts w:ascii="宋体" w:hAnsi="宋体" w:cs="宋体"/>
          <w:b/>
          <w:color w:val="auto"/>
          <w:sz w:val="21"/>
          <w:szCs w:val="21"/>
        </w:rPr>
      </w:pPr>
      <w:r>
        <w:rPr>
          <w:rFonts w:hint="eastAsia" w:ascii="宋体" w:hAnsi="宋体" w:cs="宋体"/>
          <w:b/>
          <w:color w:val="auto"/>
          <w:sz w:val="21"/>
          <w:szCs w:val="21"/>
        </w:rPr>
        <w:t>附件二：</w:t>
      </w:r>
    </w:p>
    <w:p w14:paraId="0471F0BF">
      <w:pPr>
        <w:spacing w:line="360" w:lineRule="auto"/>
        <w:jc w:val="center"/>
        <w:rPr>
          <w:rFonts w:asciiTheme="minorEastAsia" w:hAnsiTheme="minorEastAsia" w:eastAsiaTheme="minorEastAsia"/>
          <w:b/>
          <w:color w:val="auto"/>
          <w:sz w:val="21"/>
          <w:szCs w:val="21"/>
        </w:rPr>
      </w:pPr>
      <w:r>
        <w:rPr>
          <w:rFonts w:hint="eastAsia" w:asciiTheme="minorEastAsia" w:hAnsiTheme="minorEastAsia" w:eastAsiaTheme="minorEastAsia"/>
          <w:b/>
          <w:color w:val="auto"/>
          <w:sz w:val="21"/>
          <w:szCs w:val="21"/>
        </w:rPr>
        <w:t>响应函</w:t>
      </w:r>
    </w:p>
    <w:p w14:paraId="38BF2CB2">
      <w:pPr>
        <w:tabs>
          <w:tab w:val="left" w:pos="5580"/>
        </w:tabs>
        <w:spacing w:line="360" w:lineRule="auto"/>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致：</w:t>
      </w:r>
      <w:r>
        <w:rPr>
          <w:rFonts w:asciiTheme="minorEastAsia" w:hAnsiTheme="minorEastAsia" w:eastAsiaTheme="minorEastAsia"/>
          <w:color w:val="auto"/>
          <w:sz w:val="21"/>
          <w:szCs w:val="21"/>
          <w:u w:val="single"/>
        </w:rPr>
        <w:t>（采购人或采购代理机构）</w:t>
      </w:r>
    </w:p>
    <w:p w14:paraId="42F6F663">
      <w:pPr>
        <w:spacing w:line="360" w:lineRule="auto"/>
        <w:ind w:firstLine="420" w:firstLineChars="200"/>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我方参加你方就</w:t>
      </w:r>
      <w:r>
        <w:rPr>
          <w:rFonts w:hint="eastAsia" w:asciiTheme="minorEastAsia" w:hAnsiTheme="minorEastAsia" w:eastAsiaTheme="minorEastAsia"/>
          <w:color w:val="auto"/>
          <w:sz w:val="21"/>
          <w:szCs w:val="21"/>
          <w:u w:val="single"/>
        </w:rPr>
        <w:t xml:space="preserve">                       （项目名称） （项目编号：     ）</w:t>
      </w:r>
      <w:r>
        <w:rPr>
          <w:rFonts w:asciiTheme="minorEastAsia" w:hAnsiTheme="minorEastAsia" w:eastAsiaTheme="minorEastAsia"/>
          <w:color w:val="auto"/>
          <w:sz w:val="21"/>
          <w:szCs w:val="21"/>
        </w:rPr>
        <w:t>组织的</w:t>
      </w:r>
      <w:r>
        <w:rPr>
          <w:rFonts w:hint="eastAsia" w:asciiTheme="minorEastAsia" w:hAnsiTheme="minorEastAsia" w:eastAsiaTheme="minorEastAsia"/>
          <w:color w:val="auto"/>
          <w:sz w:val="21"/>
          <w:szCs w:val="21"/>
        </w:rPr>
        <w:t>采购</w:t>
      </w:r>
      <w:r>
        <w:rPr>
          <w:rFonts w:asciiTheme="minorEastAsia" w:hAnsiTheme="minorEastAsia" w:eastAsiaTheme="minorEastAsia"/>
          <w:color w:val="auto"/>
          <w:sz w:val="21"/>
          <w:szCs w:val="21"/>
        </w:rPr>
        <w:t>活动，并对此项目进行响应。</w:t>
      </w:r>
    </w:p>
    <w:p w14:paraId="1D41890E">
      <w:pPr>
        <w:tabs>
          <w:tab w:val="left" w:pos="5580"/>
        </w:tabs>
        <w:spacing w:line="360" w:lineRule="auto"/>
        <w:ind w:firstLine="408"/>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1.我方已详细审查全部</w:t>
      </w:r>
      <w:r>
        <w:rPr>
          <w:rFonts w:hint="eastAsia" w:asciiTheme="minorEastAsia" w:hAnsiTheme="minorEastAsia" w:eastAsiaTheme="minorEastAsia"/>
          <w:color w:val="auto"/>
          <w:sz w:val="21"/>
          <w:szCs w:val="21"/>
        </w:rPr>
        <w:t>磋商文件</w:t>
      </w:r>
      <w:r>
        <w:rPr>
          <w:rFonts w:asciiTheme="minorEastAsia" w:hAnsiTheme="minorEastAsia" w:eastAsiaTheme="minorEastAsia"/>
          <w:color w:val="auto"/>
          <w:sz w:val="21"/>
          <w:szCs w:val="21"/>
        </w:rPr>
        <w:t>，自愿参与响应并承诺如下：</w:t>
      </w:r>
    </w:p>
    <w:p w14:paraId="6BE6406A">
      <w:pPr>
        <w:tabs>
          <w:tab w:val="left" w:pos="720"/>
          <w:tab w:val="left" w:pos="900"/>
        </w:tabs>
        <w:spacing w:line="360" w:lineRule="auto"/>
        <w:ind w:left="360" w:firstLine="63" w:firstLineChars="30"/>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（1）本响应有效期为自提交</w:t>
      </w:r>
      <w:r>
        <w:rPr>
          <w:rFonts w:hint="eastAsia" w:asciiTheme="minorEastAsia" w:hAnsiTheme="minorEastAsia" w:eastAsiaTheme="minorEastAsia"/>
          <w:color w:val="auto"/>
          <w:sz w:val="21"/>
          <w:szCs w:val="21"/>
        </w:rPr>
        <w:t>响应文件</w:t>
      </w:r>
      <w:r>
        <w:rPr>
          <w:rFonts w:asciiTheme="minorEastAsia" w:hAnsiTheme="minorEastAsia" w:eastAsiaTheme="minorEastAsia"/>
          <w:color w:val="auto"/>
          <w:sz w:val="21"/>
          <w:szCs w:val="21"/>
        </w:rPr>
        <w:t>的截止之日起</w:t>
      </w:r>
      <w:r>
        <w:rPr>
          <w:rFonts w:hint="eastAsia" w:asciiTheme="minorEastAsia" w:hAnsiTheme="minorEastAsia" w:eastAsiaTheme="minorEastAsia"/>
          <w:color w:val="auto"/>
          <w:sz w:val="21"/>
          <w:szCs w:val="21"/>
        </w:rPr>
        <w:t>120</w:t>
      </w:r>
      <w:r>
        <w:rPr>
          <w:rFonts w:asciiTheme="minorEastAsia" w:hAnsiTheme="minorEastAsia" w:eastAsiaTheme="minorEastAsia"/>
          <w:color w:val="auto"/>
          <w:sz w:val="21"/>
          <w:szCs w:val="21"/>
        </w:rPr>
        <w:t>个日历日。</w:t>
      </w:r>
    </w:p>
    <w:p w14:paraId="723324A3">
      <w:pPr>
        <w:tabs>
          <w:tab w:val="left" w:pos="720"/>
          <w:tab w:val="left" w:pos="900"/>
        </w:tabs>
        <w:spacing w:line="360" w:lineRule="auto"/>
        <w:ind w:left="360" w:firstLine="63" w:firstLineChars="30"/>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（2）除合同条款及采购需求偏离表列出的偏离外，我方响应</w:t>
      </w:r>
      <w:r>
        <w:rPr>
          <w:rFonts w:hint="eastAsia" w:asciiTheme="minorEastAsia" w:hAnsiTheme="minorEastAsia" w:eastAsiaTheme="minorEastAsia"/>
          <w:color w:val="auto"/>
          <w:sz w:val="21"/>
          <w:szCs w:val="21"/>
        </w:rPr>
        <w:t>响应文件</w:t>
      </w:r>
      <w:r>
        <w:rPr>
          <w:rFonts w:asciiTheme="minorEastAsia" w:hAnsiTheme="minorEastAsia" w:eastAsiaTheme="minorEastAsia"/>
          <w:color w:val="auto"/>
          <w:sz w:val="21"/>
          <w:szCs w:val="21"/>
        </w:rPr>
        <w:t>的全部要求。</w:t>
      </w:r>
    </w:p>
    <w:p w14:paraId="1509BBCA">
      <w:pPr>
        <w:tabs>
          <w:tab w:val="left" w:pos="5580"/>
        </w:tabs>
        <w:spacing w:line="360" w:lineRule="auto"/>
        <w:ind w:firstLine="367" w:firstLineChars="175"/>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（3）我方已提供的全部文件资料是真实、准确的，并对此承担一切法律后果。</w:t>
      </w:r>
    </w:p>
    <w:p w14:paraId="4B762367">
      <w:pPr>
        <w:tabs>
          <w:tab w:val="left" w:pos="5580"/>
        </w:tabs>
        <w:spacing w:line="360" w:lineRule="auto"/>
        <w:ind w:firstLine="367" w:firstLineChars="175"/>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（4）如我方中标，我方将在法律规定的期限内与你方签订合同，按照</w:t>
      </w:r>
      <w:r>
        <w:rPr>
          <w:rFonts w:hint="eastAsia" w:asciiTheme="minorEastAsia" w:hAnsiTheme="minorEastAsia" w:eastAsiaTheme="minorEastAsia"/>
          <w:color w:val="auto"/>
          <w:sz w:val="21"/>
          <w:szCs w:val="21"/>
        </w:rPr>
        <w:t>磋商文件</w:t>
      </w:r>
      <w:r>
        <w:rPr>
          <w:rFonts w:asciiTheme="minorEastAsia" w:hAnsiTheme="minorEastAsia" w:eastAsiaTheme="minorEastAsia"/>
          <w:color w:val="auto"/>
          <w:sz w:val="21"/>
          <w:szCs w:val="21"/>
        </w:rPr>
        <w:t>要求提交履约保证金，并在合同约定的期限内完成合同规定的全部义务。</w:t>
      </w:r>
    </w:p>
    <w:p w14:paraId="454D5068">
      <w:pPr>
        <w:spacing w:line="360" w:lineRule="auto"/>
        <w:ind w:left="420"/>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2.其他补充条款（如有）：___________。</w:t>
      </w:r>
    </w:p>
    <w:p w14:paraId="679757DB">
      <w:pPr>
        <w:spacing w:line="360" w:lineRule="auto"/>
        <w:ind w:firstLine="420" w:firstLineChars="200"/>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与本响应有关的一切正式往来信函请寄：</w:t>
      </w:r>
    </w:p>
    <w:p w14:paraId="0D5108BD">
      <w:pPr>
        <w:tabs>
          <w:tab w:val="left" w:pos="5580"/>
        </w:tabs>
        <w:spacing w:line="360" w:lineRule="auto"/>
        <w:ind w:left="420"/>
        <w:rPr>
          <w:rFonts w:asciiTheme="minorEastAsia" w:hAnsiTheme="minorEastAsia" w:eastAsiaTheme="minorEastAsia"/>
          <w:color w:val="auto"/>
          <w:sz w:val="21"/>
          <w:szCs w:val="21"/>
        </w:rPr>
      </w:pPr>
    </w:p>
    <w:p w14:paraId="32864B3E">
      <w:pPr>
        <w:tabs>
          <w:tab w:val="left" w:pos="5580"/>
        </w:tabs>
        <w:spacing w:line="360" w:lineRule="auto"/>
        <w:ind w:left="420"/>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地址_________________________     传真____________________________</w:t>
      </w:r>
    </w:p>
    <w:p w14:paraId="6A182C31">
      <w:pPr>
        <w:tabs>
          <w:tab w:val="left" w:pos="5580"/>
        </w:tabs>
        <w:spacing w:line="360" w:lineRule="auto"/>
        <w:ind w:left="420"/>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电话_________________________     电子函件________________________</w:t>
      </w:r>
    </w:p>
    <w:p w14:paraId="5ED16E40">
      <w:pPr>
        <w:tabs>
          <w:tab w:val="left" w:pos="5580"/>
        </w:tabs>
        <w:spacing w:line="360" w:lineRule="auto"/>
        <w:ind w:left="420"/>
        <w:rPr>
          <w:rFonts w:asciiTheme="minorEastAsia" w:hAnsiTheme="minorEastAsia" w:eastAsiaTheme="minorEastAsia"/>
          <w:color w:val="auto"/>
          <w:sz w:val="21"/>
          <w:szCs w:val="21"/>
        </w:rPr>
      </w:pPr>
    </w:p>
    <w:p w14:paraId="739F636B">
      <w:pPr>
        <w:tabs>
          <w:tab w:val="left" w:pos="5580"/>
        </w:tabs>
        <w:spacing w:line="360" w:lineRule="auto"/>
        <w:ind w:left="420"/>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供应商名称（加盖公章） ___________</w:t>
      </w:r>
    </w:p>
    <w:p w14:paraId="54761AB7">
      <w:pPr>
        <w:tabs>
          <w:tab w:val="left" w:pos="5580"/>
        </w:tabs>
        <w:spacing w:line="360" w:lineRule="auto"/>
        <w:ind w:left="420"/>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日期：_____年______月______日</w:t>
      </w:r>
    </w:p>
    <w:p w14:paraId="0D3752A8">
      <w:pPr>
        <w:widowControl/>
        <w:spacing w:line="360" w:lineRule="auto"/>
        <w:jc w:val="left"/>
        <w:rPr>
          <w:rFonts w:ascii="宋体" w:hAnsi="宋体" w:cs="宋体"/>
          <w:b/>
          <w:color w:val="auto"/>
          <w:sz w:val="21"/>
          <w:szCs w:val="21"/>
        </w:rPr>
      </w:pPr>
      <w:r>
        <w:rPr>
          <w:rFonts w:ascii="宋体" w:hAnsi="宋体" w:cs="宋体"/>
          <w:b/>
          <w:color w:val="auto"/>
          <w:sz w:val="21"/>
          <w:szCs w:val="21"/>
        </w:rPr>
        <w:br w:type="page"/>
      </w:r>
    </w:p>
    <w:p w14:paraId="25F31FE4">
      <w:pPr>
        <w:widowControl/>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3</w:t>
      </w:r>
      <w:r>
        <w:rPr>
          <w:rFonts w:asciiTheme="minorEastAsia" w:hAnsiTheme="minorEastAsia" w:eastAsiaTheme="minorEastAsia"/>
          <w:color w:val="auto"/>
          <w:sz w:val="24"/>
        </w:rPr>
        <w:t xml:space="preserve">  </w:t>
      </w:r>
      <w:r>
        <w:rPr>
          <w:rFonts w:hint="eastAsia" w:asciiTheme="minorEastAsia" w:hAnsiTheme="minorEastAsia" w:eastAsiaTheme="minorEastAsia"/>
          <w:color w:val="auto"/>
          <w:sz w:val="24"/>
        </w:rPr>
        <w:t>法定代表人资格证明书</w:t>
      </w:r>
      <w:r>
        <w:rPr>
          <w:rFonts w:asciiTheme="minorEastAsia" w:hAnsiTheme="minorEastAsia" w:eastAsiaTheme="minorEastAsia"/>
          <w:color w:val="auto"/>
          <w:sz w:val="24"/>
        </w:rPr>
        <w:t>（实质性格式）</w:t>
      </w:r>
    </w:p>
    <w:p w14:paraId="1B23D3AC">
      <w:pPr>
        <w:spacing w:line="360" w:lineRule="auto"/>
        <w:jc w:val="center"/>
        <w:rPr>
          <w:rFonts w:asciiTheme="minorEastAsia" w:hAnsiTheme="minorEastAsia" w:eastAsiaTheme="minorEastAsia"/>
          <w:b/>
          <w:color w:val="auto"/>
          <w:sz w:val="32"/>
          <w:szCs w:val="32"/>
        </w:rPr>
      </w:pPr>
    </w:p>
    <w:p w14:paraId="18C8BC68">
      <w:pPr>
        <w:spacing w:line="360" w:lineRule="auto"/>
        <w:jc w:val="center"/>
        <w:rPr>
          <w:rFonts w:asciiTheme="minorEastAsia" w:hAnsiTheme="minorEastAsia" w:eastAsiaTheme="minorEastAsia"/>
          <w:b/>
          <w:color w:val="auto"/>
          <w:sz w:val="21"/>
          <w:szCs w:val="21"/>
        </w:rPr>
      </w:pPr>
      <w:r>
        <w:rPr>
          <w:rFonts w:hint="eastAsia" w:asciiTheme="minorEastAsia" w:hAnsiTheme="minorEastAsia" w:eastAsiaTheme="minorEastAsia"/>
          <w:b/>
          <w:color w:val="auto"/>
          <w:sz w:val="21"/>
          <w:szCs w:val="21"/>
        </w:rPr>
        <w:t>法定代表人资格证明书</w:t>
      </w:r>
    </w:p>
    <w:p w14:paraId="0ACEE544">
      <w:pPr>
        <w:spacing w:line="360" w:lineRule="auto"/>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单位名称:</w:t>
      </w:r>
    </w:p>
    <w:p w14:paraId="337C9A42">
      <w:pPr>
        <w:spacing w:line="360" w:lineRule="auto"/>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地址:</w:t>
      </w:r>
    </w:p>
    <w:p w14:paraId="3A0A9344">
      <w:pPr>
        <w:spacing w:line="360" w:lineRule="auto"/>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姓名:     性别:       年龄:      职务:</w:t>
      </w:r>
    </w:p>
    <w:p w14:paraId="130F2A38">
      <w:pPr>
        <w:spacing w:line="360" w:lineRule="auto"/>
        <w:ind w:firstLine="840" w:firstLineChars="40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系</w:t>
      </w:r>
      <w:r>
        <w:rPr>
          <w:rFonts w:hint="eastAsia" w:asciiTheme="minorEastAsia" w:hAnsiTheme="minorEastAsia" w:eastAsiaTheme="minorEastAsia"/>
          <w:color w:val="auto"/>
          <w:sz w:val="21"/>
          <w:szCs w:val="21"/>
          <w:u w:val="single"/>
        </w:rPr>
        <w:t>（供应商名称）</w:t>
      </w:r>
      <w:r>
        <w:rPr>
          <w:rFonts w:hint="eastAsia" w:asciiTheme="minorEastAsia" w:hAnsiTheme="minorEastAsia" w:eastAsiaTheme="minorEastAsia"/>
          <w:color w:val="auto"/>
          <w:sz w:val="21"/>
          <w:szCs w:val="21"/>
        </w:rPr>
        <w:t>的法定代表人。为参与</w:t>
      </w:r>
      <w:r>
        <w:rPr>
          <w:rFonts w:hint="eastAsia" w:asciiTheme="minorEastAsia" w:hAnsiTheme="minorEastAsia" w:eastAsiaTheme="minorEastAsia"/>
          <w:color w:val="auto"/>
          <w:sz w:val="21"/>
          <w:szCs w:val="21"/>
          <w:u w:val="single"/>
        </w:rPr>
        <w:t xml:space="preserve">            （项目名称）（项目编号：     ）</w:t>
      </w:r>
      <w:r>
        <w:rPr>
          <w:rFonts w:hint="eastAsia" w:asciiTheme="minorEastAsia" w:hAnsiTheme="minorEastAsia" w:eastAsiaTheme="minorEastAsia"/>
          <w:color w:val="auto"/>
          <w:sz w:val="21"/>
          <w:szCs w:val="21"/>
        </w:rPr>
        <w:t>的采购活动，</w:t>
      </w:r>
      <w:r>
        <w:rPr>
          <w:rFonts w:asciiTheme="minorEastAsia" w:hAnsiTheme="minorEastAsia" w:eastAsiaTheme="minorEastAsia"/>
          <w:color w:val="auto"/>
          <w:sz w:val="21"/>
          <w:szCs w:val="21"/>
        </w:rPr>
        <w:t>签署、澄清确认、递交、撤回、修改</w:t>
      </w:r>
      <w:r>
        <w:rPr>
          <w:rFonts w:hint="eastAsia" w:asciiTheme="minorEastAsia" w:hAnsiTheme="minorEastAsia" w:eastAsiaTheme="minorEastAsia"/>
          <w:color w:val="auto"/>
          <w:sz w:val="21"/>
          <w:szCs w:val="21"/>
        </w:rPr>
        <w:t>上述项目的响应文件、进行合同采购、签署合同和处理与之有关的一切事务。</w:t>
      </w:r>
    </w:p>
    <w:p w14:paraId="1847A699">
      <w:pPr>
        <w:spacing w:line="360" w:lineRule="auto"/>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特此证明。</w:t>
      </w:r>
    </w:p>
    <w:p w14:paraId="0B4769D2">
      <w:pPr>
        <w:spacing w:line="360" w:lineRule="auto"/>
        <w:rPr>
          <w:rFonts w:asciiTheme="minorEastAsia" w:hAnsiTheme="minorEastAsia" w:eastAsiaTheme="minorEastAsia"/>
          <w:color w:val="auto"/>
          <w:sz w:val="21"/>
          <w:szCs w:val="21"/>
        </w:rPr>
      </w:pPr>
    </w:p>
    <w:p w14:paraId="0637E0FC">
      <w:pPr>
        <w:pStyle w:val="3"/>
        <w:tabs>
          <w:tab w:val="left" w:pos="567"/>
        </w:tabs>
        <w:kinsoku w:val="0"/>
        <w:overflowPunct w:val="0"/>
        <w:spacing w:line="360" w:lineRule="auto"/>
        <w:ind w:right="-46"/>
        <w:rPr>
          <w:rFonts w:hint="default" w:asciiTheme="minorEastAsia" w:hAnsiTheme="minorEastAsia" w:eastAsiaTheme="minorEastAsia"/>
          <w:color w:val="auto"/>
          <w:spacing w:val="-3"/>
          <w:sz w:val="21"/>
          <w:szCs w:val="21"/>
        </w:rPr>
      </w:pPr>
      <w:r>
        <w:rPr>
          <w:rFonts w:asciiTheme="minorEastAsia" w:hAnsiTheme="minorEastAsia" w:eastAsiaTheme="minorEastAsia"/>
          <w:color w:val="auto"/>
          <w:sz w:val="21"/>
          <w:szCs w:val="21"/>
        </w:rPr>
        <w:t>附：</w:t>
      </w:r>
      <w:r>
        <w:rPr>
          <w:rFonts w:asciiTheme="minorEastAsia" w:hAnsiTheme="minorEastAsia" w:eastAsiaTheme="minorEastAsia"/>
          <w:color w:val="auto"/>
          <w:spacing w:val="-3"/>
          <w:sz w:val="21"/>
          <w:szCs w:val="21"/>
        </w:rPr>
        <w:t>法</w:t>
      </w:r>
      <w:r>
        <w:rPr>
          <w:rFonts w:asciiTheme="minorEastAsia" w:hAnsiTheme="minorEastAsia" w:eastAsiaTheme="minorEastAsia"/>
          <w:color w:val="auto"/>
          <w:sz w:val="21"/>
          <w:szCs w:val="21"/>
        </w:rPr>
        <w:t>定</w:t>
      </w:r>
      <w:r>
        <w:rPr>
          <w:rFonts w:asciiTheme="minorEastAsia" w:hAnsiTheme="minorEastAsia" w:eastAsiaTheme="minorEastAsia"/>
          <w:color w:val="auto"/>
          <w:spacing w:val="-3"/>
          <w:sz w:val="21"/>
          <w:szCs w:val="21"/>
        </w:rPr>
        <w:t>代</w:t>
      </w:r>
      <w:r>
        <w:rPr>
          <w:rFonts w:asciiTheme="minorEastAsia" w:hAnsiTheme="minorEastAsia" w:eastAsiaTheme="minorEastAsia"/>
          <w:color w:val="auto"/>
          <w:sz w:val="21"/>
          <w:szCs w:val="21"/>
        </w:rPr>
        <w:t>表</w:t>
      </w:r>
      <w:r>
        <w:rPr>
          <w:rFonts w:asciiTheme="minorEastAsia" w:hAnsiTheme="minorEastAsia" w:eastAsiaTheme="minorEastAsia"/>
          <w:color w:val="auto"/>
          <w:spacing w:val="-3"/>
          <w:sz w:val="21"/>
          <w:szCs w:val="21"/>
        </w:rPr>
        <w:t>人</w:t>
      </w:r>
      <w:r>
        <w:rPr>
          <w:rFonts w:asciiTheme="minorEastAsia" w:hAnsiTheme="minorEastAsia" w:eastAsiaTheme="minorEastAsia"/>
          <w:color w:val="auto"/>
          <w:sz w:val="21"/>
          <w:szCs w:val="21"/>
        </w:rPr>
        <w:t>（</w:t>
      </w:r>
      <w:r>
        <w:rPr>
          <w:rFonts w:asciiTheme="minorEastAsia" w:hAnsiTheme="minorEastAsia" w:eastAsiaTheme="minorEastAsia"/>
          <w:color w:val="auto"/>
          <w:spacing w:val="-3"/>
          <w:sz w:val="21"/>
          <w:szCs w:val="21"/>
        </w:rPr>
        <w:t>单</w:t>
      </w:r>
      <w:r>
        <w:rPr>
          <w:rFonts w:asciiTheme="minorEastAsia" w:hAnsiTheme="minorEastAsia" w:eastAsiaTheme="minorEastAsia"/>
          <w:color w:val="auto"/>
          <w:sz w:val="21"/>
          <w:szCs w:val="21"/>
        </w:rPr>
        <w:t>位</w:t>
      </w:r>
      <w:r>
        <w:rPr>
          <w:rFonts w:asciiTheme="minorEastAsia" w:hAnsiTheme="minorEastAsia" w:eastAsiaTheme="minorEastAsia"/>
          <w:color w:val="auto"/>
          <w:spacing w:val="-3"/>
          <w:sz w:val="21"/>
          <w:szCs w:val="21"/>
        </w:rPr>
        <w:t>负</w:t>
      </w:r>
      <w:r>
        <w:rPr>
          <w:rFonts w:asciiTheme="minorEastAsia" w:hAnsiTheme="minorEastAsia" w:eastAsiaTheme="minorEastAsia"/>
          <w:color w:val="auto"/>
          <w:sz w:val="21"/>
          <w:szCs w:val="21"/>
        </w:rPr>
        <w:t>责人</w:t>
      </w:r>
      <w:r>
        <w:rPr>
          <w:rFonts w:asciiTheme="minorEastAsia" w:hAnsiTheme="minorEastAsia" w:eastAsiaTheme="minorEastAsia"/>
          <w:color w:val="auto"/>
          <w:spacing w:val="-3"/>
          <w:sz w:val="21"/>
          <w:szCs w:val="21"/>
        </w:rPr>
        <w:t>）有效期内的身份证正反面电子件。</w:t>
      </w:r>
    </w:p>
    <w:tbl>
      <w:tblPr>
        <w:tblStyle w:val="27"/>
        <w:tblW w:w="920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673"/>
        <w:gridCol w:w="4536"/>
      </w:tblGrid>
      <w:tr w14:paraId="081DA2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9" w:hRule="atLeast"/>
        </w:trPr>
        <w:tc>
          <w:tcPr>
            <w:tcW w:w="4673" w:type="dxa"/>
          </w:tcPr>
          <w:p w14:paraId="6CA91F72">
            <w:pPr>
              <w:tabs>
                <w:tab w:val="left" w:pos="5580"/>
              </w:tabs>
              <w:spacing w:line="360" w:lineRule="auto"/>
              <w:jc w:val="left"/>
              <w:rPr>
                <w:rFonts w:asciiTheme="minorEastAsia" w:hAnsiTheme="minorEastAsia" w:eastAsiaTheme="minorEastAsia"/>
                <w:color w:val="auto"/>
                <w:sz w:val="24"/>
              </w:rPr>
            </w:pPr>
          </w:p>
          <w:p w14:paraId="47A4D4E9">
            <w:pPr>
              <w:tabs>
                <w:tab w:val="left" w:pos="5580"/>
              </w:tabs>
              <w:spacing w:line="360" w:lineRule="auto"/>
              <w:jc w:val="left"/>
              <w:rPr>
                <w:rFonts w:asciiTheme="minorEastAsia" w:hAnsiTheme="minorEastAsia" w:eastAsiaTheme="minorEastAsia"/>
                <w:color w:val="auto"/>
                <w:sz w:val="24"/>
              </w:rPr>
            </w:pPr>
          </w:p>
          <w:p w14:paraId="2BF2E347">
            <w:pPr>
              <w:tabs>
                <w:tab w:val="left" w:pos="5580"/>
              </w:tabs>
              <w:spacing w:line="360" w:lineRule="auto"/>
              <w:jc w:val="left"/>
              <w:rPr>
                <w:rFonts w:asciiTheme="minorEastAsia" w:hAnsiTheme="minorEastAsia" w:eastAsiaTheme="minorEastAsia"/>
                <w:color w:val="auto"/>
                <w:sz w:val="24"/>
              </w:rPr>
            </w:pPr>
          </w:p>
        </w:tc>
        <w:tc>
          <w:tcPr>
            <w:tcW w:w="4536" w:type="dxa"/>
          </w:tcPr>
          <w:p w14:paraId="08EC7BD5">
            <w:pPr>
              <w:tabs>
                <w:tab w:val="left" w:pos="5580"/>
              </w:tabs>
              <w:spacing w:line="360" w:lineRule="auto"/>
              <w:jc w:val="left"/>
              <w:rPr>
                <w:rFonts w:asciiTheme="minorEastAsia" w:hAnsiTheme="minorEastAsia" w:eastAsiaTheme="minorEastAsia"/>
                <w:color w:val="auto"/>
                <w:sz w:val="24"/>
              </w:rPr>
            </w:pPr>
          </w:p>
          <w:p w14:paraId="7B2D19D7">
            <w:pPr>
              <w:tabs>
                <w:tab w:val="left" w:pos="5580"/>
              </w:tabs>
              <w:spacing w:line="360" w:lineRule="auto"/>
              <w:jc w:val="left"/>
              <w:rPr>
                <w:rFonts w:asciiTheme="minorEastAsia" w:hAnsiTheme="minorEastAsia" w:eastAsiaTheme="minorEastAsia"/>
                <w:color w:val="auto"/>
                <w:sz w:val="24"/>
              </w:rPr>
            </w:pPr>
          </w:p>
          <w:p w14:paraId="2DB7F1A6">
            <w:pPr>
              <w:tabs>
                <w:tab w:val="left" w:pos="5580"/>
              </w:tabs>
              <w:spacing w:line="360" w:lineRule="auto"/>
              <w:jc w:val="left"/>
              <w:rPr>
                <w:rFonts w:asciiTheme="minorEastAsia" w:hAnsiTheme="minorEastAsia" w:eastAsiaTheme="minorEastAsia"/>
                <w:color w:val="auto"/>
                <w:sz w:val="24"/>
              </w:rPr>
            </w:pPr>
          </w:p>
        </w:tc>
      </w:tr>
    </w:tbl>
    <w:p w14:paraId="32EF04B4">
      <w:pPr>
        <w:spacing w:line="560" w:lineRule="exact"/>
        <w:rPr>
          <w:rFonts w:asciiTheme="minorEastAsia" w:hAnsiTheme="minorEastAsia" w:eastAsiaTheme="minorEastAsia"/>
          <w:color w:val="auto"/>
          <w:sz w:val="24"/>
        </w:rPr>
      </w:pPr>
      <w:r>
        <w:rPr>
          <w:rFonts w:hint="eastAsia" w:asciiTheme="minorEastAsia" w:hAnsiTheme="minorEastAsia" w:eastAsiaTheme="minorEastAsia"/>
          <w:color w:val="auto"/>
          <w:sz w:val="24"/>
        </w:rPr>
        <w:t>                     供应商：（加盖公章）</w:t>
      </w:r>
    </w:p>
    <w:p w14:paraId="59751EF7">
      <w:pPr>
        <w:spacing w:line="560" w:lineRule="exact"/>
        <w:rPr>
          <w:rFonts w:asciiTheme="minorEastAsia" w:hAnsiTheme="minorEastAsia" w:eastAsiaTheme="minorEastAsia"/>
          <w:color w:val="auto"/>
          <w:sz w:val="24"/>
        </w:rPr>
      </w:pPr>
      <w:r>
        <w:rPr>
          <w:rFonts w:hint="eastAsia" w:asciiTheme="minorEastAsia" w:hAnsiTheme="minorEastAsia" w:eastAsiaTheme="minorEastAsia"/>
          <w:color w:val="auto"/>
          <w:sz w:val="24"/>
        </w:rPr>
        <w:t>                       法定代表人</w:t>
      </w:r>
      <w:r>
        <w:rPr>
          <w:rFonts w:asciiTheme="minorEastAsia" w:hAnsiTheme="minorEastAsia" w:eastAsiaTheme="minorEastAsia"/>
          <w:color w:val="auto"/>
          <w:sz w:val="24"/>
        </w:rPr>
        <w:t>签字</w:t>
      </w:r>
      <w:r>
        <w:rPr>
          <w:rFonts w:hint="eastAsia" w:asciiTheme="minorEastAsia" w:hAnsiTheme="minorEastAsia" w:eastAsiaTheme="minorEastAsia"/>
          <w:color w:val="auto"/>
          <w:sz w:val="24"/>
        </w:rPr>
        <w:t>、签章</w:t>
      </w:r>
      <w:r>
        <w:rPr>
          <w:rFonts w:asciiTheme="minorEastAsia" w:hAnsiTheme="minorEastAsia" w:eastAsiaTheme="minorEastAsia"/>
          <w:color w:val="auto"/>
          <w:sz w:val="24"/>
        </w:rPr>
        <w:t>或</w:t>
      </w:r>
      <w:r>
        <w:rPr>
          <w:rFonts w:hint="eastAsia" w:asciiTheme="minorEastAsia" w:hAnsiTheme="minorEastAsia" w:eastAsiaTheme="minorEastAsia"/>
          <w:color w:val="auto"/>
          <w:sz w:val="24"/>
        </w:rPr>
        <w:t>印鉴：</w:t>
      </w:r>
    </w:p>
    <w:p w14:paraId="0EFED19C">
      <w:pPr>
        <w:spacing w:line="560" w:lineRule="exact"/>
        <w:ind w:firstLine="4320" w:firstLineChars="1800"/>
        <w:rPr>
          <w:rFonts w:asciiTheme="minorEastAsia" w:hAnsiTheme="minorEastAsia" w:eastAsiaTheme="minorEastAsia"/>
          <w:color w:val="auto"/>
          <w:sz w:val="24"/>
        </w:rPr>
      </w:pPr>
      <w:r>
        <w:rPr>
          <w:rFonts w:hint="eastAsia" w:asciiTheme="minorEastAsia" w:hAnsiTheme="minorEastAsia" w:eastAsiaTheme="minorEastAsia"/>
          <w:color w:val="auto"/>
          <w:sz w:val="24"/>
        </w:rPr>
        <w:t>日期：    年    月    日</w:t>
      </w:r>
    </w:p>
    <w:p w14:paraId="39FB10B3">
      <w:pPr>
        <w:widowControl/>
        <w:jc w:val="left"/>
        <w:rPr>
          <w:rFonts w:asciiTheme="minorEastAsia" w:hAnsiTheme="minorEastAsia" w:eastAsiaTheme="minorEastAsia"/>
          <w:color w:val="auto"/>
          <w:sz w:val="24"/>
        </w:rPr>
      </w:pPr>
    </w:p>
    <w:p w14:paraId="46095CEE">
      <w:pPr>
        <w:widowControl/>
        <w:jc w:val="left"/>
        <w:rPr>
          <w:rFonts w:asciiTheme="minorEastAsia" w:hAnsiTheme="minorEastAsia" w:eastAsiaTheme="minorEastAsia"/>
          <w:color w:val="auto"/>
          <w:sz w:val="24"/>
        </w:rPr>
      </w:pPr>
    </w:p>
    <w:p w14:paraId="27E38FA9">
      <w:pPr>
        <w:widowControl/>
        <w:jc w:val="left"/>
        <w:rPr>
          <w:rFonts w:asciiTheme="minorEastAsia" w:hAnsiTheme="minorEastAsia" w:eastAsiaTheme="minorEastAsia"/>
          <w:color w:val="auto"/>
          <w:sz w:val="24"/>
        </w:rPr>
      </w:pPr>
    </w:p>
    <w:p w14:paraId="5A404099">
      <w:pPr>
        <w:tabs>
          <w:tab w:val="left" w:pos="5580"/>
        </w:tabs>
        <w:spacing w:line="360" w:lineRule="auto"/>
        <w:jc w:val="left"/>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说明</w:t>
      </w:r>
      <w:r>
        <w:rPr>
          <w:rFonts w:asciiTheme="minorEastAsia" w:hAnsiTheme="minorEastAsia" w:eastAsiaTheme="minorEastAsia"/>
          <w:color w:val="auto"/>
          <w:sz w:val="21"/>
          <w:szCs w:val="21"/>
        </w:rPr>
        <w:t>：</w:t>
      </w:r>
    </w:p>
    <w:p w14:paraId="2B974AF7">
      <w:pPr>
        <w:tabs>
          <w:tab w:val="left" w:pos="5580"/>
        </w:tabs>
        <w:spacing w:line="360" w:lineRule="auto"/>
        <w:jc w:val="left"/>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1.若供应商为事业单位或其他组织或分支机构（仅当</w:t>
      </w:r>
      <w:r>
        <w:rPr>
          <w:rFonts w:hint="eastAsia" w:asciiTheme="minorEastAsia" w:hAnsiTheme="minorEastAsia" w:eastAsiaTheme="minorEastAsia"/>
          <w:color w:val="auto"/>
          <w:sz w:val="21"/>
          <w:szCs w:val="21"/>
        </w:rPr>
        <w:t>磋商文件</w:t>
      </w:r>
      <w:r>
        <w:rPr>
          <w:rFonts w:asciiTheme="minorEastAsia" w:hAnsiTheme="minorEastAsia" w:eastAsiaTheme="minorEastAsia"/>
          <w:color w:val="auto"/>
          <w:sz w:val="21"/>
          <w:szCs w:val="21"/>
        </w:rPr>
        <w:t>注明允许分支机构</w:t>
      </w:r>
      <w:r>
        <w:rPr>
          <w:rFonts w:hint="eastAsia" w:asciiTheme="minorEastAsia" w:hAnsiTheme="minorEastAsia" w:eastAsiaTheme="minorEastAsia"/>
          <w:color w:val="auto"/>
          <w:sz w:val="21"/>
          <w:szCs w:val="21"/>
        </w:rPr>
        <w:t>响应</w:t>
      </w:r>
      <w:r>
        <w:rPr>
          <w:rFonts w:asciiTheme="minorEastAsia" w:hAnsiTheme="minorEastAsia" w:eastAsiaTheme="minorEastAsia"/>
          <w:color w:val="auto"/>
          <w:sz w:val="21"/>
          <w:szCs w:val="21"/>
        </w:rPr>
        <w:t>的），则法定代表人（单位负责人）</w:t>
      </w:r>
      <w:r>
        <w:rPr>
          <w:rFonts w:hint="eastAsia" w:asciiTheme="minorEastAsia" w:hAnsiTheme="minorEastAsia" w:eastAsiaTheme="minorEastAsia"/>
          <w:color w:val="auto"/>
          <w:sz w:val="21"/>
          <w:szCs w:val="21"/>
        </w:rPr>
        <w:t>处</w:t>
      </w:r>
      <w:r>
        <w:rPr>
          <w:rFonts w:asciiTheme="minorEastAsia" w:hAnsiTheme="minorEastAsia" w:eastAsiaTheme="minorEastAsia"/>
          <w:color w:val="auto"/>
          <w:sz w:val="21"/>
          <w:szCs w:val="21"/>
        </w:rPr>
        <w:t>的签署人可为单位负责人</w:t>
      </w:r>
      <w:r>
        <w:rPr>
          <w:rFonts w:hint="eastAsia" w:asciiTheme="minorEastAsia" w:hAnsiTheme="minorEastAsia" w:eastAsiaTheme="minorEastAsia"/>
          <w:color w:val="auto"/>
          <w:sz w:val="21"/>
          <w:szCs w:val="21"/>
        </w:rPr>
        <w:t>。</w:t>
      </w:r>
    </w:p>
    <w:p w14:paraId="40318E04">
      <w:pPr>
        <w:tabs>
          <w:tab w:val="left" w:pos="5580"/>
        </w:tabs>
        <w:spacing w:line="360" w:lineRule="auto"/>
        <w:jc w:val="left"/>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2</w:t>
      </w:r>
      <w:r>
        <w:rPr>
          <w:rFonts w:asciiTheme="minorEastAsia" w:hAnsiTheme="minorEastAsia" w:eastAsiaTheme="minorEastAsia"/>
          <w:color w:val="auto"/>
          <w:sz w:val="21"/>
          <w:szCs w:val="21"/>
        </w:rPr>
        <w:t>.</w:t>
      </w:r>
      <w:r>
        <w:rPr>
          <w:rFonts w:hint="eastAsia" w:asciiTheme="minorEastAsia" w:hAnsiTheme="minorEastAsia" w:eastAsiaTheme="minorEastAsia"/>
          <w:color w:val="auto"/>
          <w:sz w:val="21"/>
          <w:szCs w:val="21"/>
        </w:rPr>
        <w:t>供应商为自然人的情形，可不提供本</w:t>
      </w:r>
      <w:r>
        <w:rPr>
          <w:rFonts w:asciiTheme="minorEastAsia" w:hAnsiTheme="minorEastAsia" w:eastAsiaTheme="minorEastAsia"/>
          <w:color w:val="auto"/>
          <w:sz w:val="21"/>
          <w:szCs w:val="21"/>
        </w:rPr>
        <w:t>《</w:t>
      </w:r>
      <w:r>
        <w:rPr>
          <w:rFonts w:hint="eastAsia" w:asciiTheme="minorEastAsia" w:hAnsiTheme="minorEastAsia" w:eastAsiaTheme="minorEastAsia"/>
          <w:color w:val="auto"/>
          <w:sz w:val="21"/>
          <w:szCs w:val="21"/>
        </w:rPr>
        <w:t>法定代表人资格证明书</w:t>
      </w:r>
      <w:r>
        <w:rPr>
          <w:rFonts w:asciiTheme="minorEastAsia" w:hAnsiTheme="minorEastAsia" w:eastAsiaTheme="minorEastAsia"/>
          <w:color w:val="auto"/>
          <w:sz w:val="21"/>
          <w:szCs w:val="21"/>
        </w:rPr>
        <w:t>》</w:t>
      </w:r>
      <w:r>
        <w:rPr>
          <w:rFonts w:hint="eastAsia" w:asciiTheme="minorEastAsia" w:hAnsiTheme="minorEastAsia" w:eastAsiaTheme="minorEastAsia"/>
          <w:color w:val="auto"/>
          <w:sz w:val="21"/>
          <w:szCs w:val="21"/>
        </w:rPr>
        <w:t>。</w:t>
      </w:r>
    </w:p>
    <w:p w14:paraId="4035D889">
      <w:pPr>
        <w:tabs>
          <w:tab w:val="left" w:pos="5580"/>
        </w:tabs>
        <w:spacing w:line="360" w:lineRule="auto"/>
        <w:jc w:val="left"/>
        <w:rPr>
          <w:rFonts w:asciiTheme="minorEastAsia" w:hAnsiTheme="minorEastAsia" w:eastAsiaTheme="minorEastAsia"/>
          <w:i/>
          <w:color w:val="auto"/>
          <w:sz w:val="21"/>
          <w:szCs w:val="21"/>
          <w:u w:val="single"/>
        </w:rPr>
      </w:pPr>
      <w:r>
        <w:rPr>
          <w:rFonts w:hint="eastAsia" w:asciiTheme="minorEastAsia" w:hAnsiTheme="minorEastAsia" w:eastAsiaTheme="minorEastAsia"/>
          <w:color w:val="auto"/>
          <w:sz w:val="21"/>
          <w:szCs w:val="21"/>
        </w:rPr>
        <w:t>3.供应商如为授权委托人参加开标，则另外需提供授权委托书。</w:t>
      </w:r>
    </w:p>
    <w:p w14:paraId="3D5EC471">
      <w:pPr>
        <w:widowControl/>
        <w:jc w:val="left"/>
        <w:rPr>
          <w:rFonts w:asciiTheme="minorEastAsia" w:hAnsiTheme="minorEastAsia" w:eastAsiaTheme="minorEastAsia"/>
          <w:color w:val="auto"/>
          <w:sz w:val="24"/>
        </w:rPr>
      </w:pPr>
    </w:p>
    <w:p w14:paraId="13F84F57">
      <w:pPr>
        <w:widowControl/>
        <w:jc w:val="left"/>
        <w:rPr>
          <w:rFonts w:asciiTheme="minorEastAsia" w:hAnsiTheme="minorEastAsia" w:eastAsiaTheme="minorEastAsia"/>
          <w:color w:val="auto"/>
          <w:sz w:val="24"/>
        </w:rPr>
      </w:pPr>
    </w:p>
    <w:p w14:paraId="03666F81">
      <w:pPr>
        <w:widowControl/>
        <w:jc w:val="left"/>
        <w:rPr>
          <w:rFonts w:asciiTheme="minorEastAsia" w:hAnsiTheme="minorEastAsia" w:eastAsiaTheme="minorEastAsia"/>
          <w:color w:val="auto"/>
          <w:sz w:val="24"/>
        </w:rPr>
      </w:pPr>
      <w:r>
        <w:rPr>
          <w:rFonts w:asciiTheme="minorEastAsia" w:hAnsiTheme="minorEastAsia" w:eastAsiaTheme="minorEastAsia"/>
          <w:color w:val="auto"/>
          <w:sz w:val="24"/>
        </w:rPr>
        <w:br w:type="page"/>
      </w:r>
    </w:p>
    <w:p w14:paraId="703D8286">
      <w:pPr>
        <w:widowControl/>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4  授权委托书</w:t>
      </w:r>
      <w:r>
        <w:rPr>
          <w:rFonts w:asciiTheme="minorEastAsia" w:hAnsiTheme="minorEastAsia" w:eastAsiaTheme="minorEastAsia"/>
          <w:color w:val="auto"/>
          <w:sz w:val="24"/>
        </w:rPr>
        <w:t>（实质性格式）</w:t>
      </w:r>
    </w:p>
    <w:p w14:paraId="6BD8B090">
      <w:pPr>
        <w:widowControl/>
        <w:jc w:val="left"/>
        <w:rPr>
          <w:rFonts w:asciiTheme="minorEastAsia" w:hAnsiTheme="minorEastAsia" w:eastAsiaTheme="minorEastAsia"/>
          <w:color w:val="auto"/>
          <w:sz w:val="24"/>
        </w:rPr>
      </w:pPr>
    </w:p>
    <w:p w14:paraId="38DF89DE">
      <w:pPr>
        <w:spacing w:line="360" w:lineRule="auto"/>
        <w:jc w:val="center"/>
        <w:rPr>
          <w:rFonts w:asciiTheme="minorEastAsia" w:hAnsiTheme="minorEastAsia" w:eastAsiaTheme="minorEastAsia"/>
          <w:b/>
          <w:color w:val="auto"/>
          <w:sz w:val="32"/>
          <w:szCs w:val="32"/>
        </w:rPr>
      </w:pPr>
      <w:r>
        <w:rPr>
          <w:rFonts w:hint="eastAsia" w:asciiTheme="minorEastAsia" w:hAnsiTheme="minorEastAsia" w:eastAsiaTheme="minorEastAsia"/>
          <w:b/>
          <w:color w:val="auto"/>
          <w:sz w:val="32"/>
          <w:szCs w:val="32"/>
        </w:rPr>
        <w:t>授权委托书</w:t>
      </w:r>
    </w:p>
    <w:p w14:paraId="12FD186A">
      <w:pPr>
        <w:spacing w:line="360" w:lineRule="auto"/>
        <w:ind w:firstLine="420" w:firstLineChars="20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本授权委托书声明：____________（供应商名称）授权________________（被授权人的姓名）为我方就</w:t>
      </w:r>
      <w:r>
        <w:rPr>
          <w:rFonts w:hint="eastAsia" w:asciiTheme="minorEastAsia" w:hAnsiTheme="minorEastAsia" w:eastAsiaTheme="minorEastAsia"/>
          <w:color w:val="auto"/>
          <w:sz w:val="21"/>
          <w:szCs w:val="21"/>
          <w:u w:val="single"/>
        </w:rPr>
        <w:t xml:space="preserve">                   （项目名称）（项目编号：     ）</w:t>
      </w:r>
      <w:r>
        <w:rPr>
          <w:rFonts w:hint="eastAsia" w:asciiTheme="minorEastAsia" w:hAnsiTheme="minorEastAsia" w:eastAsiaTheme="minorEastAsia"/>
          <w:color w:val="auto"/>
          <w:sz w:val="21"/>
          <w:szCs w:val="21"/>
        </w:rPr>
        <w:t>采购活动的合法代理人，以本公司名义全权处理一切与该项目采购有关的事务，我单位均予以承认。代理人无转委托权。</w:t>
      </w:r>
    </w:p>
    <w:p w14:paraId="258D8466">
      <w:pPr>
        <w:spacing w:line="360" w:lineRule="auto"/>
        <w:ind w:firstLine="420" w:firstLineChars="20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代理人的代理期限为自本授权委托书签署之日起至项目合同履行完毕止。代理人在授权委托书有效期内签署的所有文件不因授权委托的撤销而失效，本授权委托书的有效期与代理人的代理期限一致。</w:t>
      </w:r>
    </w:p>
    <w:p w14:paraId="4813E978">
      <w:pPr>
        <w:spacing w:line="360" w:lineRule="auto"/>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特此声明。</w:t>
      </w:r>
    </w:p>
    <w:p w14:paraId="76FBB693">
      <w:pPr>
        <w:spacing w:line="360" w:lineRule="auto"/>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供应商（盖章）：</w:t>
      </w:r>
    </w:p>
    <w:p w14:paraId="59FA396C">
      <w:pPr>
        <w:spacing w:line="360" w:lineRule="auto"/>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法定代表人（单位负责人）（签字或盖章）：</w:t>
      </w:r>
    </w:p>
    <w:p w14:paraId="0DA501D2">
      <w:pPr>
        <w:pStyle w:val="3"/>
        <w:tabs>
          <w:tab w:val="left" w:pos="567"/>
        </w:tabs>
        <w:kinsoku w:val="0"/>
        <w:overflowPunct w:val="0"/>
        <w:spacing w:line="360" w:lineRule="auto"/>
        <w:ind w:right="-46"/>
        <w:rPr>
          <w:rFonts w:hint="default" w:asciiTheme="minorEastAsia" w:hAnsiTheme="minorEastAsia" w:eastAsiaTheme="minorEastAsia"/>
          <w:color w:val="auto"/>
          <w:spacing w:val="-3"/>
        </w:rPr>
      </w:pPr>
      <w:r>
        <w:rPr>
          <w:rFonts w:asciiTheme="minorEastAsia" w:hAnsiTheme="minorEastAsia" w:eastAsiaTheme="minorEastAsia"/>
          <w:color w:val="auto"/>
          <w:sz w:val="21"/>
          <w:szCs w:val="21"/>
        </w:rPr>
        <w:t>附：</w:t>
      </w:r>
      <w:r>
        <w:rPr>
          <w:rFonts w:asciiTheme="minorEastAsia" w:hAnsiTheme="minorEastAsia" w:eastAsiaTheme="minorEastAsia"/>
          <w:color w:val="auto"/>
          <w:spacing w:val="-3"/>
          <w:sz w:val="21"/>
          <w:szCs w:val="21"/>
        </w:rPr>
        <w:t>代理人有效期内的身份证正反面电子件</w:t>
      </w:r>
      <w:r>
        <w:rPr>
          <w:rFonts w:asciiTheme="minorEastAsia" w:hAnsiTheme="minorEastAsia" w:eastAsiaTheme="minorEastAsia"/>
          <w:color w:val="auto"/>
          <w:spacing w:val="-3"/>
        </w:rPr>
        <w:t>。</w:t>
      </w:r>
    </w:p>
    <w:tbl>
      <w:tblPr>
        <w:tblStyle w:val="27"/>
        <w:tblW w:w="920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673"/>
        <w:gridCol w:w="4536"/>
      </w:tblGrid>
      <w:tr w14:paraId="757EA0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9" w:hRule="atLeast"/>
        </w:trPr>
        <w:tc>
          <w:tcPr>
            <w:tcW w:w="4673" w:type="dxa"/>
          </w:tcPr>
          <w:p w14:paraId="7219083D">
            <w:pPr>
              <w:tabs>
                <w:tab w:val="left" w:pos="5580"/>
              </w:tabs>
              <w:spacing w:line="360" w:lineRule="auto"/>
              <w:jc w:val="left"/>
              <w:rPr>
                <w:rFonts w:asciiTheme="minorEastAsia" w:hAnsiTheme="minorEastAsia" w:eastAsiaTheme="minorEastAsia"/>
                <w:color w:val="auto"/>
                <w:sz w:val="24"/>
              </w:rPr>
            </w:pPr>
          </w:p>
          <w:p w14:paraId="7F699D68">
            <w:pPr>
              <w:tabs>
                <w:tab w:val="left" w:pos="5580"/>
              </w:tabs>
              <w:spacing w:line="360" w:lineRule="auto"/>
              <w:jc w:val="left"/>
              <w:rPr>
                <w:rFonts w:asciiTheme="minorEastAsia" w:hAnsiTheme="minorEastAsia" w:eastAsiaTheme="minorEastAsia"/>
                <w:color w:val="auto"/>
                <w:sz w:val="24"/>
              </w:rPr>
            </w:pPr>
          </w:p>
          <w:p w14:paraId="4904A12A">
            <w:pPr>
              <w:tabs>
                <w:tab w:val="left" w:pos="5580"/>
              </w:tabs>
              <w:spacing w:line="360" w:lineRule="auto"/>
              <w:jc w:val="left"/>
              <w:rPr>
                <w:rFonts w:asciiTheme="minorEastAsia" w:hAnsiTheme="minorEastAsia" w:eastAsiaTheme="minorEastAsia"/>
                <w:color w:val="auto"/>
                <w:sz w:val="24"/>
              </w:rPr>
            </w:pPr>
          </w:p>
        </w:tc>
        <w:tc>
          <w:tcPr>
            <w:tcW w:w="4536" w:type="dxa"/>
          </w:tcPr>
          <w:p w14:paraId="51624D79">
            <w:pPr>
              <w:tabs>
                <w:tab w:val="left" w:pos="5580"/>
              </w:tabs>
              <w:spacing w:line="360" w:lineRule="auto"/>
              <w:jc w:val="left"/>
              <w:rPr>
                <w:rFonts w:asciiTheme="minorEastAsia" w:hAnsiTheme="minorEastAsia" w:eastAsiaTheme="minorEastAsia"/>
                <w:color w:val="auto"/>
                <w:sz w:val="24"/>
              </w:rPr>
            </w:pPr>
          </w:p>
          <w:p w14:paraId="7D077F53">
            <w:pPr>
              <w:tabs>
                <w:tab w:val="left" w:pos="5580"/>
              </w:tabs>
              <w:spacing w:line="360" w:lineRule="auto"/>
              <w:jc w:val="left"/>
              <w:rPr>
                <w:rFonts w:asciiTheme="minorEastAsia" w:hAnsiTheme="minorEastAsia" w:eastAsiaTheme="minorEastAsia"/>
                <w:color w:val="auto"/>
                <w:sz w:val="24"/>
              </w:rPr>
            </w:pPr>
          </w:p>
          <w:p w14:paraId="4A54D854">
            <w:pPr>
              <w:tabs>
                <w:tab w:val="left" w:pos="5580"/>
              </w:tabs>
              <w:spacing w:line="360" w:lineRule="auto"/>
              <w:jc w:val="left"/>
              <w:rPr>
                <w:rFonts w:asciiTheme="minorEastAsia" w:hAnsiTheme="minorEastAsia" w:eastAsiaTheme="minorEastAsia"/>
                <w:color w:val="auto"/>
                <w:sz w:val="24"/>
              </w:rPr>
            </w:pPr>
          </w:p>
        </w:tc>
      </w:tr>
    </w:tbl>
    <w:p w14:paraId="700473D5">
      <w:pPr>
        <w:spacing w:line="360" w:lineRule="auto"/>
        <w:rPr>
          <w:rFonts w:asciiTheme="minorEastAsia" w:hAnsiTheme="minorEastAsia" w:eastAsiaTheme="minorEastAsia"/>
          <w:color w:val="auto"/>
          <w:sz w:val="21"/>
          <w:szCs w:val="21"/>
        </w:rPr>
      </w:pPr>
    </w:p>
    <w:p w14:paraId="4D1E2BC3">
      <w:pPr>
        <w:spacing w:line="360" w:lineRule="auto"/>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代理人：（签字或盖章）</w:t>
      </w:r>
    </w:p>
    <w:p w14:paraId="664F9B54">
      <w:pPr>
        <w:spacing w:line="360" w:lineRule="auto"/>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通讯地址：                   通讯电话：</w:t>
      </w:r>
    </w:p>
    <w:p w14:paraId="2B2A6F81">
      <w:pPr>
        <w:spacing w:line="360" w:lineRule="auto"/>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邮箱：</w:t>
      </w:r>
    </w:p>
    <w:p w14:paraId="53344937">
      <w:pPr>
        <w:spacing w:line="360" w:lineRule="auto"/>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身份证号码：</w:t>
      </w:r>
    </w:p>
    <w:p w14:paraId="61B1915C">
      <w:pPr>
        <w:widowControl/>
        <w:jc w:val="left"/>
        <w:rPr>
          <w:rFonts w:ascii="宋体" w:hAnsi="宋体" w:cs="宋体"/>
          <w:b/>
          <w:color w:val="auto"/>
          <w:sz w:val="21"/>
          <w:szCs w:val="21"/>
        </w:rPr>
      </w:pPr>
      <w:r>
        <w:rPr>
          <w:rFonts w:hint="eastAsia" w:asciiTheme="minorEastAsia" w:hAnsiTheme="minorEastAsia" w:eastAsiaTheme="minorEastAsia"/>
          <w:color w:val="auto"/>
          <w:sz w:val="21"/>
          <w:szCs w:val="21"/>
        </w:rPr>
        <w:t>日期：  年    月     日</w:t>
      </w:r>
    </w:p>
    <w:p w14:paraId="4C06D55D">
      <w:pPr>
        <w:spacing w:line="400" w:lineRule="exact"/>
        <w:rPr>
          <w:rFonts w:ascii="宋体" w:hAnsi="宋体" w:cs="宋体"/>
          <w:color w:val="auto"/>
          <w:szCs w:val="21"/>
        </w:rPr>
      </w:pPr>
      <w:bookmarkStart w:id="52" w:name="_Toc517793380"/>
      <w:bookmarkStart w:id="53" w:name="_Toc288738394"/>
      <w:bookmarkStart w:id="54" w:name="_Toc288738836"/>
      <w:r>
        <w:rPr>
          <w:rFonts w:ascii="宋体" w:hAnsi="宋体" w:cs="宋体"/>
          <w:color w:val="auto"/>
          <w:szCs w:val="21"/>
        </w:rPr>
        <w:t xml:space="preserve"> </w:t>
      </w:r>
    </w:p>
    <w:bookmarkEnd w:id="52"/>
    <w:p w14:paraId="5A958D86">
      <w:pPr>
        <w:widowControl/>
        <w:jc w:val="left"/>
        <w:rPr>
          <w:rFonts w:ascii="宋体" w:hAnsi="宋体" w:cs="宋体"/>
          <w:color w:val="auto"/>
          <w:szCs w:val="21"/>
        </w:rPr>
      </w:pPr>
      <w:r>
        <w:rPr>
          <w:rFonts w:ascii="宋体" w:hAnsi="宋体" w:cs="宋体"/>
          <w:color w:val="auto"/>
          <w:szCs w:val="21"/>
        </w:rPr>
        <w:br w:type="page"/>
      </w:r>
    </w:p>
    <w:p w14:paraId="5F118FC9">
      <w:pPr>
        <w:widowControl/>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5 供应商信用承诺书</w:t>
      </w:r>
      <w:r>
        <w:rPr>
          <w:rFonts w:asciiTheme="minorEastAsia" w:hAnsiTheme="minorEastAsia" w:eastAsiaTheme="minorEastAsia"/>
          <w:color w:val="auto"/>
          <w:sz w:val="24"/>
        </w:rPr>
        <w:t>（实质性格式）</w:t>
      </w:r>
    </w:p>
    <w:p w14:paraId="7B70E710">
      <w:pPr>
        <w:spacing w:line="560" w:lineRule="exact"/>
        <w:ind w:firstLine="241" w:firstLineChars="100"/>
        <w:jc w:val="center"/>
        <w:rPr>
          <w:rFonts w:asciiTheme="minorEastAsia" w:hAnsiTheme="minorEastAsia" w:eastAsiaTheme="minorEastAsia"/>
          <w:b/>
          <w:color w:val="auto"/>
          <w:sz w:val="32"/>
          <w:szCs w:val="32"/>
        </w:rPr>
      </w:pPr>
      <w:r>
        <w:rPr>
          <w:rFonts w:hint="eastAsia" w:asciiTheme="minorEastAsia" w:hAnsiTheme="minorEastAsia" w:eastAsiaTheme="minorEastAsia"/>
          <w:b/>
          <w:color w:val="auto"/>
          <w:sz w:val="24"/>
          <w:szCs w:val="24"/>
        </w:rPr>
        <w:t>供应商信用承诺书</w:t>
      </w:r>
    </w:p>
    <w:p w14:paraId="06D36AA2">
      <w:pPr>
        <w:spacing w:line="360" w:lineRule="auto"/>
        <w:ind w:firstLine="48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为维护公开、公平、公正的采购市场秩序，树立诚实守信的供应商形象，本单位在参与采购活动中,自愿作出以下承诺：</w:t>
      </w:r>
    </w:p>
    <w:p w14:paraId="5CB16ED9">
      <w:pPr>
        <w:spacing w:line="360" w:lineRule="auto"/>
        <w:ind w:firstLine="48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一、严格遵守国家法律、法规和规章，全面履行应尽的责任和义务，全面做到履约守信，具备采购公告规定的条件。</w:t>
      </w:r>
    </w:p>
    <w:p w14:paraId="08DD4028">
      <w:pPr>
        <w:spacing w:line="360" w:lineRule="auto"/>
        <w:ind w:firstLine="48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二、本单位提供给注册登记部门、行业管理部门、司法部门、行业组织以及在政府采购活动中提交的所有资料均合法、真实、有效，无任何伪造、修改、虚假成份，并对所提供资料的真实性负责。</w:t>
      </w:r>
    </w:p>
    <w:p w14:paraId="5064619A">
      <w:pPr>
        <w:spacing w:line="360" w:lineRule="auto"/>
        <w:ind w:firstLine="48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三、严格依法开展生产经营活动，主动接受行业监管，自愿接受依法开展的日常检查；违法失信经营后将自愿接受约束和惩戒，并依法承担相应责任。</w:t>
      </w:r>
    </w:p>
    <w:p w14:paraId="0DC7024A">
      <w:pPr>
        <w:spacing w:line="360" w:lineRule="auto"/>
        <w:ind w:firstLine="48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 xml:space="preserve">四、承诺本单位自觉接受行政管理部门、行业组织、社会公众、新闻舆论的监督。 </w:t>
      </w:r>
    </w:p>
    <w:p w14:paraId="1F5926BA">
      <w:pPr>
        <w:spacing w:line="360" w:lineRule="auto"/>
        <w:ind w:firstLine="48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 xml:space="preserve">五、承诺本单位自我约束、自我管理，重合同、守信用，不制假售假、商标侵权、虚假宣传、违约毁约、恶意逃债、偷税漏税、价格欺诈、垄断和不正当竞争，维护经营者、消费者的合法权益。 </w:t>
      </w:r>
    </w:p>
    <w:p w14:paraId="667E1F6C">
      <w:pPr>
        <w:spacing w:line="360" w:lineRule="auto"/>
        <w:ind w:firstLine="48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 xml:space="preserve">六、承诺本单位在信用中国（江苏）网站中无违法违规、较重或严重失信记录。 </w:t>
      </w:r>
    </w:p>
    <w:p w14:paraId="1EE8308F">
      <w:pPr>
        <w:spacing w:line="360" w:lineRule="auto"/>
        <w:ind w:firstLine="48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七、承诺本单位提出质疑和投诉坚持依法依规、诚实信用原则。</w:t>
      </w:r>
    </w:p>
    <w:p w14:paraId="1D2B0FE3">
      <w:pPr>
        <w:spacing w:line="360" w:lineRule="auto"/>
        <w:ind w:firstLine="48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 xml:space="preserve">八、根据采购相关法律法规的规定需要作出的其他承诺。 </w:t>
      </w:r>
    </w:p>
    <w:p w14:paraId="695ABBEA">
      <w:pPr>
        <w:spacing w:line="360" w:lineRule="auto"/>
        <w:ind w:firstLine="48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九、承诺本单位若违背承诺约定，经查实，愿意接受行业主管部门和信用管理部门相应的规定处罚，承担违约责任，并依法承担相应的法律责任。</w:t>
      </w:r>
    </w:p>
    <w:p w14:paraId="0382A837">
      <w:pPr>
        <w:spacing w:line="360" w:lineRule="auto"/>
        <w:ind w:firstLine="48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十、承诺本单位同意将以上承诺事项上网公示，违背承诺约定行为将作为失信信息，在相关管理部门的媒体予以公开。</w:t>
      </w:r>
    </w:p>
    <w:p w14:paraId="445162F2">
      <w:pPr>
        <w:pStyle w:val="92"/>
        <w:spacing w:line="360" w:lineRule="auto"/>
        <w:ind w:right="1400" w:rightChars="500" w:firstLine="2520" w:firstLineChars="1200"/>
        <w:jc w:val="both"/>
        <w:rPr>
          <w:rFonts w:asciiTheme="minorEastAsia" w:hAnsiTheme="minorEastAsia" w:eastAsiaTheme="minorEastAsia"/>
          <w:color w:val="auto"/>
          <w:sz w:val="21"/>
          <w:szCs w:val="21"/>
        </w:rPr>
      </w:pPr>
    </w:p>
    <w:p w14:paraId="75208CE7">
      <w:pPr>
        <w:autoSpaceDE w:val="0"/>
        <w:autoSpaceDN w:val="0"/>
        <w:adjustRightInd w:val="0"/>
        <w:snapToGrid w:val="0"/>
        <w:spacing w:before="25" w:after="25" w:line="360" w:lineRule="auto"/>
        <w:rPr>
          <w:rFonts w:asciiTheme="minorEastAsia" w:hAnsiTheme="minorEastAsia" w:eastAsiaTheme="minorEastAsia"/>
          <w:color w:val="auto"/>
          <w:sz w:val="21"/>
          <w:szCs w:val="21"/>
          <w:lang w:val="zh-CN"/>
        </w:rPr>
      </w:pPr>
      <w:r>
        <w:rPr>
          <w:rFonts w:asciiTheme="minorEastAsia" w:hAnsiTheme="minorEastAsia" w:eastAsiaTheme="minorEastAsia"/>
          <w:color w:val="auto"/>
          <w:sz w:val="21"/>
          <w:szCs w:val="21"/>
        </w:rPr>
        <w:t>供应商名称（加盖公章）</w:t>
      </w:r>
      <w:r>
        <w:rPr>
          <w:rFonts w:asciiTheme="minorEastAsia" w:hAnsiTheme="minorEastAsia" w:eastAsiaTheme="minorEastAsia"/>
          <w:color w:val="auto"/>
          <w:sz w:val="21"/>
          <w:szCs w:val="21"/>
          <w:lang w:val="zh-CN"/>
        </w:rPr>
        <w:t>：____________</w:t>
      </w:r>
    </w:p>
    <w:p w14:paraId="432E5F7C">
      <w:pPr>
        <w:widowControl/>
        <w:spacing w:line="360" w:lineRule="auto"/>
        <w:jc w:val="left"/>
        <w:rPr>
          <w:rFonts w:ascii="宋体" w:hAnsi="宋体" w:cs="宋体"/>
          <w:b/>
          <w:color w:val="auto"/>
          <w:kern w:val="0"/>
          <w:sz w:val="21"/>
          <w:szCs w:val="21"/>
        </w:rPr>
      </w:pPr>
      <w:r>
        <w:rPr>
          <w:rFonts w:asciiTheme="minorEastAsia" w:hAnsiTheme="minorEastAsia" w:eastAsiaTheme="minorEastAsia"/>
          <w:color w:val="auto"/>
          <w:sz w:val="21"/>
          <w:szCs w:val="21"/>
        </w:rPr>
        <w:t>日期：_____年______月______日</w:t>
      </w:r>
    </w:p>
    <w:p w14:paraId="2E09F9B1">
      <w:pPr>
        <w:widowControl/>
        <w:jc w:val="left"/>
        <w:rPr>
          <w:rFonts w:ascii="宋体" w:hAnsi="宋体" w:cs="宋体"/>
          <w:b/>
          <w:color w:val="auto"/>
          <w:kern w:val="0"/>
          <w:szCs w:val="21"/>
        </w:rPr>
      </w:pPr>
      <w:r>
        <w:rPr>
          <w:rFonts w:ascii="宋体" w:hAnsi="宋体" w:cs="宋体"/>
          <w:b/>
          <w:color w:val="auto"/>
          <w:szCs w:val="21"/>
        </w:rPr>
        <w:br w:type="page"/>
      </w:r>
    </w:p>
    <w:bookmarkEnd w:id="53"/>
    <w:bookmarkEnd w:id="54"/>
    <w:p w14:paraId="592680E1">
      <w:pPr>
        <w:spacing w:line="360" w:lineRule="auto"/>
        <w:outlineLvl w:val="2"/>
        <w:rPr>
          <w:rFonts w:asciiTheme="minorEastAsia" w:hAnsiTheme="minorEastAsia" w:eastAsiaTheme="minorEastAsia"/>
          <w:color w:val="auto"/>
          <w:sz w:val="24"/>
        </w:rPr>
      </w:pPr>
      <w:bookmarkStart w:id="55" w:name="_Toc288738396"/>
      <w:bookmarkStart w:id="56" w:name="_Toc288738838"/>
      <w:r>
        <w:rPr>
          <w:rFonts w:hint="eastAsia" w:asciiTheme="minorEastAsia" w:hAnsiTheme="minorEastAsia" w:eastAsiaTheme="minorEastAsia"/>
          <w:color w:val="auto"/>
          <w:sz w:val="24"/>
        </w:rPr>
        <w:t>6</w:t>
      </w:r>
      <w:r>
        <w:rPr>
          <w:rFonts w:asciiTheme="minorEastAsia" w:hAnsiTheme="minorEastAsia" w:eastAsiaTheme="minorEastAsia"/>
          <w:color w:val="auto"/>
          <w:sz w:val="24"/>
        </w:rPr>
        <w:t xml:space="preserve">  报价一览表</w:t>
      </w:r>
    </w:p>
    <w:p w14:paraId="59FDD97D">
      <w:pPr>
        <w:jc w:val="center"/>
        <w:rPr>
          <w:rFonts w:asciiTheme="minorEastAsia" w:hAnsiTheme="minorEastAsia" w:eastAsiaTheme="minorEastAsia"/>
          <w:b/>
          <w:color w:val="auto"/>
          <w:sz w:val="36"/>
          <w:szCs w:val="36"/>
        </w:rPr>
      </w:pPr>
      <w:bookmarkStart w:id="57" w:name="_Toc305158900"/>
      <w:bookmarkStart w:id="58" w:name="_Toc305158826"/>
      <w:bookmarkStart w:id="59" w:name="_Toc195842923"/>
      <w:bookmarkStart w:id="60" w:name="_Toc265228396"/>
      <w:bookmarkStart w:id="61" w:name="_Toc264969248"/>
      <w:bookmarkStart w:id="62" w:name="_Toc226965831"/>
      <w:bookmarkStart w:id="63" w:name="_Toc226309802"/>
      <w:bookmarkStart w:id="64" w:name="_Toc226337254"/>
      <w:bookmarkStart w:id="65" w:name="_Toc164608827"/>
      <w:bookmarkStart w:id="66" w:name="_Toc226965748"/>
      <w:bookmarkStart w:id="67" w:name="_Toc164608672"/>
      <w:r>
        <w:rPr>
          <w:rFonts w:hint="eastAsia" w:asciiTheme="minorEastAsia" w:hAnsiTheme="minorEastAsia" w:eastAsiaTheme="minorEastAsia"/>
          <w:b/>
          <w:color w:val="auto"/>
          <w:szCs w:val="28"/>
        </w:rPr>
        <w:t>报价一览表</w:t>
      </w:r>
      <w:bookmarkEnd w:id="57"/>
      <w:bookmarkEnd w:id="58"/>
      <w:bookmarkEnd w:id="59"/>
      <w:bookmarkEnd w:id="60"/>
      <w:bookmarkEnd w:id="61"/>
      <w:bookmarkEnd w:id="62"/>
      <w:bookmarkEnd w:id="63"/>
      <w:bookmarkEnd w:id="64"/>
      <w:bookmarkEnd w:id="65"/>
      <w:bookmarkEnd w:id="66"/>
      <w:bookmarkEnd w:id="67"/>
    </w:p>
    <w:p w14:paraId="3FFB34E6">
      <w:pPr>
        <w:tabs>
          <w:tab w:val="left" w:pos="1800"/>
          <w:tab w:val="left" w:pos="5580"/>
        </w:tabs>
        <w:spacing w:line="360" w:lineRule="auto"/>
        <w:jc w:val="left"/>
        <w:rPr>
          <w:rFonts w:asciiTheme="minorEastAsia" w:hAnsiTheme="minorEastAsia" w:eastAsiaTheme="minorEastAsia"/>
          <w:color w:val="auto"/>
          <w:sz w:val="24"/>
        </w:rPr>
      </w:pPr>
    </w:p>
    <w:p w14:paraId="6C81FC45">
      <w:pPr>
        <w:tabs>
          <w:tab w:val="left" w:pos="1800"/>
          <w:tab w:val="left" w:pos="5580"/>
        </w:tabs>
        <w:spacing w:line="360" w:lineRule="auto"/>
        <w:ind w:firstLine="240" w:firstLineChars="100"/>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 xml:space="preserve">项目编号：JSXD2024-014号  </w:t>
      </w:r>
    </w:p>
    <w:p w14:paraId="029F4A2A">
      <w:pPr>
        <w:tabs>
          <w:tab w:val="left" w:pos="1800"/>
          <w:tab w:val="left" w:pos="5580"/>
        </w:tabs>
        <w:spacing w:line="360" w:lineRule="auto"/>
        <w:ind w:firstLine="240" w:firstLineChars="100"/>
        <w:jc w:val="left"/>
        <w:rPr>
          <w:rFonts w:asciiTheme="minorEastAsia" w:hAnsiTheme="minorEastAsia" w:eastAsiaTheme="minorEastAsia"/>
          <w:color w:val="auto"/>
          <w:sz w:val="24"/>
          <w:u w:val="single"/>
        </w:rPr>
      </w:pPr>
      <w:r>
        <w:rPr>
          <w:rFonts w:asciiTheme="minorEastAsia" w:hAnsiTheme="minorEastAsia" w:eastAsiaTheme="minorEastAsia"/>
          <w:color w:val="auto"/>
          <w:sz w:val="24"/>
        </w:rPr>
        <w:t>项目名称：</w:t>
      </w:r>
      <w:r>
        <w:rPr>
          <w:rFonts w:hint="eastAsia" w:asciiTheme="minorEastAsia" w:hAnsiTheme="minorEastAsia" w:eastAsiaTheme="minorEastAsia"/>
          <w:color w:val="auto"/>
          <w:sz w:val="24"/>
        </w:rPr>
        <w:t xml:space="preserve"> </w:t>
      </w:r>
    </w:p>
    <w:tbl>
      <w:tblPr>
        <w:tblStyle w:val="27"/>
        <w:tblW w:w="443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844"/>
        <w:gridCol w:w="3359"/>
        <w:gridCol w:w="4359"/>
      </w:tblGrid>
      <w:tr w14:paraId="61850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7" w:hRule="atLeast"/>
          <w:jc w:val="center"/>
        </w:trPr>
        <w:tc>
          <w:tcPr>
            <w:tcW w:w="493" w:type="pct"/>
            <w:tcBorders>
              <w:top w:val="single" w:color="auto" w:sz="4" w:space="0"/>
              <w:left w:val="single" w:color="auto" w:sz="4" w:space="0"/>
              <w:bottom w:val="single" w:color="auto" w:sz="4" w:space="0"/>
              <w:right w:val="single" w:color="auto" w:sz="4" w:space="0"/>
            </w:tcBorders>
            <w:vAlign w:val="center"/>
          </w:tcPr>
          <w:p w14:paraId="3AD121B3">
            <w:pPr>
              <w:tabs>
                <w:tab w:val="left" w:pos="5580"/>
              </w:tabs>
              <w:jc w:val="center"/>
              <w:rPr>
                <w:rFonts w:ascii="宋体" w:hAnsi="宋体" w:cs="宋体"/>
                <w:bCs/>
                <w:color w:val="auto"/>
                <w:sz w:val="21"/>
                <w:szCs w:val="21"/>
              </w:rPr>
            </w:pPr>
            <w:r>
              <w:rPr>
                <w:rFonts w:hint="eastAsia" w:ascii="宋体" w:hAnsi="宋体" w:cs="宋体"/>
                <w:bCs/>
                <w:color w:val="auto"/>
                <w:sz w:val="21"/>
                <w:szCs w:val="21"/>
              </w:rPr>
              <w:t>序号</w:t>
            </w:r>
          </w:p>
        </w:tc>
        <w:tc>
          <w:tcPr>
            <w:tcW w:w="1961" w:type="pct"/>
            <w:tcBorders>
              <w:top w:val="single" w:color="auto" w:sz="4" w:space="0"/>
              <w:left w:val="single" w:color="auto" w:sz="4" w:space="0"/>
              <w:bottom w:val="single" w:color="auto" w:sz="4" w:space="0"/>
              <w:right w:val="single" w:color="auto" w:sz="4" w:space="0"/>
            </w:tcBorders>
            <w:vAlign w:val="center"/>
          </w:tcPr>
          <w:p w14:paraId="2BA50C5E">
            <w:pPr>
              <w:tabs>
                <w:tab w:val="left" w:pos="5580"/>
              </w:tabs>
              <w:jc w:val="center"/>
              <w:rPr>
                <w:rFonts w:ascii="宋体" w:hAnsi="宋体" w:cs="宋体"/>
                <w:bCs/>
                <w:color w:val="auto"/>
                <w:sz w:val="21"/>
                <w:szCs w:val="21"/>
              </w:rPr>
            </w:pPr>
            <w:r>
              <w:rPr>
                <w:rFonts w:hint="eastAsia" w:ascii="宋体" w:hAnsi="宋体" w:cs="宋体"/>
                <w:bCs/>
                <w:color w:val="auto"/>
                <w:sz w:val="21"/>
                <w:szCs w:val="21"/>
              </w:rPr>
              <w:t>标段名称</w:t>
            </w:r>
          </w:p>
        </w:tc>
        <w:tc>
          <w:tcPr>
            <w:tcW w:w="2544" w:type="pct"/>
            <w:tcBorders>
              <w:top w:val="single" w:color="auto" w:sz="4" w:space="0"/>
              <w:left w:val="single" w:color="auto" w:sz="4" w:space="0"/>
              <w:bottom w:val="single" w:color="auto" w:sz="4" w:space="0"/>
              <w:right w:val="single" w:color="auto" w:sz="4" w:space="0"/>
            </w:tcBorders>
            <w:vAlign w:val="center"/>
          </w:tcPr>
          <w:p w14:paraId="250A7A78">
            <w:pPr>
              <w:tabs>
                <w:tab w:val="left" w:pos="5580"/>
              </w:tabs>
              <w:jc w:val="center"/>
              <w:rPr>
                <w:rFonts w:ascii="宋体" w:hAnsi="宋体" w:cs="宋体"/>
                <w:bCs/>
                <w:color w:val="auto"/>
                <w:sz w:val="21"/>
                <w:szCs w:val="21"/>
              </w:rPr>
            </w:pPr>
            <w:r>
              <w:rPr>
                <w:rStyle w:val="93"/>
                <w:rFonts w:hint="eastAsia" w:ascii="宋体" w:hAnsi="宋体" w:cs="宋体"/>
                <w:bCs/>
                <w:color w:val="auto"/>
                <w:szCs w:val="21"/>
              </w:rPr>
              <w:t>投标报价</w:t>
            </w:r>
          </w:p>
        </w:tc>
      </w:tr>
      <w:tr w14:paraId="42B0E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7" w:hRule="atLeast"/>
          <w:jc w:val="center"/>
        </w:trPr>
        <w:tc>
          <w:tcPr>
            <w:tcW w:w="493" w:type="pct"/>
            <w:tcBorders>
              <w:top w:val="single" w:color="auto" w:sz="4" w:space="0"/>
              <w:left w:val="single" w:color="auto" w:sz="4" w:space="0"/>
              <w:bottom w:val="single" w:color="auto" w:sz="4" w:space="0"/>
              <w:right w:val="single" w:color="auto" w:sz="4" w:space="0"/>
            </w:tcBorders>
            <w:vAlign w:val="center"/>
          </w:tcPr>
          <w:p w14:paraId="30664405">
            <w:pPr>
              <w:tabs>
                <w:tab w:val="left" w:pos="5580"/>
              </w:tabs>
              <w:jc w:val="center"/>
              <w:rPr>
                <w:rFonts w:ascii="宋体" w:hAnsi="宋体" w:cs="宋体"/>
                <w:bCs/>
                <w:color w:val="auto"/>
                <w:sz w:val="21"/>
                <w:szCs w:val="21"/>
              </w:rPr>
            </w:pPr>
            <w:r>
              <w:rPr>
                <w:rFonts w:hint="eastAsia" w:ascii="宋体" w:hAnsi="宋体" w:cs="宋体"/>
                <w:bCs/>
                <w:color w:val="auto"/>
                <w:sz w:val="21"/>
                <w:szCs w:val="21"/>
              </w:rPr>
              <w:t>一</w:t>
            </w:r>
          </w:p>
        </w:tc>
        <w:tc>
          <w:tcPr>
            <w:tcW w:w="4506" w:type="pct"/>
            <w:gridSpan w:val="2"/>
            <w:tcBorders>
              <w:top w:val="single" w:color="auto" w:sz="4" w:space="0"/>
              <w:left w:val="single" w:color="auto" w:sz="4" w:space="0"/>
              <w:bottom w:val="single" w:color="auto" w:sz="4" w:space="0"/>
              <w:right w:val="single" w:color="auto" w:sz="4" w:space="0"/>
            </w:tcBorders>
            <w:vAlign w:val="center"/>
          </w:tcPr>
          <w:p w14:paraId="456DCD98">
            <w:pPr>
              <w:spacing w:line="440" w:lineRule="exact"/>
              <w:rPr>
                <w:rFonts w:ascii="宋体" w:hAnsi="宋体" w:cs="宋体"/>
                <w:color w:val="auto"/>
                <w:sz w:val="21"/>
                <w:szCs w:val="24"/>
              </w:rPr>
            </w:pPr>
            <w:r>
              <w:rPr>
                <w:rFonts w:hint="eastAsia" w:ascii="宋体" w:hAnsi="宋体" w:cs="宋体"/>
                <w:color w:val="auto"/>
                <w:sz w:val="21"/>
                <w:szCs w:val="24"/>
              </w:rPr>
              <w:t>申请造价咨询的项目，咨询后清算土地增值税有增加土地增值税税款或者减少土地增值税退税的仅</w:t>
            </w:r>
            <w:r>
              <w:rPr>
                <w:rFonts w:hint="eastAsia" w:ascii="宋体" w:hAnsi="宋体" w:cs="宋体"/>
                <w:color w:val="auto"/>
                <w:sz w:val="21"/>
                <w:szCs w:val="24"/>
                <w:lang w:eastAsia="zh-CN"/>
              </w:rPr>
              <w:t>计</w:t>
            </w:r>
            <w:r>
              <w:rPr>
                <w:rFonts w:hint="eastAsia" w:ascii="宋体" w:hAnsi="宋体" w:cs="宋体"/>
                <w:color w:val="auto"/>
                <w:sz w:val="21"/>
                <w:szCs w:val="24"/>
              </w:rPr>
              <w:t>基础费用，分三个类分别计费：</w:t>
            </w:r>
          </w:p>
          <w:p w14:paraId="3013A467">
            <w:pPr>
              <w:tabs>
                <w:tab w:val="left" w:pos="5580"/>
              </w:tabs>
              <w:jc w:val="left"/>
              <w:rPr>
                <w:rStyle w:val="93"/>
                <w:rFonts w:ascii="宋体" w:hAnsi="宋体" w:cs="宋体"/>
                <w:bCs/>
                <w:color w:val="auto"/>
                <w:szCs w:val="21"/>
              </w:rPr>
            </w:pPr>
          </w:p>
        </w:tc>
      </w:tr>
      <w:tr w14:paraId="21E21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7" w:hRule="atLeast"/>
          <w:jc w:val="center"/>
        </w:trPr>
        <w:tc>
          <w:tcPr>
            <w:tcW w:w="493" w:type="pct"/>
            <w:tcBorders>
              <w:top w:val="single" w:color="auto" w:sz="4" w:space="0"/>
              <w:left w:val="single" w:color="auto" w:sz="4" w:space="0"/>
              <w:bottom w:val="single" w:color="auto" w:sz="4" w:space="0"/>
              <w:right w:val="single" w:color="auto" w:sz="4" w:space="0"/>
            </w:tcBorders>
            <w:vAlign w:val="center"/>
          </w:tcPr>
          <w:p w14:paraId="1D434AB8">
            <w:pPr>
              <w:tabs>
                <w:tab w:val="left" w:pos="5580"/>
              </w:tabs>
              <w:jc w:val="center"/>
              <w:rPr>
                <w:rFonts w:ascii="宋体" w:hAnsi="宋体" w:cs="宋体"/>
                <w:bCs/>
                <w:color w:val="auto"/>
                <w:sz w:val="21"/>
                <w:szCs w:val="21"/>
              </w:rPr>
            </w:pPr>
            <w:r>
              <w:rPr>
                <w:rFonts w:hint="eastAsia" w:ascii="宋体" w:hAnsi="宋体" w:cs="宋体"/>
                <w:bCs/>
                <w:color w:val="auto"/>
                <w:sz w:val="21"/>
                <w:szCs w:val="21"/>
              </w:rPr>
              <w:t>1</w:t>
            </w:r>
          </w:p>
        </w:tc>
        <w:tc>
          <w:tcPr>
            <w:tcW w:w="1961" w:type="pct"/>
            <w:tcBorders>
              <w:top w:val="single" w:color="auto" w:sz="4" w:space="0"/>
              <w:left w:val="single" w:color="auto" w:sz="4" w:space="0"/>
              <w:bottom w:val="single" w:color="auto" w:sz="4" w:space="0"/>
              <w:right w:val="single" w:color="auto" w:sz="4" w:space="0"/>
            </w:tcBorders>
            <w:vAlign w:val="center"/>
          </w:tcPr>
          <w:p w14:paraId="39D629C6">
            <w:pPr>
              <w:tabs>
                <w:tab w:val="left" w:pos="5580"/>
              </w:tabs>
              <w:jc w:val="center"/>
              <w:rPr>
                <w:rFonts w:ascii="宋体" w:hAnsi="宋体" w:cs="宋体"/>
                <w:bCs/>
                <w:color w:val="auto"/>
                <w:sz w:val="21"/>
                <w:szCs w:val="21"/>
                <w:u w:val="single"/>
              </w:rPr>
            </w:pPr>
            <w:r>
              <w:rPr>
                <w:rFonts w:hint="eastAsia" w:ascii="宋体" w:hAnsi="宋体" w:cs="宋体"/>
                <w:bCs/>
                <w:color w:val="auto"/>
                <w:sz w:val="21"/>
                <w:szCs w:val="21"/>
                <w:u w:val="single"/>
              </w:rPr>
              <w:t>第一类为咨询项目建筑面积6万平方米（含）以下</w:t>
            </w:r>
          </w:p>
        </w:tc>
        <w:tc>
          <w:tcPr>
            <w:tcW w:w="2544" w:type="pct"/>
            <w:tcBorders>
              <w:top w:val="single" w:color="auto" w:sz="4" w:space="0"/>
              <w:left w:val="single" w:color="auto" w:sz="4" w:space="0"/>
              <w:bottom w:val="single" w:color="auto" w:sz="4" w:space="0"/>
              <w:right w:val="single" w:color="auto" w:sz="4" w:space="0"/>
            </w:tcBorders>
            <w:vAlign w:val="center"/>
          </w:tcPr>
          <w:p w14:paraId="0EA88FF7">
            <w:pPr>
              <w:tabs>
                <w:tab w:val="left" w:pos="5580"/>
              </w:tabs>
              <w:jc w:val="center"/>
              <w:rPr>
                <w:rStyle w:val="93"/>
                <w:rFonts w:ascii="宋体" w:hAnsi="宋体" w:cs="宋体"/>
                <w:bCs/>
                <w:color w:val="auto"/>
                <w:szCs w:val="21"/>
                <w:u w:val="single"/>
              </w:rPr>
            </w:pPr>
            <w:r>
              <w:rPr>
                <w:rStyle w:val="93"/>
                <w:rFonts w:hint="eastAsia" w:ascii="宋体" w:hAnsi="宋体" w:cs="宋体"/>
                <w:bCs/>
                <w:color w:val="auto"/>
                <w:szCs w:val="21"/>
                <w:u w:val="single"/>
              </w:rPr>
              <w:t xml:space="preserve">        </w:t>
            </w:r>
            <w:r>
              <w:rPr>
                <w:rStyle w:val="93"/>
                <w:rFonts w:hint="eastAsia" w:ascii="宋体" w:hAnsi="宋体" w:cs="宋体"/>
                <w:bCs/>
                <w:color w:val="auto"/>
                <w:szCs w:val="21"/>
              </w:rPr>
              <w:t>元</w:t>
            </w:r>
          </w:p>
        </w:tc>
      </w:tr>
      <w:tr w14:paraId="56855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7" w:hRule="atLeast"/>
          <w:jc w:val="center"/>
        </w:trPr>
        <w:tc>
          <w:tcPr>
            <w:tcW w:w="493" w:type="pct"/>
            <w:tcBorders>
              <w:top w:val="single" w:color="auto" w:sz="4" w:space="0"/>
              <w:left w:val="single" w:color="auto" w:sz="4" w:space="0"/>
              <w:bottom w:val="single" w:color="auto" w:sz="4" w:space="0"/>
              <w:right w:val="single" w:color="auto" w:sz="4" w:space="0"/>
            </w:tcBorders>
            <w:vAlign w:val="center"/>
          </w:tcPr>
          <w:p w14:paraId="6196D426">
            <w:pPr>
              <w:tabs>
                <w:tab w:val="left" w:pos="5580"/>
              </w:tabs>
              <w:jc w:val="center"/>
              <w:rPr>
                <w:rFonts w:ascii="宋体" w:hAnsi="宋体" w:cs="宋体"/>
                <w:bCs/>
                <w:color w:val="auto"/>
                <w:sz w:val="21"/>
                <w:szCs w:val="21"/>
              </w:rPr>
            </w:pPr>
            <w:r>
              <w:rPr>
                <w:rFonts w:hint="eastAsia" w:ascii="宋体" w:hAnsi="宋体" w:cs="宋体"/>
                <w:bCs/>
                <w:color w:val="auto"/>
                <w:sz w:val="21"/>
                <w:szCs w:val="21"/>
              </w:rPr>
              <w:t>2</w:t>
            </w:r>
          </w:p>
        </w:tc>
        <w:tc>
          <w:tcPr>
            <w:tcW w:w="1961" w:type="pct"/>
            <w:tcBorders>
              <w:top w:val="single" w:color="auto" w:sz="4" w:space="0"/>
              <w:left w:val="single" w:color="auto" w:sz="4" w:space="0"/>
              <w:bottom w:val="single" w:color="auto" w:sz="4" w:space="0"/>
              <w:right w:val="single" w:color="auto" w:sz="4" w:space="0"/>
            </w:tcBorders>
            <w:vAlign w:val="center"/>
          </w:tcPr>
          <w:p w14:paraId="2231022E">
            <w:pPr>
              <w:tabs>
                <w:tab w:val="left" w:pos="5580"/>
              </w:tabs>
              <w:jc w:val="center"/>
              <w:rPr>
                <w:rFonts w:ascii="宋体" w:hAnsi="宋体" w:cs="宋体"/>
                <w:bCs/>
                <w:color w:val="auto"/>
                <w:sz w:val="21"/>
                <w:szCs w:val="21"/>
              </w:rPr>
            </w:pPr>
            <w:r>
              <w:rPr>
                <w:rFonts w:hint="eastAsia" w:ascii="宋体" w:hAnsi="宋体" w:cs="宋体"/>
                <w:bCs/>
                <w:color w:val="auto"/>
                <w:sz w:val="21"/>
                <w:szCs w:val="21"/>
              </w:rPr>
              <w:t>第二类为咨询项目建筑面积6—12万平方米之间</w:t>
            </w:r>
          </w:p>
        </w:tc>
        <w:tc>
          <w:tcPr>
            <w:tcW w:w="2544" w:type="pct"/>
            <w:tcBorders>
              <w:top w:val="single" w:color="auto" w:sz="4" w:space="0"/>
              <w:left w:val="single" w:color="auto" w:sz="4" w:space="0"/>
              <w:bottom w:val="single" w:color="auto" w:sz="4" w:space="0"/>
              <w:right w:val="single" w:color="auto" w:sz="4" w:space="0"/>
            </w:tcBorders>
            <w:vAlign w:val="center"/>
          </w:tcPr>
          <w:p w14:paraId="53DAE66D">
            <w:pPr>
              <w:tabs>
                <w:tab w:val="left" w:pos="5580"/>
              </w:tabs>
              <w:jc w:val="center"/>
              <w:rPr>
                <w:rStyle w:val="93"/>
                <w:rFonts w:ascii="宋体" w:hAnsi="宋体" w:cs="宋体"/>
                <w:bCs/>
                <w:color w:val="auto"/>
                <w:szCs w:val="21"/>
              </w:rPr>
            </w:pPr>
            <w:r>
              <w:rPr>
                <w:rStyle w:val="93"/>
                <w:rFonts w:hint="eastAsia" w:ascii="宋体" w:hAnsi="宋体" w:cs="宋体"/>
                <w:bCs/>
                <w:color w:val="auto"/>
                <w:szCs w:val="21"/>
                <w:u w:val="single"/>
              </w:rPr>
              <w:t xml:space="preserve">        </w:t>
            </w:r>
            <w:r>
              <w:rPr>
                <w:rStyle w:val="93"/>
                <w:rFonts w:hint="eastAsia" w:ascii="宋体" w:hAnsi="宋体" w:cs="宋体"/>
                <w:bCs/>
                <w:color w:val="auto"/>
                <w:szCs w:val="21"/>
              </w:rPr>
              <w:t>元</w:t>
            </w:r>
          </w:p>
        </w:tc>
      </w:tr>
      <w:tr w14:paraId="0E74D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3" w:hRule="atLeast"/>
          <w:jc w:val="center"/>
        </w:trPr>
        <w:tc>
          <w:tcPr>
            <w:tcW w:w="493" w:type="pct"/>
            <w:tcBorders>
              <w:top w:val="single" w:color="auto" w:sz="4" w:space="0"/>
              <w:left w:val="single" w:color="auto" w:sz="4" w:space="0"/>
              <w:bottom w:val="single" w:color="auto" w:sz="4" w:space="0"/>
              <w:right w:val="single" w:color="auto" w:sz="4" w:space="0"/>
            </w:tcBorders>
            <w:vAlign w:val="center"/>
          </w:tcPr>
          <w:p w14:paraId="046B7464">
            <w:pPr>
              <w:tabs>
                <w:tab w:val="left" w:pos="5580"/>
              </w:tabs>
              <w:jc w:val="center"/>
              <w:rPr>
                <w:rFonts w:ascii="宋体" w:hAnsi="宋体" w:cs="宋体"/>
                <w:bCs/>
                <w:color w:val="auto"/>
                <w:sz w:val="21"/>
                <w:szCs w:val="21"/>
              </w:rPr>
            </w:pPr>
            <w:r>
              <w:rPr>
                <w:rFonts w:hint="eastAsia" w:ascii="宋体" w:hAnsi="宋体" w:cs="宋体"/>
                <w:bCs/>
                <w:color w:val="auto"/>
                <w:sz w:val="21"/>
                <w:szCs w:val="21"/>
              </w:rPr>
              <w:t>3</w:t>
            </w:r>
          </w:p>
        </w:tc>
        <w:tc>
          <w:tcPr>
            <w:tcW w:w="1961" w:type="pct"/>
            <w:tcBorders>
              <w:top w:val="single" w:color="auto" w:sz="4" w:space="0"/>
              <w:left w:val="single" w:color="auto" w:sz="4" w:space="0"/>
              <w:bottom w:val="single" w:color="auto" w:sz="4" w:space="0"/>
              <w:right w:val="single" w:color="auto" w:sz="4" w:space="0"/>
            </w:tcBorders>
            <w:vAlign w:val="center"/>
          </w:tcPr>
          <w:p w14:paraId="2F6D9A7F">
            <w:pPr>
              <w:tabs>
                <w:tab w:val="left" w:pos="5580"/>
              </w:tabs>
              <w:jc w:val="center"/>
              <w:rPr>
                <w:rFonts w:ascii="宋体" w:hAnsi="宋体" w:cs="宋体"/>
                <w:bCs/>
                <w:color w:val="auto"/>
                <w:sz w:val="21"/>
                <w:szCs w:val="21"/>
              </w:rPr>
            </w:pPr>
            <w:r>
              <w:rPr>
                <w:rFonts w:hint="eastAsia" w:ascii="宋体" w:hAnsi="宋体" w:cs="宋体"/>
                <w:bCs/>
                <w:color w:val="auto"/>
                <w:sz w:val="21"/>
                <w:szCs w:val="21"/>
              </w:rPr>
              <w:t>第三类为咨询项目建筑面积12万平方米（含）以上</w:t>
            </w:r>
          </w:p>
        </w:tc>
        <w:tc>
          <w:tcPr>
            <w:tcW w:w="2544" w:type="pct"/>
            <w:tcBorders>
              <w:top w:val="single" w:color="auto" w:sz="4" w:space="0"/>
              <w:left w:val="single" w:color="auto" w:sz="4" w:space="0"/>
              <w:bottom w:val="single" w:color="auto" w:sz="4" w:space="0"/>
              <w:right w:val="single" w:color="auto" w:sz="4" w:space="0"/>
            </w:tcBorders>
            <w:vAlign w:val="center"/>
          </w:tcPr>
          <w:p w14:paraId="4E51E0F6">
            <w:pPr>
              <w:tabs>
                <w:tab w:val="left" w:pos="5580"/>
              </w:tabs>
              <w:jc w:val="center"/>
              <w:rPr>
                <w:rStyle w:val="93"/>
                <w:rFonts w:ascii="宋体" w:hAnsi="宋体" w:cs="宋体"/>
                <w:bCs/>
                <w:color w:val="auto"/>
                <w:szCs w:val="21"/>
              </w:rPr>
            </w:pPr>
            <w:r>
              <w:rPr>
                <w:rStyle w:val="93"/>
                <w:rFonts w:hint="eastAsia" w:ascii="宋体" w:hAnsi="宋体" w:cs="宋体"/>
                <w:bCs/>
                <w:color w:val="auto"/>
                <w:szCs w:val="21"/>
                <w:u w:val="single"/>
              </w:rPr>
              <w:t xml:space="preserve">        </w:t>
            </w:r>
            <w:r>
              <w:rPr>
                <w:rStyle w:val="93"/>
                <w:rFonts w:hint="eastAsia" w:ascii="宋体" w:hAnsi="宋体" w:cs="宋体"/>
                <w:bCs/>
                <w:color w:val="auto"/>
                <w:szCs w:val="21"/>
              </w:rPr>
              <w:t>元</w:t>
            </w:r>
          </w:p>
        </w:tc>
      </w:tr>
      <w:tr w14:paraId="6CF16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3" w:hRule="atLeast"/>
          <w:jc w:val="center"/>
        </w:trPr>
        <w:tc>
          <w:tcPr>
            <w:tcW w:w="493" w:type="pct"/>
            <w:tcBorders>
              <w:top w:val="single" w:color="auto" w:sz="4" w:space="0"/>
              <w:left w:val="single" w:color="auto" w:sz="4" w:space="0"/>
              <w:bottom w:val="single" w:color="auto" w:sz="4" w:space="0"/>
              <w:right w:val="single" w:color="auto" w:sz="4" w:space="0"/>
            </w:tcBorders>
            <w:vAlign w:val="center"/>
          </w:tcPr>
          <w:p w14:paraId="1C1AC4A0">
            <w:pPr>
              <w:tabs>
                <w:tab w:val="left" w:pos="5580"/>
              </w:tabs>
              <w:jc w:val="center"/>
              <w:rPr>
                <w:rFonts w:ascii="宋体" w:hAnsi="宋体" w:cs="宋体"/>
                <w:bCs/>
                <w:color w:val="auto"/>
                <w:sz w:val="21"/>
                <w:szCs w:val="21"/>
              </w:rPr>
            </w:pPr>
            <w:r>
              <w:rPr>
                <w:rFonts w:hint="eastAsia" w:ascii="宋体" w:hAnsi="宋体" w:cs="宋体"/>
                <w:bCs/>
                <w:color w:val="auto"/>
                <w:sz w:val="21"/>
                <w:szCs w:val="21"/>
              </w:rPr>
              <w:t>二</w:t>
            </w:r>
          </w:p>
        </w:tc>
        <w:tc>
          <w:tcPr>
            <w:tcW w:w="4506" w:type="pct"/>
            <w:gridSpan w:val="2"/>
            <w:tcBorders>
              <w:top w:val="single" w:color="auto" w:sz="4" w:space="0"/>
              <w:left w:val="single" w:color="auto" w:sz="4" w:space="0"/>
              <w:bottom w:val="single" w:color="auto" w:sz="4" w:space="0"/>
              <w:right w:val="single" w:color="auto" w:sz="4" w:space="0"/>
            </w:tcBorders>
            <w:vAlign w:val="center"/>
          </w:tcPr>
          <w:p w14:paraId="027731B0">
            <w:pPr>
              <w:tabs>
                <w:tab w:val="left" w:pos="5580"/>
              </w:tabs>
              <w:jc w:val="left"/>
              <w:rPr>
                <w:rStyle w:val="93"/>
                <w:rFonts w:ascii="宋体" w:hAnsi="宋体" w:cs="宋体"/>
                <w:bCs/>
                <w:color w:val="auto"/>
                <w:szCs w:val="21"/>
              </w:rPr>
            </w:pPr>
            <w:r>
              <w:rPr>
                <w:rFonts w:hint="eastAsia" w:ascii="宋体" w:hAnsi="宋体" w:cs="宋体"/>
                <w:bCs/>
                <w:color w:val="auto"/>
                <w:sz w:val="21"/>
                <w:szCs w:val="21"/>
              </w:rPr>
              <w:t>在申请造价咨询的工程造价基础上，税务部门、供应商通过组织造价咨询，新增加的补税金额或减少的退税金额视为增加量，绩效费用按增加量的百分比值计算，分两个档次累进费率计费：</w:t>
            </w:r>
          </w:p>
        </w:tc>
      </w:tr>
      <w:tr w14:paraId="68B30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3" w:hRule="atLeast"/>
          <w:jc w:val="center"/>
        </w:trPr>
        <w:tc>
          <w:tcPr>
            <w:tcW w:w="493" w:type="pct"/>
            <w:tcBorders>
              <w:top w:val="single" w:color="auto" w:sz="4" w:space="0"/>
              <w:left w:val="single" w:color="auto" w:sz="4" w:space="0"/>
              <w:bottom w:val="single" w:color="auto" w:sz="4" w:space="0"/>
              <w:right w:val="single" w:color="auto" w:sz="4" w:space="0"/>
            </w:tcBorders>
            <w:vAlign w:val="center"/>
          </w:tcPr>
          <w:p w14:paraId="19110679">
            <w:pPr>
              <w:tabs>
                <w:tab w:val="left" w:pos="5580"/>
              </w:tabs>
              <w:jc w:val="center"/>
              <w:rPr>
                <w:rFonts w:ascii="宋体" w:hAnsi="宋体" w:cs="宋体"/>
                <w:bCs/>
                <w:color w:val="auto"/>
                <w:sz w:val="21"/>
                <w:szCs w:val="21"/>
              </w:rPr>
            </w:pPr>
            <w:r>
              <w:rPr>
                <w:rFonts w:hint="eastAsia" w:ascii="宋体" w:hAnsi="宋体" w:cs="宋体"/>
                <w:bCs/>
                <w:color w:val="auto"/>
                <w:sz w:val="21"/>
                <w:szCs w:val="21"/>
              </w:rPr>
              <w:t>1</w:t>
            </w:r>
          </w:p>
        </w:tc>
        <w:tc>
          <w:tcPr>
            <w:tcW w:w="1961" w:type="pct"/>
            <w:tcBorders>
              <w:top w:val="single" w:color="auto" w:sz="4" w:space="0"/>
              <w:left w:val="single" w:color="auto" w:sz="4" w:space="0"/>
              <w:bottom w:val="single" w:color="auto" w:sz="4" w:space="0"/>
              <w:right w:val="single" w:color="auto" w:sz="4" w:space="0"/>
            </w:tcBorders>
            <w:vAlign w:val="center"/>
          </w:tcPr>
          <w:p w14:paraId="0C167369">
            <w:pPr>
              <w:tabs>
                <w:tab w:val="left" w:pos="5580"/>
              </w:tabs>
              <w:jc w:val="center"/>
              <w:rPr>
                <w:rFonts w:ascii="宋体" w:hAnsi="宋体" w:cs="宋体"/>
                <w:bCs/>
                <w:color w:val="auto"/>
                <w:sz w:val="21"/>
                <w:szCs w:val="21"/>
              </w:rPr>
            </w:pPr>
            <w:r>
              <w:rPr>
                <w:rFonts w:hint="eastAsia" w:ascii="宋体" w:hAnsi="宋体" w:cs="宋体"/>
                <w:bCs/>
                <w:color w:val="auto"/>
                <w:sz w:val="21"/>
                <w:szCs w:val="21"/>
              </w:rPr>
              <w:t>第一个档次为增加量小于等于500万</w:t>
            </w:r>
          </w:p>
        </w:tc>
        <w:tc>
          <w:tcPr>
            <w:tcW w:w="2544" w:type="pct"/>
            <w:tcBorders>
              <w:top w:val="single" w:color="auto" w:sz="4" w:space="0"/>
              <w:left w:val="single" w:color="auto" w:sz="4" w:space="0"/>
              <w:bottom w:val="single" w:color="auto" w:sz="4" w:space="0"/>
              <w:right w:val="single" w:color="auto" w:sz="4" w:space="0"/>
            </w:tcBorders>
            <w:vAlign w:val="center"/>
          </w:tcPr>
          <w:p w14:paraId="4E3DA526">
            <w:pPr>
              <w:tabs>
                <w:tab w:val="left" w:pos="5580"/>
              </w:tabs>
              <w:jc w:val="center"/>
              <w:rPr>
                <w:rStyle w:val="93"/>
                <w:rFonts w:ascii="宋体" w:hAnsi="宋体" w:cs="宋体"/>
                <w:bCs/>
                <w:color w:val="auto"/>
                <w:szCs w:val="21"/>
              </w:rPr>
            </w:pPr>
            <w:r>
              <w:rPr>
                <w:rStyle w:val="93"/>
                <w:rFonts w:hint="eastAsia" w:ascii="宋体" w:hAnsi="宋体" w:cs="宋体"/>
                <w:bCs/>
                <w:color w:val="auto"/>
                <w:szCs w:val="21"/>
                <w:u w:val="single"/>
              </w:rPr>
              <w:t xml:space="preserve">        </w:t>
            </w:r>
            <w:r>
              <w:rPr>
                <w:rStyle w:val="93"/>
                <w:rFonts w:hint="eastAsia" w:ascii="宋体" w:hAnsi="宋体" w:cs="宋体"/>
                <w:bCs/>
                <w:color w:val="auto"/>
                <w:szCs w:val="21"/>
              </w:rPr>
              <w:t>%</w:t>
            </w:r>
          </w:p>
        </w:tc>
      </w:tr>
      <w:tr w14:paraId="3441A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3" w:hRule="atLeast"/>
          <w:jc w:val="center"/>
        </w:trPr>
        <w:tc>
          <w:tcPr>
            <w:tcW w:w="493" w:type="pct"/>
            <w:tcBorders>
              <w:top w:val="single" w:color="auto" w:sz="4" w:space="0"/>
              <w:left w:val="single" w:color="auto" w:sz="4" w:space="0"/>
              <w:bottom w:val="single" w:color="auto" w:sz="4" w:space="0"/>
              <w:right w:val="single" w:color="auto" w:sz="4" w:space="0"/>
            </w:tcBorders>
            <w:vAlign w:val="center"/>
          </w:tcPr>
          <w:p w14:paraId="23B34F0D">
            <w:pPr>
              <w:tabs>
                <w:tab w:val="left" w:pos="5580"/>
              </w:tabs>
              <w:jc w:val="center"/>
              <w:rPr>
                <w:rFonts w:ascii="宋体" w:hAnsi="宋体" w:cs="宋体"/>
                <w:bCs/>
                <w:color w:val="auto"/>
                <w:sz w:val="21"/>
                <w:szCs w:val="21"/>
              </w:rPr>
            </w:pPr>
            <w:r>
              <w:rPr>
                <w:rFonts w:hint="eastAsia" w:ascii="宋体" w:hAnsi="宋体" w:cs="宋体"/>
                <w:bCs/>
                <w:color w:val="auto"/>
                <w:sz w:val="21"/>
                <w:szCs w:val="21"/>
              </w:rPr>
              <w:t>2</w:t>
            </w:r>
          </w:p>
        </w:tc>
        <w:tc>
          <w:tcPr>
            <w:tcW w:w="1961" w:type="pct"/>
            <w:tcBorders>
              <w:top w:val="single" w:color="auto" w:sz="4" w:space="0"/>
              <w:left w:val="single" w:color="auto" w:sz="4" w:space="0"/>
              <w:bottom w:val="single" w:color="auto" w:sz="4" w:space="0"/>
              <w:right w:val="single" w:color="auto" w:sz="4" w:space="0"/>
            </w:tcBorders>
            <w:vAlign w:val="center"/>
          </w:tcPr>
          <w:p w14:paraId="06E5310A">
            <w:pPr>
              <w:tabs>
                <w:tab w:val="left" w:pos="5580"/>
              </w:tabs>
              <w:jc w:val="center"/>
              <w:rPr>
                <w:rFonts w:ascii="宋体" w:hAnsi="宋体" w:cs="宋体"/>
                <w:bCs/>
                <w:color w:val="auto"/>
                <w:sz w:val="21"/>
                <w:szCs w:val="21"/>
              </w:rPr>
            </w:pPr>
            <w:r>
              <w:rPr>
                <w:rFonts w:hint="eastAsia" w:ascii="宋体" w:hAnsi="宋体" w:cs="宋体"/>
                <w:color w:val="auto"/>
                <w:sz w:val="21"/>
                <w:szCs w:val="24"/>
              </w:rPr>
              <w:t>第二个档次为增加量大于500万</w:t>
            </w:r>
          </w:p>
        </w:tc>
        <w:tc>
          <w:tcPr>
            <w:tcW w:w="2544" w:type="pct"/>
            <w:tcBorders>
              <w:top w:val="single" w:color="auto" w:sz="4" w:space="0"/>
              <w:left w:val="single" w:color="auto" w:sz="4" w:space="0"/>
              <w:right w:val="single" w:color="auto" w:sz="4" w:space="0"/>
            </w:tcBorders>
            <w:vAlign w:val="center"/>
          </w:tcPr>
          <w:p w14:paraId="54D6D019">
            <w:pPr>
              <w:tabs>
                <w:tab w:val="left" w:pos="5580"/>
              </w:tabs>
              <w:jc w:val="center"/>
              <w:rPr>
                <w:rStyle w:val="93"/>
                <w:rFonts w:ascii="宋体" w:hAnsi="宋体" w:cs="宋体"/>
                <w:bCs/>
                <w:color w:val="auto"/>
                <w:szCs w:val="21"/>
              </w:rPr>
            </w:pPr>
            <w:r>
              <w:rPr>
                <w:rStyle w:val="93"/>
                <w:rFonts w:hint="eastAsia" w:ascii="宋体" w:hAnsi="宋体" w:cs="宋体"/>
                <w:bCs/>
                <w:color w:val="auto"/>
                <w:szCs w:val="21"/>
                <w:u w:val="single"/>
              </w:rPr>
              <w:t xml:space="preserve">        </w:t>
            </w:r>
            <w:r>
              <w:rPr>
                <w:rStyle w:val="93"/>
                <w:rFonts w:hint="eastAsia" w:ascii="宋体" w:hAnsi="宋体" w:cs="宋体"/>
                <w:bCs/>
                <w:color w:val="auto"/>
                <w:szCs w:val="21"/>
              </w:rPr>
              <w:t>%</w:t>
            </w:r>
          </w:p>
        </w:tc>
      </w:tr>
    </w:tbl>
    <w:p w14:paraId="6CF78BB1">
      <w:pPr>
        <w:autoSpaceDE w:val="0"/>
        <w:autoSpaceDN w:val="0"/>
        <w:adjustRightInd w:val="0"/>
        <w:jc w:val="left"/>
        <w:rPr>
          <w:rFonts w:asciiTheme="minorEastAsia" w:hAnsiTheme="minorEastAsia" w:eastAsiaTheme="minorEastAsia"/>
          <w:color w:val="auto"/>
          <w:kern w:val="0"/>
          <w:sz w:val="24"/>
        </w:rPr>
      </w:pPr>
    </w:p>
    <w:p w14:paraId="279A4146">
      <w:pPr>
        <w:spacing w:line="480" w:lineRule="auto"/>
        <w:rPr>
          <w:rFonts w:asciiTheme="minorEastAsia" w:hAnsiTheme="minorEastAsia" w:eastAsiaTheme="minorEastAsia"/>
          <w:b/>
          <w:bCs/>
          <w:color w:val="auto"/>
          <w:sz w:val="24"/>
        </w:rPr>
      </w:pPr>
    </w:p>
    <w:p w14:paraId="37CDA873">
      <w:pPr>
        <w:snapToGrid w:val="0"/>
        <w:spacing w:line="360" w:lineRule="auto"/>
        <w:rPr>
          <w:rFonts w:ascii="宋体" w:hAnsi="宋体" w:cs="宋体"/>
          <w:color w:val="auto"/>
          <w:sz w:val="21"/>
          <w:szCs w:val="24"/>
        </w:rPr>
      </w:pPr>
      <w:r>
        <w:rPr>
          <w:rFonts w:hint="eastAsia" w:ascii="宋体" w:hAnsi="宋体" w:cs="宋体"/>
          <w:color w:val="auto"/>
          <w:sz w:val="21"/>
          <w:szCs w:val="24"/>
        </w:rPr>
        <w:t>注：（1）咨询服务费用按每个清算项目（分期项目合并）计算，采用基础费用和土地增值税清算入库税款比例费率计算的“绩效费用”相结合的方法确定费用。</w:t>
      </w:r>
    </w:p>
    <w:p w14:paraId="0919F4D1">
      <w:pPr>
        <w:snapToGrid w:val="0"/>
        <w:spacing w:line="360" w:lineRule="auto"/>
        <w:rPr>
          <w:rFonts w:ascii="宋体" w:hAnsi="宋体" w:cs="宋体"/>
          <w:color w:val="auto"/>
          <w:szCs w:val="21"/>
        </w:rPr>
      </w:pPr>
      <w:r>
        <w:rPr>
          <w:rFonts w:hint="eastAsia" w:ascii="宋体" w:hAnsi="宋体" w:cs="宋体"/>
          <w:color w:val="auto"/>
          <w:sz w:val="21"/>
          <w:szCs w:val="24"/>
        </w:rPr>
        <w:t>（2）</w:t>
      </w:r>
      <w:r>
        <w:rPr>
          <w:rFonts w:hint="eastAsia" w:ascii="宋体" w:hAnsi="宋体" w:cs="宋体"/>
          <w:color w:val="auto"/>
          <w:sz w:val="21"/>
          <w:szCs w:val="21"/>
        </w:rPr>
        <w:t>除可填报项目外，任何实质性修改将被视为非实质性投标投标，从而导致该投标被拒绝。</w:t>
      </w:r>
    </w:p>
    <w:p w14:paraId="2D784334">
      <w:pPr>
        <w:snapToGrid w:val="0"/>
        <w:spacing w:line="360" w:lineRule="auto"/>
        <w:rPr>
          <w:rFonts w:ascii="宋体" w:hAnsi="宋体" w:cs="宋体"/>
          <w:color w:val="auto"/>
          <w:sz w:val="21"/>
          <w:szCs w:val="21"/>
        </w:rPr>
      </w:pPr>
    </w:p>
    <w:p w14:paraId="58F2ED2E">
      <w:pPr>
        <w:snapToGrid w:val="0"/>
        <w:spacing w:line="360" w:lineRule="auto"/>
        <w:rPr>
          <w:rFonts w:ascii="宋体" w:hAnsi="宋体" w:cs="宋体"/>
          <w:color w:val="auto"/>
          <w:sz w:val="21"/>
          <w:szCs w:val="21"/>
        </w:rPr>
      </w:pPr>
      <w:r>
        <w:rPr>
          <w:rFonts w:hint="eastAsia" w:ascii="宋体" w:hAnsi="宋体" w:cs="宋体"/>
          <w:color w:val="auto"/>
          <w:sz w:val="21"/>
          <w:szCs w:val="21"/>
        </w:rPr>
        <w:t>响应人名称（公章）：</w:t>
      </w:r>
    </w:p>
    <w:p w14:paraId="6A2ADA19">
      <w:pPr>
        <w:snapToGrid w:val="0"/>
        <w:spacing w:line="360" w:lineRule="auto"/>
        <w:rPr>
          <w:rFonts w:ascii="宋体" w:hAnsi="宋体" w:cs="宋体"/>
          <w:color w:val="auto"/>
          <w:sz w:val="21"/>
          <w:szCs w:val="21"/>
        </w:rPr>
      </w:pPr>
      <w:r>
        <w:rPr>
          <w:rFonts w:hint="eastAsia" w:ascii="宋体" w:hAnsi="宋体" w:cs="宋体"/>
          <w:color w:val="auto"/>
          <w:sz w:val="21"/>
          <w:szCs w:val="21"/>
        </w:rPr>
        <w:t>法定代表人或代理人（签字或盖章）：_______________________</w:t>
      </w:r>
    </w:p>
    <w:p w14:paraId="41AB8811">
      <w:pPr>
        <w:snapToGrid w:val="0"/>
        <w:spacing w:line="360" w:lineRule="auto"/>
        <w:rPr>
          <w:rFonts w:ascii="宋体" w:hAnsi="宋体" w:cs="宋体"/>
          <w:color w:val="auto"/>
          <w:sz w:val="21"/>
          <w:szCs w:val="21"/>
        </w:rPr>
      </w:pPr>
      <w:r>
        <w:rPr>
          <w:rFonts w:hint="eastAsia" w:ascii="宋体" w:hAnsi="宋体" w:cs="宋体"/>
          <w:color w:val="auto"/>
          <w:sz w:val="21"/>
          <w:szCs w:val="21"/>
        </w:rPr>
        <w:t xml:space="preserve">日期：______年    月 </w:t>
      </w:r>
    </w:p>
    <w:p w14:paraId="579DD82C">
      <w:pPr>
        <w:pStyle w:val="9"/>
        <w:ind w:firstLine="0"/>
        <w:rPr>
          <w:rFonts w:ascii="宋体" w:hAnsi="宋体" w:cs="宋体"/>
          <w:color w:val="auto"/>
          <w:sz w:val="21"/>
          <w:szCs w:val="21"/>
        </w:rPr>
      </w:pPr>
    </w:p>
    <w:p w14:paraId="5C4C107D">
      <w:pPr>
        <w:pStyle w:val="9"/>
        <w:ind w:firstLine="0"/>
        <w:rPr>
          <w:rFonts w:ascii="宋体" w:hAnsi="宋体" w:cs="宋体"/>
          <w:color w:val="auto"/>
          <w:sz w:val="21"/>
          <w:szCs w:val="21"/>
        </w:rPr>
        <w:sectPr>
          <w:pgSz w:w="11906" w:h="16838"/>
          <w:pgMar w:top="1440" w:right="1134" w:bottom="1440" w:left="1134" w:header="851" w:footer="992" w:gutter="0"/>
          <w:cols w:space="720" w:num="1"/>
          <w:docGrid w:linePitch="312" w:charSpace="0"/>
        </w:sectPr>
      </w:pPr>
    </w:p>
    <w:p w14:paraId="3388E133">
      <w:pPr>
        <w:snapToGrid w:val="0"/>
        <w:spacing w:line="400" w:lineRule="exact"/>
        <w:rPr>
          <w:rFonts w:ascii="宋体" w:hAnsi="宋体" w:cs="宋体"/>
          <w:color w:val="auto"/>
          <w:szCs w:val="21"/>
        </w:rPr>
      </w:pPr>
      <w:r>
        <w:rPr>
          <w:rFonts w:hint="eastAsia" w:ascii="宋体" w:hAnsi="宋体" w:cs="宋体"/>
          <w:b/>
          <w:bCs/>
          <w:color w:val="auto"/>
          <w:szCs w:val="21"/>
        </w:rPr>
        <w:t>7  响应人</w:t>
      </w:r>
      <w:r>
        <w:rPr>
          <w:rFonts w:hint="eastAsia" w:ascii="宋体" w:hAnsi="宋体" w:cs="宋体"/>
          <w:b/>
          <w:bCs/>
          <w:color w:val="auto"/>
          <w:szCs w:val="28"/>
        </w:rPr>
        <w:t>基本资格</w:t>
      </w:r>
      <w:r>
        <w:rPr>
          <w:rFonts w:hint="eastAsia" w:ascii="宋体" w:hAnsi="宋体" w:cs="宋体"/>
          <w:b/>
          <w:bCs/>
          <w:color w:val="auto"/>
          <w:szCs w:val="21"/>
        </w:rPr>
        <w:t>要求材料格式</w:t>
      </w:r>
    </w:p>
    <w:p w14:paraId="6508E84D">
      <w:pPr>
        <w:rPr>
          <w:rFonts w:ascii="宋体" w:hAnsi="宋体" w:cs="宋体"/>
          <w:b/>
          <w:bCs/>
          <w:color w:val="auto"/>
          <w:szCs w:val="21"/>
        </w:rPr>
      </w:pPr>
    </w:p>
    <w:p w14:paraId="031B6DD3">
      <w:pPr>
        <w:jc w:val="center"/>
        <w:rPr>
          <w:rFonts w:ascii="宋体" w:hAnsi="宋体" w:cs="宋体"/>
          <w:b/>
          <w:bCs/>
          <w:color w:val="auto"/>
          <w:szCs w:val="21"/>
        </w:rPr>
      </w:pPr>
      <w:r>
        <w:rPr>
          <w:rFonts w:hint="eastAsia" w:ascii="宋体" w:hAnsi="宋体" w:cs="宋体"/>
          <w:b/>
          <w:bCs/>
          <w:color w:val="auto"/>
          <w:szCs w:val="21"/>
        </w:rPr>
        <w:t>响应人资格审查一览表</w:t>
      </w:r>
    </w:p>
    <w:p w14:paraId="67D542FC">
      <w:pPr>
        <w:spacing w:line="460" w:lineRule="exact"/>
        <w:rPr>
          <w:rFonts w:ascii="宋体" w:hAnsi="宋体" w:cs="宋体"/>
          <w:color w:val="auto"/>
          <w:sz w:val="21"/>
          <w:szCs w:val="21"/>
        </w:rPr>
      </w:pPr>
      <w:r>
        <w:rPr>
          <w:rFonts w:hint="eastAsia" w:ascii="宋体" w:hAnsi="宋体" w:cs="宋体"/>
          <w:color w:val="auto"/>
          <w:sz w:val="21"/>
          <w:szCs w:val="21"/>
        </w:rPr>
        <w:t>江苏信达建设工程咨询有限公司：</w:t>
      </w:r>
    </w:p>
    <w:p w14:paraId="5F07221B">
      <w:pPr>
        <w:spacing w:line="460" w:lineRule="exact"/>
        <w:ind w:firstLine="420" w:firstLineChars="200"/>
        <w:rPr>
          <w:rFonts w:ascii="宋体" w:hAnsi="宋体" w:cs="宋体"/>
          <w:color w:val="auto"/>
          <w:sz w:val="21"/>
          <w:szCs w:val="21"/>
        </w:rPr>
      </w:pPr>
      <w:r>
        <w:rPr>
          <w:rFonts w:hint="eastAsia" w:ascii="宋体" w:hAnsi="宋体" w:cs="宋体"/>
          <w:color w:val="auto"/>
          <w:sz w:val="21"/>
          <w:szCs w:val="21"/>
        </w:rPr>
        <w:t>贵单位组织的编号</w:t>
      </w:r>
      <w:r>
        <w:rPr>
          <w:rFonts w:hint="eastAsia" w:ascii="宋体" w:hAnsi="宋体" w:cs="宋体"/>
          <w:color w:val="auto"/>
          <w:sz w:val="21"/>
          <w:szCs w:val="21"/>
          <w:u w:val="single"/>
        </w:rPr>
        <w:t>JSXD2024-014号</w:t>
      </w:r>
      <w:r>
        <w:rPr>
          <w:rFonts w:hint="eastAsia" w:ascii="宋体" w:hAnsi="宋体" w:cs="宋体"/>
          <w:color w:val="auto"/>
          <w:sz w:val="21"/>
          <w:szCs w:val="21"/>
        </w:rPr>
        <w:t>采购活动，我公司愿意参加，并承诺的下列文件、证明和陈述均是准确的、真实的。若与真实情况不符，我公司愿意承担由此而产生的一切后果。</w:t>
      </w:r>
    </w:p>
    <w:p w14:paraId="3446AA0D">
      <w:pPr>
        <w:ind w:firstLine="420" w:firstLineChars="200"/>
        <w:jc w:val="center"/>
        <w:rPr>
          <w:rFonts w:ascii="宋体" w:hAnsi="宋体" w:cs="宋体"/>
          <w:color w:val="auto"/>
          <w:sz w:val="21"/>
          <w:szCs w:val="21"/>
        </w:rPr>
      </w:pPr>
    </w:p>
    <w:tbl>
      <w:tblPr>
        <w:tblStyle w:val="27"/>
        <w:tblW w:w="0" w:type="auto"/>
        <w:jc w:val="center"/>
        <w:tblLayout w:type="fixed"/>
        <w:tblCellMar>
          <w:top w:w="0" w:type="dxa"/>
          <w:left w:w="108" w:type="dxa"/>
          <w:bottom w:w="0" w:type="dxa"/>
          <w:right w:w="108" w:type="dxa"/>
        </w:tblCellMar>
      </w:tblPr>
      <w:tblGrid>
        <w:gridCol w:w="1153"/>
        <w:gridCol w:w="4380"/>
        <w:gridCol w:w="1905"/>
      </w:tblGrid>
      <w:tr w14:paraId="67196035">
        <w:tblPrEx>
          <w:tblCellMar>
            <w:top w:w="0" w:type="dxa"/>
            <w:left w:w="108" w:type="dxa"/>
            <w:bottom w:w="0" w:type="dxa"/>
            <w:right w:w="108" w:type="dxa"/>
          </w:tblCellMar>
        </w:tblPrEx>
        <w:trPr>
          <w:trHeight w:val="370" w:hRule="atLeast"/>
          <w:jc w:val="center"/>
        </w:trPr>
        <w:tc>
          <w:tcPr>
            <w:tcW w:w="1153" w:type="dxa"/>
            <w:tcBorders>
              <w:top w:val="single" w:color="000000" w:sz="4" w:space="0"/>
              <w:left w:val="single" w:color="000000" w:sz="4" w:space="0"/>
              <w:bottom w:val="single" w:color="000000" w:sz="4" w:space="0"/>
              <w:right w:val="single" w:color="000000" w:sz="4" w:space="0"/>
            </w:tcBorders>
            <w:vAlign w:val="center"/>
          </w:tcPr>
          <w:p w14:paraId="3A7D81BE">
            <w:pPr>
              <w:autoSpaceDE w:val="0"/>
              <w:adjustRightInd w:val="0"/>
              <w:snapToGrid w:val="0"/>
              <w:spacing w:before="40" w:after="160" w:line="480" w:lineRule="auto"/>
              <w:jc w:val="center"/>
              <w:rPr>
                <w:rFonts w:ascii="宋体" w:hAnsi="宋体" w:cs="宋体"/>
                <w:color w:val="auto"/>
                <w:sz w:val="21"/>
                <w:szCs w:val="21"/>
              </w:rPr>
            </w:pPr>
            <w:r>
              <w:rPr>
                <w:rFonts w:hint="eastAsia" w:ascii="宋体" w:hAnsi="宋体" w:cs="宋体"/>
                <w:color w:val="auto"/>
                <w:sz w:val="21"/>
                <w:szCs w:val="21"/>
              </w:rPr>
              <w:t>序号</w:t>
            </w:r>
          </w:p>
        </w:tc>
        <w:tc>
          <w:tcPr>
            <w:tcW w:w="4380" w:type="dxa"/>
            <w:tcBorders>
              <w:top w:val="single" w:color="000000" w:sz="4" w:space="0"/>
              <w:left w:val="nil"/>
              <w:bottom w:val="single" w:color="000000" w:sz="4" w:space="0"/>
              <w:right w:val="single" w:color="000000" w:sz="4" w:space="0"/>
            </w:tcBorders>
            <w:vAlign w:val="center"/>
          </w:tcPr>
          <w:p w14:paraId="6377DF86">
            <w:pPr>
              <w:autoSpaceDE w:val="0"/>
              <w:adjustRightInd w:val="0"/>
              <w:snapToGrid w:val="0"/>
              <w:spacing w:before="40" w:after="160" w:line="480" w:lineRule="auto"/>
              <w:jc w:val="center"/>
              <w:rPr>
                <w:rFonts w:ascii="宋体" w:hAnsi="宋体" w:cs="宋体"/>
                <w:color w:val="auto"/>
                <w:sz w:val="21"/>
                <w:szCs w:val="21"/>
              </w:rPr>
            </w:pPr>
            <w:r>
              <w:rPr>
                <w:rFonts w:hint="eastAsia" w:ascii="宋体" w:hAnsi="宋体" w:cs="宋体"/>
                <w:color w:val="auto"/>
                <w:sz w:val="21"/>
                <w:szCs w:val="21"/>
              </w:rPr>
              <w:t>项     目</w:t>
            </w:r>
          </w:p>
        </w:tc>
        <w:tc>
          <w:tcPr>
            <w:tcW w:w="1905" w:type="dxa"/>
            <w:tcBorders>
              <w:top w:val="single" w:color="000000" w:sz="4" w:space="0"/>
              <w:left w:val="nil"/>
              <w:bottom w:val="single" w:color="000000" w:sz="4" w:space="0"/>
              <w:right w:val="single" w:color="000000" w:sz="4" w:space="0"/>
            </w:tcBorders>
            <w:vAlign w:val="center"/>
          </w:tcPr>
          <w:p w14:paraId="7584301B">
            <w:pPr>
              <w:autoSpaceDE w:val="0"/>
              <w:adjustRightInd w:val="0"/>
              <w:snapToGrid w:val="0"/>
              <w:spacing w:before="40" w:after="160" w:line="480" w:lineRule="auto"/>
              <w:jc w:val="center"/>
              <w:rPr>
                <w:rFonts w:ascii="宋体" w:hAnsi="宋体" w:cs="宋体"/>
                <w:color w:val="auto"/>
                <w:sz w:val="21"/>
                <w:szCs w:val="21"/>
              </w:rPr>
            </w:pPr>
            <w:r>
              <w:rPr>
                <w:rFonts w:hint="eastAsia" w:ascii="宋体" w:hAnsi="宋体" w:cs="宋体"/>
                <w:color w:val="auto"/>
                <w:sz w:val="21"/>
                <w:szCs w:val="21"/>
              </w:rPr>
              <w:t>响应人承诺</w:t>
            </w:r>
          </w:p>
        </w:tc>
      </w:tr>
      <w:tr w14:paraId="2A188842">
        <w:tblPrEx>
          <w:tblCellMar>
            <w:top w:w="0" w:type="dxa"/>
            <w:left w:w="108" w:type="dxa"/>
            <w:bottom w:w="0" w:type="dxa"/>
            <w:right w:w="108" w:type="dxa"/>
          </w:tblCellMar>
        </w:tblPrEx>
        <w:trPr>
          <w:jc w:val="center"/>
        </w:trPr>
        <w:tc>
          <w:tcPr>
            <w:tcW w:w="1153" w:type="dxa"/>
            <w:tcBorders>
              <w:top w:val="single" w:color="000000" w:sz="4" w:space="0"/>
              <w:left w:val="single" w:color="000000" w:sz="4" w:space="0"/>
              <w:bottom w:val="single" w:color="000000" w:sz="4" w:space="0"/>
              <w:right w:val="single" w:color="000000" w:sz="4" w:space="0"/>
            </w:tcBorders>
            <w:vAlign w:val="center"/>
          </w:tcPr>
          <w:p w14:paraId="281DC95B">
            <w:pPr>
              <w:autoSpaceDE w:val="0"/>
              <w:adjustRightInd w:val="0"/>
              <w:snapToGrid w:val="0"/>
              <w:spacing w:before="40" w:after="160" w:line="480" w:lineRule="auto"/>
              <w:jc w:val="center"/>
              <w:rPr>
                <w:rFonts w:ascii="宋体" w:hAnsi="宋体" w:cs="宋体"/>
                <w:color w:val="auto"/>
                <w:sz w:val="21"/>
                <w:szCs w:val="21"/>
              </w:rPr>
            </w:pPr>
            <w:r>
              <w:rPr>
                <w:rFonts w:hint="eastAsia" w:ascii="宋体" w:hAnsi="宋体" w:cs="宋体"/>
                <w:color w:val="auto"/>
                <w:sz w:val="21"/>
                <w:szCs w:val="21"/>
              </w:rPr>
              <w:t>1</w:t>
            </w:r>
          </w:p>
        </w:tc>
        <w:tc>
          <w:tcPr>
            <w:tcW w:w="4380" w:type="dxa"/>
            <w:tcBorders>
              <w:top w:val="single" w:color="000000" w:sz="4" w:space="0"/>
              <w:left w:val="nil"/>
              <w:bottom w:val="single" w:color="000000" w:sz="4" w:space="0"/>
              <w:right w:val="single" w:color="000000" w:sz="4" w:space="0"/>
            </w:tcBorders>
          </w:tcPr>
          <w:p w14:paraId="6E2C8962">
            <w:pPr>
              <w:autoSpaceDE w:val="0"/>
              <w:adjustRightInd w:val="0"/>
              <w:snapToGrid w:val="0"/>
              <w:spacing w:before="40" w:after="160" w:line="480" w:lineRule="auto"/>
              <w:rPr>
                <w:rFonts w:ascii="宋体" w:hAnsi="宋体" w:cs="宋体"/>
                <w:color w:val="auto"/>
                <w:sz w:val="21"/>
                <w:szCs w:val="21"/>
              </w:rPr>
            </w:pPr>
            <w:r>
              <w:rPr>
                <w:rFonts w:hint="eastAsia" w:ascii="宋体" w:hAnsi="宋体" w:cs="宋体"/>
                <w:color w:val="auto"/>
                <w:sz w:val="21"/>
                <w:szCs w:val="21"/>
              </w:rPr>
              <w:t>具有有效营业执照或事业单位法人证书</w:t>
            </w:r>
          </w:p>
        </w:tc>
        <w:tc>
          <w:tcPr>
            <w:tcW w:w="1905" w:type="dxa"/>
            <w:tcBorders>
              <w:top w:val="single" w:color="000000" w:sz="4" w:space="0"/>
              <w:left w:val="nil"/>
              <w:bottom w:val="single" w:color="000000" w:sz="4" w:space="0"/>
              <w:right w:val="single" w:color="000000" w:sz="4" w:space="0"/>
            </w:tcBorders>
            <w:vAlign w:val="center"/>
          </w:tcPr>
          <w:p w14:paraId="26F85EF1">
            <w:pPr>
              <w:autoSpaceDE w:val="0"/>
              <w:adjustRightInd w:val="0"/>
              <w:snapToGrid w:val="0"/>
              <w:spacing w:before="40" w:after="160" w:line="480" w:lineRule="auto"/>
              <w:jc w:val="center"/>
              <w:rPr>
                <w:rFonts w:ascii="宋体" w:hAnsi="宋体" w:cs="宋体"/>
                <w:color w:val="auto"/>
                <w:sz w:val="21"/>
                <w:szCs w:val="21"/>
              </w:rPr>
            </w:pPr>
            <w:r>
              <w:rPr>
                <w:rFonts w:hint="eastAsia" w:ascii="宋体" w:hAnsi="宋体" w:cs="宋体"/>
                <w:color w:val="auto"/>
                <w:sz w:val="21"/>
                <w:szCs w:val="21"/>
              </w:rPr>
              <w:t>是</w:t>
            </w:r>
          </w:p>
        </w:tc>
      </w:tr>
      <w:tr w14:paraId="3D67377E">
        <w:tblPrEx>
          <w:tblCellMar>
            <w:top w:w="0" w:type="dxa"/>
            <w:left w:w="108" w:type="dxa"/>
            <w:bottom w:w="0" w:type="dxa"/>
            <w:right w:w="108" w:type="dxa"/>
          </w:tblCellMar>
        </w:tblPrEx>
        <w:trPr>
          <w:jc w:val="center"/>
        </w:trPr>
        <w:tc>
          <w:tcPr>
            <w:tcW w:w="1153" w:type="dxa"/>
            <w:tcBorders>
              <w:top w:val="single" w:color="000000" w:sz="4" w:space="0"/>
              <w:left w:val="single" w:color="000000" w:sz="4" w:space="0"/>
              <w:bottom w:val="single" w:color="000000" w:sz="4" w:space="0"/>
              <w:right w:val="single" w:color="000000" w:sz="4" w:space="0"/>
            </w:tcBorders>
            <w:vAlign w:val="center"/>
          </w:tcPr>
          <w:p w14:paraId="2A36750F">
            <w:pPr>
              <w:autoSpaceDE w:val="0"/>
              <w:adjustRightInd w:val="0"/>
              <w:snapToGrid w:val="0"/>
              <w:spacing w:before="40" w:after="160" w:line="480" w:lineRule="auto"/>
              <w:jc w:val="center"/>
              <w:rPr>
                <w:rFonts w:ascii="宋体" w:hAnsi="宋体" w:cs="宋体"/>
                <w:color w:val="auto"/>
                <w:sz w:val="21"/>
                <w:szCs w:val="21"/>
              </w:rPr>
            </w:pPr>
            <w:r>
              <w:rPr>
                <w:rFonts w:hint="eastAsia" w:ascii="宋体" w:hAnsi="宋体" w:cs="宋体"/>
                <w:color w:val="auto"/>
                <w:sz w:val="21"/>
                <w:szCs w:val="21"/>
              </w:rPr>
              <w:t>2</w:t>
            </w:r>
          </w:p>
        </w:tc>
        <w:tc>
          <w:tcPr>
            <w:tcW w:w="4380" w:type="dxa"/>
            <w:tcBorders>
              <w:top w:val="single" w:color="000000" w:sz="4" w:space="0"/>
              <w:left w:val="nil"/>
              <w:bottom w:val="single" w:color="000000" w:sz="4" w:space="0"/>
              <w:right w:val="single" w:color="000000" w:sz="4" w:space="0"/>
            </w:tcBorders>
          </w:tcPr>
          <w:p w14:paraId="570BEE31">
            <w:pPr>
              <w:autoSpaceDE w:val="0"/>
              <w:adjustRightInd w:val="0"/>
              <w:snapToGrid w:val="0"/>
              <w:spacing w:before="40" w:after="160" w:line="480" w:lineRule="auto"/>
              <w:rPr>
                <w:rFonts w:ascii="宋体" w:hAnsi="宋体" w:cs="宋体"/>
                <w:color w:val="auto"/>
                <w:sz w:val="21"/>
                <w:szCs w:val="21"/>
              </w:rPr>
            </w:pPr>
            <w:r>
              <w:rPr>
                <w:rFonts w:hint="eastAsia" w:ascii="宋体" w:hAnsi="宋体" w:cs="宋体"/>
                <w:color w:val="auto"/>
                <w:sz w:val="21"/>
                <w:szCs w:val="21"/>
              </w:rPr>
              <w:t>具有本项目实施能力和良好的商业信誉</w:t>
            </w:r>
          </w:p>
        </w:tc>
        <w:tc>
          <w:tcPr>
            <w:tcW w:w="1905" w:type="dxa"/>
            <w:tcBorders>
              <w:top w:val="single" w:color="000000" w:sz="4" w:space="0"/>
              <w:left w:val="nil"/>
              <w:bottom w:val="single" w:color="000000" w:sz="4" w:space="0"/>
              <w:right w:val="single" w:color="000000" w:sz="4" w:space="0"/>
            </w:tcBorders>
            <w:vAlign w:val="center"/>
          </w:tcPr>
          <w:p w14:paraId="38E2E89E">
            <w:pPr>
              <w:autoSpaceDE w:val="0"/>
              <w:adjustRightInd w:val="0"/>
              <w:snapToGrid w:val="0"/>
              <w:spacing w:before="40" w:after="160" w:line="480" w:lineRule="auto"/>
              <w:jc w:val="center"/>
              <w:rPr>
                <w:rFonts w:ascii="宋体" w:hAnsi="宋体" w:cs="宋体"/>
                <w:color w:val="auto"/>
                <w:sz w:val="21"/>
                <w:szCs w:val="21"/>
              </w:rPr>
            </w:pPr>
            <w:r>
              <w:rPr>
                <w:rFonts w:hint="eastAsia" w:ascii="宋体" w:hAnsi="宋体" w:cs="宋体"/>
                <w:color w:val="auto"/>
                <w:sz w:val="21"/>
                <w:szCs w:val="21"/>
              </w:rPr>
              <w:t>是</w:t>
            </w:r>
          </w:p>
        </w:tc>
      </w:tr>
      <w:tr w14:paraId="341DA0D9">
        <w:tblPrEx>
          <w:tblCellMar>
            <w:top w:w="0" w:type="dxa"/>
            <w:left w:w="108" w:type="dxa"/>
            <w:bottom w:w="0" w:type="dxa"/>
            <w:right w:w="108" w:type="dxa"/>
          </w:tblCellMar>
        </w:tblPrEx>
        <w:trPr>
          <w:jc w:val="center"/>
        </w:trPr>
        <w:tc>
          <w:tcPr>
            <w:tcW w:w="1153" w:type="dxa"/>
            <w:tcBorders>
              <w:top w:val="single" w:color="000000" w:sz="4" w:space="0"/>
              <w:left w:val="single" w:color="000000" w:sz="4" w:space="0"/>
              <w:bottom w:val="single" w:color="000000" w:sz="4" w:space="0"/>
              <w:right w:val="single" w:color="000000" w:sz="4" w:space="0"/>
            </w:tcBorders>
            <w:vAlign w:val="center"/>
          </w:tcPr>
          <w:p w14:paraId="392CD615">
            <w:pPr>
              <w:autoSpaceDE w:val="0"/>
              <w:adjustRightInd w:val="0"/>
              <w:snapToGrid w:val="0"/>
              <w:spacing w:before="40" w:after="160" w:line="480" w:lineRule="auto"/>
              <w:jc w:val="center"/>
              <w:rPr>
                <w:rFonts w:ascii="宋体" w:hAnsi="宋体" w:cs="宋体"/>
                <w:color w:val="auto"/>
                <w:sz w:val="21"/>
                <w:szCs w:val="21"/>
              </w:rPr>
            </w:pPr>
            <w:r>
              <w:rPr>
                <w:rFonts w:hint="eastAsia" w:ascii="宋体" w:hAnsi="宋体" w:cs="宋体"/>
                <w:color w:val="auto"/>
                <w:sz w:val="21"/>
                <w:szCs w:val="21"/>
              </w:rPr>
              <w:t>3</w:t>
            </w:r>
          </w:p>
        </w:tc>
        <w:tc>
          <w:tcPr>
            <w:tcW w:w="4380" w:type="dxa"/>
            <w:tcBorders>
              <w:top w:val="single" w:color="000000" w:sz="4" w:space="0"/>
              <w:left w:val="nil"/>
              <w:bottom w:val="single" w:color="000000" w:sz="4" w:space="0"/>
              <w:right w:val="single" w:color="000000" w:sz="4" w:space="0"/>
            </w:tcBorders>
          </w:tcPr>
          <w:p w14:paraId="23294E8C">
            <w:pPr>
              <w:autoSpaceDE w:val="0"/>
              <w:adjustRightInd w:val="0"/>
              <w:snapToGrid w:val="0"/>
              <w:spacing w:before="40" w:after="160" w:line="480" w:lineRule="auto"/>
              <w:rPr>
                <w:rFonts w:ascii="宋体" w:hAnsi="宋体" w:cs="宋体"/>
                <w:color w:val="auto"/>
                <w:sz w:val="21"/>
                <w:szCs w:val="21"/>
              </w:rPr>
            </w:pPr>
            <w:r>
              <w:rPr>
                <w:rFonts w:hint="eastAsia" w:ascii="宋体" w:hAnsi="宋体" w:cs="宋体"/>
                <w:color w:val="auto"/>
                <w:sz w:val="21"/>
                <w:szCs w:val="21"/>
              </w:rPr>
              <w:t>具有健全的财务会计制度</w:t>
            </w:r>
          </w:p>
        </w:tc>
        <w:tc>
          <w:tcPr>
            <w:tcW w:w="1905" w:type="dxa"/>
            <w:tcBorders>
              <w:top w:val="single" w:color="000000" w:sz="4" w:space="0"/>
              <w:left w:val="nil"/>
              <w:bottom w:val="single" w:color="000000" w:sz="4" w:space="0"/>
              <w:right w:val="single" w:color="000000" w:sz="4" w:space="0"/>
            </w:tcBorders>
            <w:vAlign w:val="center"/>
          </w:tcPr>
          <w:p w14:paraId="0317CAD9">
            <w:pPr>
              <w:autoSpaceDE w:val="0"/>
              <w:adjustRightInd w:val="0"/>
              <w:snapToGrid w:val="0"/>
              <w:spacing w:before="40" w:after="160" w:line="480" w:lineRule="auto"/>
              <w:jc w:val="center"/>
              <w:rPr>
                <w:rFonts w:ascii="宋体" w:hAnsi="宋体" w:cs="宋体"/>
                <w:color w:val="auto"/>
                <w:sz w:val="21"/>
                <w:szCs w:val="21"/>
              </w:rPr>
            </w:pPr>
            <w:r>
              <w:rPr>
                <w:rFonts w:hint="eastAsia" w:ascii="宋体" w:hAnsi="宋体" w:cs="宋体"/>
                <w:color w:val="auto"/>
                <w:sz w:val="21"/>
                <w:szCs w:val="21"/>
              </w:rPr>
              <w:t>是</w:t>
            </w:r>
          </w:p>
        </w:tc>
      </w:tr>
      <w:tr w14:paraId="1FD492CF">
        <w:tblPrEx>
          <w:tblCellMar>
            <w:top w:w="0" w:type="dxa"/>
            <w:left w:w="108" w:type="dxa"/>
            <w:bottom w:w="0" w:type="dxa"/>
            <w:right w:w="108" w:type="dxa"/>
          </w:tblCellMar>
        </w:tblPrEx>
        <w:trPr>
          <w:trHeight w:val="1048" w:hRule="atLeast"/>
          <w:jc w:val="center"/>
        </w:trPr>
        <w:tc>
          <w:tcPr>
            <w:tcW w:w="1153" w:type="dxa"/>
            <w:tcBorders>
              <w:top w:val="single" w:color="000000" w:sz="4" w:space="0"/>
              <w:left w:val="single" w:color="000000" w:sz="4" w:space="0"/>
              <w:bottom w:val="single" w:color="000000" w:sz="4" w:space="0"/>
              <w:right w:val="single" w:color="000000" w:sz="4" w:space="0"/>
            </w:tcBorders>
            <w:vAlign w:val="center"/>
          </w:tcPr>
          <w:p w14:paraId="152D7F91">
            <w:pPr>
              <w:autoSpaceDE w:val="0"/>
              <w:adjustRightInd w:val="0"/>
              <w:snapToGrid w:val="0"/>
              <w:spacing w:before="40" w:after="160" w:line="480" w:lineRule="auto"/>
              <w:jc w:val="center"/>
              <w:rPr>
                <w:rFonts w:ascii="宋体" w:hAnsi="宋体" w:cs="宋体"/>
                <w:color w:val="auto"/>
                <w:sz w:val="21"/>
                <w:szCs w:val="21"/>
              </w:rPr>
            </w:pPr>
            <w:r>
              <w:rPr>
                <w:rFonts w:hint="eastAsia" w:ascii="宋体" w:hAnsi="宋体" w:cs="宋体"/>
                <w:color w:val="auto"/>
                <w:sz w:val="21"/>
                <w:szCs w:val="21"/>
              </w:rPr>
              <w:t>4</w:t>
            </w:r>
          </w:p>
        </w:tc>
        <w:tc>
          <w:tcPr>
            <w:tcW w:w="4380" w:type="dxa"/>
            <w:tcBorders>
              <w:top w:val="single" w:color="000000" w:sz="4" w:space="0"/>
              <w:left w:val="nil"/>
              <w:bottom w:val="single" w:color="000000" w:sz="4" w:space="0"/>
              <w:right w:val="single" w:color="000000" w:sz="4" w:space="0"/>
            </w:tcBorders>
          </w:tcPr>
          <w:p w14:paraId="247E4684">
            <w:pPr>
              <w:autoSpaceDE w:val="0"/>
              <w:adjustRightInd w:val="0"/>
              <w:snapToGrid w:val="0"/>
              <w:spacing w:before="40" w:after="160" w:line="480" w:lineRule="auto"/>
              <w:rPr>
                <w:rFonts w:ascii="宋体" w:hAnsi="宋体" w:cs="宋体"/>
                <w:color w:val="auto"/>
                <w:sz w:val="21"/>
                <w:szCs w:val="21"/>
              </w:rPr>
            </w:pPr>
            <w:r>
              <w:rPr>
                <w:rFonts w:hint="eastAsia" w:ascii="宋体" w:hAnsi="宋体" w:cs="宋体"/>
                <w:color w:val="auto"/>
                <w:sz w:val="21"/>
                <w:szCs w:val="21"/>
              </w:rPr>
              <w:t>有依法缴纳税收和社会保障资金的良好记录</w:t>
            </w:r>
          </w:p>
        </w:tc>
        <w:tc>
          <w:tcPr>
            <w:tcW w:w="1905" w:type="dxa"/>
            <w:tcBorders>
              <w:top w:val="single" w:color="000000" w:sz="4" w:space="0"/>
              <w:left w:val="nil"/>
              <w:bottom w:val="single" w:color="000000" w:sz="4" w:space="0"/>
              <w:right w:val="single" w:color="000000" w:sz="4" w:space="0"/>
            </w:tcBorders>
            <w:vAlign w:val="center"/>
          </w:tcPr>
          <w:p w14:paraId="65F54A60">
            <w:pPr>
              <w:autoSpaceDE w:val="0"/>
              <w:adjustRightInd w:val="0"/>
              <w:snapToGrid w:val="0"/>
              <w:spacing w:before="40" w:after="160" w:line="480" w:lineRule="auto"/>
              <w:jc w:val="center"/>
              <w:rPr>
                <w:rFonts w:ascii="宋体" w:hAnsi="宋体" w:cs="宋体"/>
                <w:color w:val="auto"/>
                <w:sz w:val="21"/>
                <w:szCs w:val="21"/>
              </w:rPr>
            </w:pPr>
            <w:r>
              <w:rPr>
                <w:rFonts w:hint="eastAsia" w:ascii="宋体" w:hAnsi="宋体" w:cs="宋体"/>
                <w:color w:val="auto"/>
                <w:sz w:val="21"/>
                <w:szCs w:val="21"/>
              </w:rPr>
              <w:t>是</w:t>
            </w:r>
          </w:p>
        </w:tc>
      </w:tr>
    </w:tbl>
    <w:p w14:paraId="10AFA370">
      <w:pPr>
        <w:spacing w:line="360" w:lineRule="auto"/>
        <w:ind w:firstLine="420" w:firstLineChars="200"/>
        <w:rPr>
          <w:rFonts w:ascii="宋体" w:hAnsi="宋体" w:cs="宋体"/>
          <w:color w:val="auto"/>
          <w:sz w:val="21"/>
          <w:szCs w:val="21"/>
        </w:rPr>
      </w:pPr>
      <w:r>
        <w:rPr>
          <w:rFonts w:hint="eastAsia" w:ascii="宋体" w:hAnsi="宋体" w:cs="宋体"/>
          <w:color w:val="auto"/>
          <w:sz w:val="21"/>
          <w:szCs w:val="21"/>
        </w:rPr>
        <w:t xml:space="preserve">   </w:t>
      </w:r>
    </w:p>
    <w:p w14:paraId="2F431FCF">
      <w:pPr>
        <w:spacing w:line="360" w:lineRule="auto"/>
        <w:ind w:firstLine="420" w:firstLineChars="200"/>
        <w:rPr>
          <w:rFonts w:ascii="宋体" w:hAnsi="宋体" w:cs="宋体"/>
          <w:color w:val="auto"/>
          <w:sz w:val="21"/>
          <w:szCs w:val="21"/>
        </w:rPr>
      </w:pPr>
      <w:r>
        <w:rPr>
          <w:rFonts w:hint="eastAsia" w:ascii="宋体" w:hAnsi="宋体" w:cs="宋体"/>
          <w:color w:val="auto"/>
          <w:sz w:val="21"/>
          <w:szCs w:val="21"/>
        </w:rPr>
        <w:t xml:space="preserve"> 响应人承诺：遵守《中华人民共和国政府采购法》第二十二、七十七条和《中华人民共和国政府采购法实施条例》第十七条之规定，如有违反，依法接受相应处罚。</w:t>
      </w:r>
    </w:p>
    <w:p w14:paraId="22DABE46">
      <w:pPr>
        <w:pStyle w:val="3"/>
        <w:rPr>
          <w:rFonts w:hint="default" w:ascii="宋体" w:hAnsi="宋体" w:eastAsia="宋体" w:cs="宋体"/>
          <w:color w:val="auto"/>
          <w:sz w:val="21"/>
          <w:szCs w:val="21"/>
        </w:rPr>
      </w:pPr>
    </w:p>
    <w:p w14:paraId="79640F66">
      <w:pPr>
        <w:rPr>
          <w:color w:val="auto"/>
        </w:rPr>
      </w:pPr>
    </w:p>
    <w:p w14:paraId="30B84F3D">
      <w:pPr>
        <w:spacing w:line="460" w:lineRule="exact"/>
        <w:ind w:firstLine="420" w:firstLineChars="200"/>
        <w:rPr>
          <w:rFonts w:ascii="宋体" w:hAnsi="宋体" w:cs="宋体"/>
          <w:color w:val="auto"/>
          <w:sz w:val="21"/>
          <w:szCs w:val="21"/>
        </w:rPr>
      </w:pPr>
      <w:r>
        <w:rPr>
          <w:rFonts w:hint="eastAsia" w:ascii="宋体" w:hAnsi="宋体" w:cs="宋体"/>
          <w:color w:val="auto"/>
          <w:sz w:val="21"/>
          <w:szCs w:val="21"/>
        </w:rPr>
        <w:t xml:space="preserve">响应人（盖章）：                 </w:t>
      </w:r>
    </w:p>
    <w:p w14:paraId="55D19A14">
      <w:pPr>
        <w:spacing w:line="460" w:lineRule="exact"/>
        <w:ind w:firstLine="420" w:firstLineChars="200"/>
        <w:rPr>
          <w:rFonts w:ascii="宋体" w:hAnsi="宋体" w:cs="宋体"/>
          <w:color w:val="auto"/>
          <w:sz w:val="21"/>
          <w:szCs w:val="21"/>
        </w:rPr>
      </w:pPr>
      <w:r>
        <w:rPr>
          <w:rFonts w:hint="eastAsia" w:ascii="宋体" w:hAnsi="宋体" w:cs="宋体"/>
          <w:color w:val="auto"/>
          <w:sz w:val="21"/>
          <w:szCs w:val="21"/>
        </w:rPr>
        <w:t>法定代表人或授权委托人（签字）：</w:t>
      </w:r>
    </w:p>
    <w:p w14:paraId="5C980A51">
      <w:pPr>
        <w:spacing w:line="460" w:lineRule="exact"/>
        <w:ind w:firstLine="420" w:firstLineChars="200"/>
        <w:rPr>
          <w:rFonts w:ascii="宋体" w:hAnsi="宋体" w:cs="宋体"/>
          <w:color w:val="auto"/>
          <w:sz w:val="21"/>
          <w:szCs w:val="21"/>
        </w:rPr>
      </w:pPr>
      <w:r>
        <w:rPr>
          <w:rFonts w:hint="eastAsia" w:ascii="宋体" w:hAnsi="宋体" w:cs="宋体"/>
          <w:color w:val="auto"/>
          <w:sz w:val="21"/>
          <w:szCs w:val="21"/>
        </w:rPr>
        <w:t>日期：______年</w:t>
      </w:r>
      <w:r>
        <w:rPr>
          <w:rFonts w:hint="eastAsia" w:ascii="宋体" w:hAnsi="宋体" w:cs="宋体"/>
          <w:color w:val="auto"/>
          <w:sz w:val="21"/>
          <w:szCs w:val="21"/>
          <w:u w:val="single"/>
        </w:rPr>
        <w:t xml:space="preserve">      </w:t>
      </w:r>
      <w:r>
        <w:rPr>
          <w:rFonts w:hint="eastAsia" w:ascii="宋体" w:hAnsi="宋体" w:cs="宋体"/>
          <w:color w:val="auto"/>
          <w:sz w:val="21"/>
          <w:szCs w:val="21"/>
        </w:rPr>
        <w:t xml:space="preserve">月  </w:t>
      </w:r>
    </w:p>
    <w:p w14:paraId="54FEFA77">
      <w:pPr>
        <w:widowControl/>
        <w:jc w:val="left"/>
        <w:rPr>
          <w:rFonts w:ascii="宋体" w:hAnsi="宋体" w:cs="宋体"/>
          <w:b/>
          <w:bCs/>
          <w:color w:val="auto"/>
          <w:sz w:val="21"/>
          <w:szCs w:val="21"/>
        </w:rPr>
      </w:pPr>
      <w:r>
        <w:rPr>
          <w:rFonts w:hint="eastAsia" w:ascii="宋体" w:hAnsi="宋体" w:cs="宋体"/>
          <w:b/>
          <w:bCs/>
          <w:color w:val="auto"/>
          <w:sz w:val="21"/>
          <w:szCs w:val="21"/>
        </w:rPr>
        <w:br w:type="page"/>
      </w:r>
    </w:p>
    <w:p w14:paraId="753CD550">
      <w:pPr>
        <w:spacing w:line="360" w:lineRule="auto"/>
        <w:outlineLvl w:val="2"/>
        <w:rPr>
          <w:rFonts w:asciiTheme="minorEastAsia" w:hAnsiTheme="minorEastAsia" w:eastAsiaTheme="minorEastAsia"/>
          <w:color w:val="auto"/>
          <w:sz w:val="24"/>
        </w:rPr>
      </w:pPr>
      <w:r>
        <w:rPr>
          <w:rFonts w:hint="eastAsia" w:asciiTheme="minorEastAsia" w:hAnsiTheme="minorEastAsia" w:eastAsiaTheme="minorEastAsia"/>
          <w:color w:val="auto"/>
          <w:sz w:val="24"/>
        </w:rPr>
        <w:t>8</w:t>
      </w:r>
      <w:r>
        <w:rPr>
          <w:rFonts w:asciiTheme="minorEastAsia" w:hAnsiTheme="minorEastAsia" w:eastAsiaTheme="minorEastAsia"/>
          <w:color w:val="auto"/>
          <w:sz w:val="24"/>
        </w:rPr>
        <w:t xml:space="preserve"> 采购需求偏离表</w:t>
      </w:r>
    </w:p>
    <w:p w14:paraId="6FDB6905">
      <w:pPr>
        <w:jc w:val="center"/>
        <w:rPr>
          <w:rFonts w:asciiTheme="minorEastAsia" w:hAnsiTheme="minorEastAsia" w:eastAsiaTheme="minorEastAsia"/>
          <w:color w:val="auto"/>
          <w:sz w:val="36"/>
          <w:szCs w:val="36"/>
        </w:rPr>
      </w:pPr>
      <w:r>
        <w:rPr>
          <w:rFonts w:hint="eastAsia" w:asciiTheme="minorEastAsia" w:hAnsiTheme="minorEastAsia" w:eastAsiaTheme="minorEastAsia"/>
          <w:b/>
          <w:color w:val="auto"/>
          <w:sz w:val="24"/>
          <w:szCs w:val="24"/>
        </w:rPr>
        <w:t>采购需求偏离表</w:t>
      </w:r>
    </w:p>
    <w:p w14:paraId="56207F75">
      <w:pPr>
        <w:tabs>
          <w:tab w:val="left" w:pos="1800"/>
          <w:tab w:val="left" w:pos="5580"/>
        </w:tabs>
        <w:spacing w:line="360" w:lineRule="auto"/>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项目编号：JSXD2024-014号</w:t>
      </w:r>
    </w:p>
    <w:p w14:paraId="328CC8DC">
      <w:pPr>
        <w:tabs>
          <w:tab w:val="left" w:pos="1800"/>
          <w:tab w:val="left" w:pos="5580"/>
        </w:tabs>
        <w:spacing w:line="360" w:lineRule="auto"/>
        <w:jc w:val="left"/>
        <w:rPr>
          <w:rFonts w:asciiTheme="minorEastAsia" w:hAnsiTheme="minorEastAsia" w:eastAsiaTheme="minorEastAsia"/>
          <w:color w:val="auto"/>
          <w:sz w:val="24"/>
        </w:rPr>
      </w:pPr>
      <w:r>
        <w:rPr>
          <w:rFonts w:asciiTheme="minorEastAsia" w:hAnsiTheme="minorEastAsia" w:eastAsiaTheme="minorEastAsia"/>
          <w:color w:val="auto"/>
          <w:sz w:val="24"/>
        </w:rPr>
        <w:t>项目名称：</w:t>
      </w:r>
    </w:p>
    <w:tbl>
      <w:tblPr>
        <w:tblStyle w:val="27"/>
        <w:tblW w:w="96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482"/>
        <w:gridCol w:w="2384"/>
        <w:gridCol w:w="2126"/>
        <w:gridCol w:w="1875"/>
        <w:gridCol w:w="1009"/>
      </w:tblGrid>
      <w:tr w14:paraId="12A9E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775" w:type="dxa"/>
            <w:vAlign w:val="center"/>
          </w:tcPr>
          <w:p w14:paraId="15B0DC3E">
            <w:pPr>
              <w:adjustRightInd w:val="0"/>
              <w:snapToGrid w:val="0"/>
              <w:jc w:val="center"/>
              <w:rPr>
                <w:rFonts w:asciiTheme="minorEastAsia" w:hAnsiTheme="minorEastAsia" w:eastAsiaTheme="minorEastAsia"/>
                <w:color w:val="auto"/>
                <w:sz w:val="24"/>
              </w:rPr>
            </w:pPr>
            <w:r>
              <w:rPr>
                <w:rFonts w:asciiTheme="minorEastAsia" w:hAnsiTheme="minorEastAsia" w:eastAsiaTheme="minorEastAsia"/>
                <w:color w:val="auto"/>
                <w:sz w:val="24"/>
              </w:rPr>
              <w:t>序号</w:t>
            </w:r>
          </w:p>
        </w:tc>
        <w:tc>
          <w:tcPr>
            <w:tcW w:w="1482" w:type="dxa"/>
            <w:vAlign w:val="center"/>
          </w:tcPr>
          <w:p w14:paraId="36882C9B">
            <w:pPr>
              <w:adjustRightInd w:val="0"/>
              <w:snapToGrid w:val="0"/>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磋商文件</w:t>
            </w:r>
            <w:r>
              <w:rPr>
                <w:rFonts w:asciiTheme="minorEastAsia" w:hAnsiTheme="minorEastAsia" w:eastAsiaTheme="minorEastAsia"/>
                <w:color w:val="auto"/>
                <w:sz w:val="24"/>
              </w:rPr>
              <w:t>条目号(页码)</w:t>
            </w:r>
          </w:p>
        </w:tc>
        <w:tc>
          <w:tcPr>
            <w:tcW w:w="2384" w:type="dxa"/>
            <w:vAlign w:val="center"/>
          </w:tcPr>
          <w:p w14:paraId="7C6F749E">
            <w:pPr>
              <w:adjustRightInd w:val="0"/>
              <w:snapToGrid w:val="0"/>
              <w:jc w:val="center"/>
              <w:rPr>
                <w:rFonts w:asciiTheme="minorEastAsia" w:hAnsiTheme="minorEastAsia" w:eastAsiaTheme="minorEastAsia"/>
                <w:color w:val="auto"/>
                <w:sz w:val="24"/>
              </w:rPr>
            </w:pPr>
            <w:r>
              <w:rPr>
                <w:rFonts w:hint="eastAsia" w:asciiTheme="minorEastAsia" w:hAnsiTheme="minorEastAsia" w:eastAsiaTheme="minorEastAsia"/>
                <w:color w:val="auto"/>
                <w:sz w:val="24"/>
              </w:rPr>
              <w:t>磋商文件</w:t>
            </w:r>
            <w:r>
              <w:rPr>
                <w:rFonts w:asciiTheme="minorEastAsia" w:hAnsiTheme="minorEastAsia" w:eastAsiaTheme="minorEastAsia"/>
                <w:color w:val="auto"/>
                <w:sz w:val="24"/>
              </w:rPr>
              <w:t>要求</w:t>
            </w:r>
          </w:p>
        </w:tc>
        <w:tc>
          <w:tcPr>
            <w:tcW w:w="2126" w:type="dxa"/>
            <w:vAlign w:val="center"/>
          </w:tcPr>
          <w:p w14:paraId="470D7EAA">
            <w:pPr>
              <w:adjustRightInd w:val="0"/>
              <w:snapToGrid w:val="0"/>
              <w:jc w:val="center"/>
              <w:rPr>
                <w:rFonts w:asciiTheme="minorEastAsia" w:hAnsiTheme="minorEastAsia" w:eastAsiaTheme="minorEastAsia"/>
                <w:color w:val="auto"/>
                <w:sz w:val="24"/>
              </w:rPr>
            </w:pPr>
            <w:r>
              <w:rPr>
                <w:rFonts w:asciiTheme="minorEastAsia" w:hAnsiTheme="minorEastAsia" w:eastAsiaTheme="minorEastAsia"/>
                <w:color w:val="auto"/>
                <w:sz w:val="24"/>
              </w:rPr>
              <w:t>响应内容</w:t>
            </w:r>
          </w:p>
        </w:tc>
        <w:tc>
          <w:tcPr>
            <w:tcW w:w="1875" w:type="dxa"/>
            <w:vAlign w:val="center"/>
          </w:tcPr>
          <w:p w14:paraId="3C67A6BB">
            <w:pPr>
              <w:adjustRightInd w:val="0"/>
              <w:snapToGrid w:val="0"/>
              <w:jc w:val="center"/>
              <w:rPr>
                <w:rFonts w:asciiTheme="minorEastAsia" w:hAnsiTheme="minorEastAsia" w:eastAsiaTheme="minorEastAsia"/>
                <w:color w:val="auto"/>
                <w:sz w:val="24"/>
              </w:rPr>
            </w:pPr>
            <w:r>
              <w:rPr>
                <w:rFonts w:asciiTheme="minorEastAsia" w:hAnsiTheme="minorEastAsia" w:eastAsiaTheme="minorEastAsia"/>
                <w:color w:val="auto"/>
                <w:sz w:val="24"/>
              </w:rPr>
              <w:t>偏离情况</w:t>
            </w:r>
          </w:p>
          <w:p w14:paraId="43F2463C">
            <w:pPr>
              <w:adjustRightInd w:val="0"/>
              <w:snapToGrid w:val="0"/>
              <w:jc w:val="center"/>
              <w:rPr>
                <w:rFonts w:asciiTheme="minorEastAsia" w:hAnsiTheme="minorEastAsia" w:eastAsiaTheme="minorEastAsia"/>
                <w:color w:val="auto"/>
                <w:sz w:val="24"/>
              </w:rPr>
            </w:pPr>
            <w:r>
              <w:rPr>
                <w:rFonts w:asciiTheme="minorEastAsia" w:hAnsiTheme="minorEastAsia" w:eastAsiaTheme="minorEastAsia"/>
                <w:color w:val="auto"/>
                <w:sz w:val="24"/>
                <w:szCs w:val="21"/>
              </w:rPr>
              <w:t>（据实填写）</w:t>
            </w:r>
          </w:p>
        </w:tc>
        <w:tc>
          <w:tcPr>
            <w:tcW w:w="1009" w:type="dxa"/>
            <w:vAlign w:val="center"/>
          </w:tcPr>
          <w:p w14:paraId="188A0CEF">
            <w:pPr>
              <w:adjustRightInd w:val="0"/>
              <w:snapToGrid w:val="0"/>
              <w:jc w:val="center"/>
              <w:rPr>
                <w:rFonts w:asciiTheme="minorEastAsia" w:hAnsiTheme="minorEastAsia" w:eastAsiaTheme="minorEastAsia"/>
                <w:color w:val="auto"/>
                <w:sz w:val="24"/>
              </w:rPr>
            </w:pPr>
            <w:r>
              <w:rPr>
                <w:rFonts w:asciiTheme="minorEastAsia" w:hAnsiTheme="minorEastAsia" w:eastAsiaTheme="minorEastAsia"/>
                <w:color w:val="auto"/>
                <w:sz w:val="24"/>
              </w:rPr>
              <w:t>说明</w:t>
            </w:r>
          </w:p>
        </w:tc>
      </w:tr>
      <w:tr w14:paraId="691CA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308C6971">
            <w:pPr>
              <w:adjustRightInd w:val="0"/>
              <w:snapToGrid w:val="0"/>
              <w:jc w:val="center"/>
              <w:rPr>
                <w:rFonts w:asciiTheme="minorEastAsia" w:hAnsiTheme="minorEastAsia" w:eastAsiaTheme="minorEastAsia"/>
                <w:color w:val="auto"/>
                <w:sz w:val="24"/>
              </w:rPr>
            </w:pPr>
          </w:p>
        </w:tc>
        <w:tc>
          <w:tcPr>
            <w:tcW w:w="1482" w:type="dxa"/>
            <w:vAlign w:val="center"/>
          </w:tcPr>
          <w:p w14:paraId="4A81E963">
            <w:pPr>
              <w:adjustRightInd w:val="0"/>
              <w:snapToGrid w:val="0"/>
              <w:jc w:val="center"/>
              <w:rPr>
                <w:rFonts w:asciiTheme="minorEastAsia" w:hAnsiTheme="minorEastAsia" w:eastAsiaTheme="minorEastAsia"/>
                <w:color w:val="auto"/>
                <w:sz w:val="24"/>
              </w:rPr>
            </w:pPr>
          </w:p>
        </w:tc>
        <w:tc>
          <w:tcPr>
            <w:tcW w:w="2384" w:type="dxa"/>
            <w:vAlign w:val="center"/>
          </w:tcPr>
          <w:p w14:paraId="36C4C767">
            <w:pPr>
              <w:adjustRightInd w:val="0"/>
              <w:snapToGrid w:val="0"/>
              <w:jc w:val="center"/>
              <w:rPr>
                <w:rFonts w:asciiTheme="minorEastAsia" w:hAnsiTheme="minorEastAsia" w:eastAsiaTheme="minorEastAsia"/>
                <w:color w:val="auto"/>
                <w:sz w:val="24"/>
              </w:rPr>
            </w:pPr>
          </w:p>
        </w:tc>
        <w:tc>
          <w:tcPr>
            <w:tcW w:w="2126" w:type="dxa"/>
            <w:vAlign w:val="center"/>
          </w:tcPr>
          <w:p w14:paraId="4842C5A2">
            <w:pPr>
              <w:adjustRightInd w:val="0"/>
              <w:snapToGrid w:val="0"/>
              <w:jc w:val="center"/>
              <w:rPr>
                <w:rFonts w:asciiTheme="minorEastAsia" w:hAnsiTheme="minorEastAsia" w:eastAsiaTheme="minorEastAsia"/>
                <w:color w:val="auto"/>
                <w:sz w:val="24"/>
              </w:rPr>
            </w:pPr>
          </w:p>
        </w:tc>
        <w:tc>
          <w:tcPr>
            <w:tcW w:w="1875" w:type="dxa"/>
            <w:vAlign w:val="center"/>
          </w:tcPr>
          <w:p w14:paraId="62540601">
            <w:pPr>
              <w:adjustRightInd w:val="0"/>
              <w:snapToGrid w:val="0"/>
              <w:jc w:val="center"/>
              <w:rPr>
                <w:rFonts w:asciiTheme="minorEastAsia" w:hAnsiTheme="minorEastAsia" w:eastAsiaTheme="minorEastAsia"/>
                <w:color w:val="auto"/>
                <w:sz w:val="24"/>
              </w:rPr>
            </w:pPr>
          </w:p>
        </w:tc>
        <w:tc>
          <w:tcPr>
            <w:tcW w:w="1009" w:type="dxa"/>
            <w:vAlign w:val="center"/>
          </w:tcPr>
          <w:p w14:paraId="7A85D187">
            <w:pPr>
              <w:adjustRightInd w:val="0"/>
              <w:snapToGrid w:val="0"/>
              <w:jc w:val="center"/>
              <w:rPr>
                <w:rFonts w:asciiTheme="minorEastAsia" w:hAnsiTheme="minorEastAsia" w:eastAsiaTheme="minorEastAsia"/>
                <w:color w:val="auto"/>
                <w:sz w:val="24"/>
              </w:rPr>
            </w:pPr>
          </w:p>
        </w:tc>
      </w:tr>
      <w:tr w14:paraId="10A97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6825FF8B">
            <w:pPr>
              <w:adjustRightInd w:val="0"/>
              <w:snapToGrid w:val="0"/>
              <w:jc w:val="center"/>
              <w:rPr>
                <w:rFonts w:asciiTheme="minorEastAsia" w:hAnsiTheme="minorEastAsia" w:eastAsiaTheme="minorEastAsia"/>
                <w:color w:val="auto"/>
                <w:sz w:val="24"/>
              </w:rPr>
            </w:pPr>
          </w:p>
        </w:tc>
        <w:tc>
          <w:tcPr>
            <w:tcW w:w="1482" w:type="dxa"/>
            <w:vAlign w:val="center"/>
          </w:tcPr>
          <w:p w14:paraId="02810A56">
            <w:pPr>
              <w:adjustRightInd w:val="0"/>
              <w:snapToGrid w:val="0"/>
              <w:jc w:val="center"/>
              <w:rPr>
                <w:rFonts w:asciiTheme="minorEastAsia" w:hAnsiTheme="minorEastAsia" w:eastAsiaTheme="minorEastAsia"/>
                <w:color w:val="auto"/>
                <w:sz w:val="24"/>
              </w:rPr>
            </w:pPr>
          </w:p>
        </w:tc>
        <w:tc>
          <w:tcPr>
            <w:tcW w:w="2384" w:type="dxa"/>
            <w:vAlign w:val="center"/>
          </w:tcPr>
          <w:p w14:paraId="0EC2D90D">
            <w:pPr>
              <w:adjustRightInd w:val="0"/>
              <w:snapToGrid w:val="0"/>
              <w:jc w:val="center"/>
              <w:rPr>
                <w:rFonts w:asciiTheme="minorEastAsia" w:hAnsiTheme="minorEastAsia" w:eastAsiaTheme="minorEastAsia"/>
                <w:color w:val="auto"/>
                <w:sz w:val="24"/>
              </w:rPr>
            </w:pPr>
          </w:p>
        </w:tc>
        <w:tc>
          <w:tcPr>
            <w:tcW w:w="2126" w:type="dxa"/>
            <w:vAlign w:val="center"/>
          </w:tcPr>
          <w:p w14:paraId="7C3CF8F3">
            <w:pPr>
              <w:adjustRightInd w:val="0"/>
              <w:snapToGrid w:val="0"/>
              <w:jc w:val="center"/>
              <w:rPr>
                <w:rFonts w:asciiTheme="minorEastAsia" w:hAnsiTheme="minorEastAsia" w:eastAsiaTheme="minorEastAsia"/>
                <w:color w:val="auto"/>
                <w:sz w:val="24"/>
              </w:rPr>
            </w:pPr>
          </w:p>
        </w:tc>
        <w:tc>
          <w:tcPr>
            <w:tcW w:w="1875" w:type="dxa"/>
            <w:vAlign w:val="center"/>
          </w:tcPr>
          <w:p w14:paraId="3C4EC074">
            <w:pPr>
              <w:adjustRightInd w:val="0"/>
              <w:snapToGrid w:val="0"/>
              <w:jc w:val="center"/>
              <w:rPr>
                <w:rFonts w:asciiTheme="minorEastAsia" w:hAnsiTheme="minorEastAsia" w:eastAsiaTheme="minorEastAsia"/>
                <w:color w:val="auto"/>
                <w:sz w:val="24"/>
              </w:rPr>
            </w:pPr>
          </w:p>
        </w:tc>
        <w:tc>
          <w:tcPr>
            <w:tcW w:w="1009" w:type="dxa"/>
            <w:vAlign w:val="center"/>
          </w:tcPr>
          <w:p w14:paraId="1D78A9C6">
            <w:pPr>
              <w:adjustRightInd w:val="0"/>
              <w:snapToGrid w:val="0"/>
              <w:jc w:val="center"/>
              <w:rPr>
                <w:rFonts w:asciiTheme="minorEastAsia" w:hAnsiTheme="minorEastAsia" w:eastAsiaTheme="minorEastAsia"/>
                <w:color w:val="auto"/>
                <w:sz w:val="24"/>
              </w:rPr>
            </w:pPr>
          </w:p>
        </w:tc>
      </w:tr>
      <w:tr w14:paraId="3A9CC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2953C249">
            <w:pPr>
              <w:adjustRightInd w:val="0"/>
              <w:snapToGrid w:val="0"/>
              <w:jc w:val="center"/>
              <w:rPr>
                <w:rFonts w:asciiTheme="minorEastAsia" w:hAnsiTheme="minorEastAsia" w:eastAsiaTheme="minorEastAsia"/>
                <w:color w:val="auto"/>
                <w:sz w:val="24"/>
              </w:rPr>
            </w:pPr>
          </w:p>
        </w:tc>
        <w:tc>
          <w:tcPr>
            <w:tcW w:w="1482" w:type="dxa"/>
            <w:vAlign w:val="center"/>
          </w:tcPr>
          <w:p w14:paraId="525E5BA5">
            <w:pPr>
              <w:adjustRightInd w:val="0"/>
              <w:snapToGrid w:val="0"/>
              <w:jc w:val="center"/>
              <w:rPr>
                <w:rFonts w:asciiTheme="minorEastAsia" w:hAnsiTheme="minorEastAsia" w:eastAsiaTheme="minorEastAsia"/>
                <w:color w:val="auto"/>
                <w:sz w:val="24"/>
              </w:rPr>
            </w:pPr>
          </w:p>
        </w:tc>
        <w:tc>
          <w:tcPr>
            <w:tcW w:w="2384" w:type="dxa"/>
            <w:vAlign w:val="center"/>
          </w:tcPr>
          <w:p w14:paraId="06FCCAF0">
            <w:pPr>
              <w:adjustRightInd w:val="0"/>
              <w:snapToGrid w:val="0"/>
              <w:jc w:val="center"/>
              <w:rPr>
                <w:rFonts w:asciiTheme="minorEastAsia" w:hAnsiTheme="minorEastAsia" w:eastAsiaTheme="minorEastAsia"/>
                <w:color w:val="auto"/>
                <w:sz w:val="24"/>
              </w:rPr>
            </w:pPr>
          </w:p>
        </w:tc>
        <w:tc>
          <w:tcPr>
            <w:tcW w:w="2126" w:type="dxa"/>
            <w:vAlign w:val="center"/>
          </w:tcPr>
          <w:p w14:paraId="3B2A3E7D">
            <w:pPr>
              <w:adjustRightInd w:val="0"/>
              <w:snapToGrid w:val="0"/>
              <w:jc w:val="center"/>
              <w:rPr>
                <w:rFonts w:asciiTheme="minorEastAsia" w:hAnsiTheme="minorEastAsia" w:eastAsiaTheme="minorEastAsia"/>
                <w:color w:val="auto"/>
                <w:sz w:val="24"/>
              </w:rPr>
            </w:pPr>
          </w:p>
        </w:tc>
        <w:tc>
          <w:tcPr>
            <w:tcW w:w="1875" w:type="dxa"/>
            <w:vAlign w:val="center"/>
          </w:tcPr>
          <w:p w14:paraId="017E3E81">
            <w:pPr>
              <w:adjustRightInd w:val="0"/>
              <w:snapToGrid w:val="0"/>
              <w:jc w:val="center"/>
              <w:rPr>
                <w:rFonts w:asciiTheme="minorEastAsia" w:hAnsiTheme="minorEastAsia" w:eastAsiaTheme="minorEastAsia"/>
                <w:color w:val="auto"/>
                <w:sz w:val="24"/>
              </w:rPr>
            </w:pPr>
          </w:p>
        </w:tc>
        <w:tc>
          <w:tcPr>
            <w:tcW w:w="1009" w:type="dxa"/>
            <w:vAlign w:val="center"/>
          </w:tcPr>
          <w:p w14:paraId="3693DD6A">
            <w:pPr>
              <w:adjustRightInd w:val="0"/>
              <w:snapToGrid w:val="0"/>
              <w:jc w:val="center"/>
              <w:rPr>
                <w:rFonts w:asciiTheme="minorEastAsia" w:hAnsiTheme="minorEastAsia" w:eastAsiaTheme="minorEastAsia"/>
                <w:color w:val="auto"/>
                <w:sz w:val="24"/>
              </w:rPr>
            </w:pPr>
          </w:p>
        </w:tc>
      </w:tr>
      <w:tr w14:paraId="2C0CB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46190097">
            <w:pPr>
              <w:adjustRightInd w:val="0"/>
              <w:snapToGrid w:val="0"/>
              <w:jc w:val="center"/>
              <w:rPr>
                <w:rFonts w:asciiTheme="minorEastAsia" w:hAnsiTheme="minorEastAsia" w:eastAsiaTheme="minorEastAsia"/>
                <w:color w:val="auto"/>
                <w:sz w:val="24"/>
              </w:rPr>
            </w:pPr>
          </w:p>
        </w:tc>
        <w:tc>
          <w:tcPr>
            <w:tcW w:w="1482" w:type="dxa"/>
            <w:vAlign w:val="center"/>
          </w:tcPr>
          <w:p w14:paraId="68600653">
            <w:pPr>
              <w:adjustRightInd w:val="0"/>
              <w:snapToGrid w:val="0"/>
              <w:jc w:val="center"/>
              <w:rPr>
                <w:rFonts w:asciiTheme="minorEastAsia" w:hAnsiTheme="minorEastAsia" w:eastAsiaTheme="minorEastAsia"/>
                <w:color w:val="auto"/>
                <w:sz w:val="24"/>
              </w:rPr>
            </w:pPr>
          </w:p>
        </w:tc>
        <w:tc>
          <w:tcPr>
            <w:tcW w:w="2384" w:type="dxa"/>
            <w:vAlign w:val="center"/>
          </w:tcPr>
          <w:p w14:paraId="3CF43396">
            <w:pPr>
              <w:adjustRightInd w:val="0"/>
              <w:snapToGrid w:val="0"/>
              <w:jc w:val="center"/>
              <w:rPr>
                <w:rFonts w:asciiTheme="minorEastAsia" w:hAnsiTheme="minorEastAsia" w:eastAsiaTheme="minorEastAsia"/>
                <w:color w:val="auto"/>
                <w:sz w:val="24"/>
              </w:rPr>
            </w:pPr>
          </w:p>
        </w:tc>
        <w:tc>
          <w:tcPr>
            <w:tcW w:w="2126" w:type="dxa"/>
            <w:vAlign w:val="center"/>
          </w:tcPr>
          <w:p w14:paraId="55BB298B">
            <w:pPr>
              <w:adjustRightInd w:val="0"/>
              <w:snapToGrid w:val="0"/>
              <w:jc w:val="center"/>
              <w:rPr>
                <w:rFonts w:asciiTheme="minorEastAsia" w:hAnsiTheme="minorEastAsia" w:eastAsiaTheme="minorEastAsia"/>
                <w:color w:val="auto"/>
                <w:sz w:val="24"/>
              </w:rPr>
            </w:pPr>
          </w:p>
        </w:tc>
        <w:tc>
          <w:tcPr>
            <w:tcW w:w="1875" w:type="dxa"/>
            <w:vAlign w:val="center"/>
          </w:tcPr>
          <w:p w14:paraId="0C4CFE43">
            <w:pPr>
              <w:adjustRightInd w:val="0"/>
              <w:snapToGrid w:val="0"/>
              <w:jc w:val="center"/>
              <w:rPr>
                <w:rFonts w:asciiTheme="minorEastAsia" w:hAnsiTheme="minorEastAsia" w:eastAsiaTheme="minorEastAsia"/>
                <w:color w:val="auto"/>
                <w:sz w:val="24"/>
              </w:rPr>
            </w:pPr>
          </w:p>
        </w:tc>
        <w:tc>
          <w:tcPr>
            <w:tcW w:w="1009" w:type="dxa"/>
            <w:vAlign w:val="center"/>
          </w:tcPr>
          <w:p w14:paraId="6AC048CE">
            <w:pPr>
              <w:adjustRightInd w:val="0"/>
              <w:snapToGrid w:val="0"/>
              <w:jc w:val="center"/>
              <w:rPr>
                <w:rFonts w:asciiTheme="minorEastAsia" w:hAnsiTheme="minorEastAsia" w:eastAsiaTheme="minorEastAsia"/>
                <w:color w:val="auto"/>
                <w:sz w:val="24"/>
              </w:rPr>
            </w:pPr>
          </w:p>
        </w:tc>
      </w:tr>
      <w:tr w14:paraId="42070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6748DC68">
            <w:pPr>
              <w:adjustRightInd w:val="0"/>
              <w:snapToGrid w:val="0"/>
              <w:jc w:val="center"/>
              <w:rPr>
                <w:rFonts w:asciiTheme="minorEastAsia" w:hAnsiTheme="minorEastAsia" w:eastAsiaTheme="minorEastAsia"/>
                <w:color w:val="auto"/>
                <w:sz w:val="24"/>
              </w:rPr>
            </w:pPr>
          </w:p>
        </w:tc>
        <w:tc>
          <w:tcPr>
            <w:tcW w:w="1482" w:type="dxa"/>
            <w:vAlign w:val="center"/>
          </w:tcPr>
          <w:p w14:paraId="712EA0A9">
            <w:pPr>
              <w:adjustRightInd w:val="0"/>
              <w:snapToGrid w:val="0"/>
              <w:jc w:val="center"/>
              <w:rPr>
                <w:rFonts w:asciiTheme="minorEastAsia" w:hAnsiTheme="minorEastAsia" w:eastAsiaTheme="minorEastAsia"/>
                <w:color w:val="auto"/>
                <w:sz w:val="24"/>
              </w:rPr>
            </w:pPr>
          </w:p>
        </w:tc>
        <w:tc>
          <w:tcPr>
            <w:tcW w:w="2384" w:type="dxa"/>
            <w:vAlign w:val="center"/>
          </w:tcPr>
          <w:p w14:paraId="786AEF2B">
            <w:pPr>
              <w:adjustRightInd w:val="0"/>
              <w:snapToGrid w:val="0"/>
              <w:jc w:val="center"/>
              <w:rPr>
                <w:rFonts w:asciiTheme="minorEastAsia" w:hAnsiTheme="minorEastAsia" w:eastAsiaTheme="minorEastAsia"/>
                <w:color w:val="auto"/>
                <w:sz w:val="24"/>
              </w:rPr>
            </w:pPr>
          </w:p>
        </w:tc>
        <w:tc>
          <w:tcPr>
            <w:tcW w:w="2126" w:type="dxa"/>
            <w:vAlign w:val="center"/>
          </w:tcPr>
          <w:p w14:paraId="4989F566">
            <w:pPr>
              <w:adjustRightInd w:val="0"/>
              <w:snapToGrid w:val="0"/>
              <w:jc w:val="center"/>
              <w:rPr>
                <w:rFonts w:asciiTheme="minorEastAsia" w:hAnsiTheme="minorEastAsia" w:eastAsiaTheme="minorEastAsia"/>
                <w:color w:val="auto"/>
                <w:sz w:val="24"/>
              </w:rPr>
            </w:pPr>
          </w:p>
        </w:tc>
        <w:tc>
          <w:tcPr>
            <w:tcW w:w="1875" w:type="dxa"/>
            <w:vAlign w:val="center"/>
          </w:tcPr>
          <w:p w14:paraId="13205E3A">
            <w:pPr>
              <w:adjustRightInd w:val="0"/>
              <w:snapToGrid w:val="0"/>
              <w:jc w:val="center"/>
              <w:rPr>
                <w:rFonts w:asciiTheme="minorEastAsia" w:hAnsiTheme="minorEastAsia" w:eastAsiaTheme="minorEastAsia"/>
                <w:color w:val="auto"/>
                <w:sz w:val="24"/>
              </w:rPr>
            </w:pPr>
          </w:p>
        </w:tc>
        <w:tc>
          <w:tcPr>
            <w:tcW w:w="1009" w:type="dxa"/>
            <w:vAlign w:val="center"/>
          </w:tcPr>
          <w:p w14:paraId="3CC07C41">
            <w:pPr>
              <w:adjustRightInd w:val="0"/>
              <w:snapToGrid w:val="0"/>
              <w:jc w:val="center"/>
              <w:rPr>
                <w:rFonts w:asciiTheme="minorEastAsia" w:hAnsiTheme="minorEastAsia" w:eastAsiaTheme="minorEastAsia"/>
                <w:color w:val="auto"/>
                <w:sz w:val="24"/>
              </w:rPr>
            </w:pPr>
          </w:p>
        </w:tc>
      </w:tr>
      <w:tr w14:paraId="585A6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vAlign w:val="center"/>
          </w:tcPr>
          <w:p w14:paraId="3ED6C997">
            <w:pPr>
              <w:adjustRightInd w:val="0"/>
              <w:snapToGrid w:val="0"/>
              <w:jc w:val="center"/>
              <w:rPr>
                <w:rFonts w:asciiTheme="minorEastAsia" w:hAnsiTheme="minorEastAsia" w:eastAsiaTheme="minorEastAsia"/>
                <w:color w:val="auto"/>
                <w:sz w:val="24"/>
              </w:rPr>
            </w:pPr>
          </w:p>
        </w:tc>
        <w:tc>
          <w:tcPr>
            <w:tcW w:w="1482" w:type="dxa"/>
            <w:vAlign w:val="center"/>
          </w:tcPr>
          <w:p w14:paraId="31C799B2">
            <w:pPr>
              <w:adjustRightInd w:val="0"/>
              <w:snapToGrid w:val="0"/>
              <w:jc w:val="center"/>
              <w:rPr>
                <w:rFonts w:asciiTheme="minorEastAsia" w:hAnsiTheme="minorEastAsia" w:eastAsiaTheme="minorEastAsia"/>
                <w:color w:val="auto"/>
                <w:sz w:val="24"/>
              </w:rPr>
            </w:pPr>
          </w:p>
        </w:tc>
        <w:tc>
          <w:tcPr>
            <w:tcW w:w="2384" w:type="dxa"/>
            <w:vAlign w:val="center"/>
          </w:tcPr>
          <w:p w14:paraId="0E299ABA">
            <w:pPr>
              <w:adjustRightInd w:val="0"/>
              <w:snapToGrid w:val="0"/>
              <w:jc w:val="center"/>
              <w:rPr>
                <w:rFonts w:asciiTheme="minorEastAsia" w:hAnsiTheme="minorEastAsia" w:eastAsiaTheme="minorEastAsia"/>
                <w:color w:val="auto"/>
                <w:sz w:val="24"/>
              </w:rPr>
            </w:pPr>
          </w:p>
        </w:tc>
        <w:tc>
          <w:tcPr>
            <w:tcW w:w="2126" w:type="dxa"/>
            <w:vAlign w:val="center"/>
          </w:tcPr>
          <w:p w14:paraId="6E97B484">
            <w:pPr>
              <w:adjustRightInd w:val="0"/>
              <w:snapToGrid w:val="0"/>
              <w:jc w:val="center"/>
              <w:rPr>
                <w:rFonts w:asciiTheme="minorEastAsia" w:hAnsiTheme="minorEastAsia" w:eastAsiaTheme="minorEastAsia"/>
                <w:color w:val="auto"/>
                <w:sz w:val="24"/>
              </w:rPr>
            </w:pPr>
          </w:p>
        </w:tc>
        <w:tc>
          <w:tcPr>
            <w:tcW w:w="1875" w:type="dxa"/>
            <w:vAlign w:val="center"/>
          </w:tcPr>
          <w:p w14:paraId="36C8D587">
            <w:pPr>
              <w:adjustRightInd w:val="0"/>
              <w:snapToGrid w:val="0"/>
              <w:jc w:val="center"/>
              <w:rPr>
                <w:rFonts w:asciiTheme="minorEastAsia" w:hAnsiTheme="minorEastAsia" w:eastAsiaTheme="minorEastAsia"/>
                <w:color w:val="auto"/>
                <w:sz w:val="24"/>
              </w:rPr>
            </w:pPr>
          </w:p>
        </w:tc>
        <w:tc>
          <w:tcPr>
            <w:tcW w:w="1009" w:type="dxa"/>
            <w:vAlign w:val="center"/>
          </w:tcPr>
          <w:p w14:paraId="0F615EBA">
            <w:pPr>
              <w:adjustRightInd w:val="0"/>
              <w:snapToGrid w:val="0"/>
              <w:jc w:val="center"/>
              <w:rPr>
                <w:rFonts w:asciiTheme="minorEastAsia" w:hAnsiTheme="minorEastAsia" w:eastAsiaTheme="minorEastAsia"/>
                <w:color w:val="auto"/>
                <w:sz w:val="24"/>
              </w:rPr>
            </w:pPr>
          </w:p>
        </w:tc>
      </w:tr>
    </w:tbl>
    <w:p w14:paraId="0E091396">
      <w:pPr>
        <w:tabs>
          <w:tab w:val="left" w:pos="1800"/>
          <w:tab w:val="left" w:pos="5580"/>
        </w:tabs>
        <w:spacing w:line="360" w:lineRule="auto"/>
        <w:ind w:firstLine="360" w:firstLineChars="150"/>
        <w:jc w:val="left"/>
        <w:rPr>
          <w:rFonts w:asciiTheme="minorEastAsia" w:hAnsiTheme="minorEastAsia" w:eastAsiaTheme="minorEastAsia"/>
          <w:color w:val="auto"/>
          <w:sz w:val="24"/>
          <w:u w:val="single"/>
        </w:rPr>
      </w:pPr>
    </w:p>
    <w:p w14:paraId="04E4A6E5">
      <w:pPr>
        <w:tabs>
          <w:tab w:val="left" w:pos="1800"/>
          <w:tab w:val="left" w:pos="5580"/>
        </w:tabs>
        <w:spacing w:line="360" w:lineRule="auto"/>
        <w:ind w:firstLine="360" w:firstLineChars="150"/>
        <w:jc w:val="left"/>
        <w:rPr>
          <w:rFonts w:asciiTheme="minorEastAsia" w:hAnsiTheme="minorEastAsia" w:eastAsiaTheme="minorEastAsia"/>
          <w:color w:val="auto"/>
          <w:sz w:val="24"/>
          <w:u w:val="single"/>
        </w:rPr>
      </w:pPr>
    </w:p>
    <w:p w14:paraId="773E52AD">
      <w:pPr>
        <w:tabs>
          <w:tab w:val="left" w:pos="1800"/>
          <w:tab w:val="left" w:pos="5580"/>
        </w:tabs>
        <w:jc w:val="left"/>
        <w:rPr>
          <w:rFonts w:asciiTheme="minorEastAsia" w:hAnsiTheme="minorEastAsia" w:eastAsiaTheme="minorEastAsia"/>
          <w:color w:val="auto"/>
          <w:sz w:val="24"/>
        </w:rPr>
      </w:pPr>
      <w:r>
        <w:rPr>
          <w:rFonts w:asciiTheme="minorEastAsia" w:hAnsiTheme="minorEastAsia" w:eastAsiaTheme="minorEastAsia"/>
          <w:color w:val="auto"/>
          <w:sz w:val="24"/>
        </w:rPr>
        <w:t>注：</w:t>
      </w:r>
    </w:p>
    <w:p w14:paraId="2AFD9140">
      <w:pPr>
        <w:tabs>
          <w:tab w:val="left" w:pos="1800"/>
          <w:tab w:val="left" w:pos="5580"/>
        </w:tabs>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1.</w:t>
      </w:r>
      <w:r>
        <w:rPr>
          <w:rFonts w:asciiTheme="minorEastAsia" w:hAnsiTheme="minorEastAsia" w:eastAsiaTheme="minorEastAsia"/>
          <w:color w:val="auto"/>
          <w:sz w:val="24"/>
        </w:rPr>
        <w:t>对</w:t>
      </w:r>
      <w:r>
        <w:rPr>
          <w:rFonts w:hint="eastAsia" w:asciiTheme="minorEastAsia" w:hAnsiTheme="minorEastAsia" w:eastAsiaTheme="minorEastAsia"/>
          <w:color w:val="auto"/>
          <w:sz w:val="24"/>
        </w:rPr>
        <w:t>磋商文件</w:t>
      </w:r>
      <w:r>
        <w:rPr>
          <w:rFonts w:asciiTheme="minorEastAsia" w:hAnsiTheme="minorEastAsia" w:eastAsiaTheme="minorEastAsia"/>
          <w:color w:val="auto"/>
          <w:sz w:val="24"/>
        </w:rPr>
        <w:t>中的所有商务、技术要求，除本表所列明的所有偏离外，均视作供应商已对之理解和</w:t>
      </w:r>
      <w:r>
        <w:rPr>
          <w:rFonts w:hint="eastAsia" w:asciiTheme="minorEastAsia" w:hAnsiTheme="minorEastAsia" w:eastAsiaTheme="minorEastAsia"/>
          <w:color w:val="auto"/>
          <w:sz w:val="24"/>
        </w:rPr>
        <w:t>响应</w:t>
      </w:r>
      <w:r>
        <w:rPr>
          <w:rFonts w:asciiTheme="minorEastAsia" w:hAnsiTheme="minorEastAsia" w:eastAsiaTheme="minorEastAsia"/>
          <w:color w:val="auto"/>
          <w:sz w:val="24"/>
        </w:rPr>
        <w:t>。此表中若无任何文字说明，内容为空白，则</w:t>
      </w:r>
      <w:r>
        <w:rPr>
          <w:rFonts w:asciiTheme="minorEastAsia" w:hAnsiTheme="minorEastAsia" w:eastAsiaTheme="minorEastAsia"/>
          <w:b/>
          <w:color w:val="auto"/>
          <w:sz w:val="24"/>
        </w:rPr>
        <w:t>响应无效</w:t>
      </w:r>
      <w:r>
        <w:rPr>
          <w:rFonts w:asciiTheme="minorEastAsia" w:hAnsiTheme="minorEastAsia" w:eastAsiaTheme="minorEastAsia"/>
          <w:color w:val="auto"/>
          <w:sz w:val="24"/>
        </w:rPr>
        <w:t>。</w:t>
      </w:r>
    </w:p>
    <w:p w14:paraId="57A65582">
      <w:pPr>
        <w:tabs>
          <w:tab w:val="left" w:pos="1800"/>
          <w:tab w:val="left" w:pos="5580"/>
        </w:tabs>
        <w:jc w:val="left"/>
        <w:rPr>
          <w:rFonts w:asciiTheme="minorEastAsia" w:hAnsiTheme="minorEastAsia" w:eastAsiaTheme="minorEastAsia"/>
          <w:color w:val="auto"/>
          <w:sz w:val="24"/>
        </w:rPr>
      </w:pPr>
      <w:r>
        <w:rPr>
          <w:rFonts w:asciiTheme="minorEastAsia" w:hAnsiTheme="minorEastAsia" w:eastAsiaTheme="minorEastAsia"/>
          <w:color w:val="auto"/>
          <w:sz w:val="24"/>
        </w:rPr>
        <w:t>2.</w:t>
      </w:r>
      <w:r>
        <w:rPr>
          <w:rFonts w:hint="eastAsia" w:asciiTheme="minorEastAsia" w:hAnsiTheme="minorEastAsia" w:eastAsiaTheme="minorEastAsia"/>
          <w:color w:val="auto"/>
          <w:sz w:val="24"/>
        </w:rPr>
        <w:t>“偏离情况”列应据实填写“正偏离”或“负偏离”或“无偏离”。</w:t>
      </w:r>
    </w:p>
    <w:p w14:paraId="5026A082">
      <w:pPr>
        <w:rPr>
          <w:rFonts w:asciiTheme="minorEastAsia" w:hAnsiTheme="minorEastAsia" w:eastAsiaTheme="minorEastAsia"/>
          <w:color w:val="auto"/>
          <w:sz w:val="24"/>
        </w:rPr>
      </w:pPr>
    </w:p>
    <w:p w14:paraId="7DE13432">
      <w:pPr>
        <w:autoSpaceDE w:val="0"/>
        <w:autoSpaceDN w:val="0"/>
        <w:adjustRightInd w:val="0"/>
        <w:snapToGrid w:val="0"/>
        <w:spacing w:before="25" w:after="25" w:line="360" w:lineRule="auto"/>
        <w:rPr>
          <w:rFonts w:asciiTheme="minorEastAsia" w:hAnsiTheme="minorEastAsia" w:eastAsiaTheme="minorEastAsia"/>
          <w:color w:val="auto"/>
          <w:sz w:val="24"/>
          <w:lang w:val="zh-CN"/>
        </w:rPr>
      </w:pPr>
      <w:r>
        <w:rPr>
          <w:rFonts w:asciiTheme="minorEastAsia" w:hAnsiTheme="minorEastAsia" w:eastAsiaTheme="minorEastAsia"/>
          <w:color w:val="auto"/>
          <w:sz w:val="24"/>
          <w:lang w:val="zh-CN"/>
        </w:rPr>
        <w:t xml:space="preserve">                  </w:t>
      </w:r>
    </w:p>
    <w:p w14:paraId="13925030">
      <w:pPr>
        <w:autoSpaceDE w:val="0"/>
        <w:autoSpaceDN w:val="0"/>
        <w:adjustRightInd w:val="0"/>
        <w:snapToGrid w:val="0"/>
        <w:spacing w:before="25" w:after="25" w:line="360" w:lineRule="auto"/>
        <w:rPr>
          <w:rFonts w:asciiTheme="minorEastAsia" w:hAnsiTheme="minorEastAsia" w:eastAsiaTheme="minorEastAsia"/>
          <w:color w:val="auto"/>
          <w:sz w:val="24"/>
          <w:lang w:val="zh-CN"/>
        </w:rPr>
      </w:pPr>
      <w:r>
        <w:rPr>
          <w:rFonts w:asciiTheme="minorEastAsia" w:hAnsiTheme="minorEastAsia" w:eastAsiaTheme="minorEastAsia"/>
          <w:color w:val="auto"/>
          <w:sz w:val="24"/>
        </w:rPr>
        <w:t>供应商名称（加盖公章）</w:t>
      </w:r>
      <w:r>
        <w:rPr>
          <w:rFonts w:asciiTheme="minorEastAsia" w:hAnsiTheme="minorEastAsia" w:eastAsiaTheme="minorEastAsia"/>
          <w:color w:val="auto"/>
          <w:sz w:val="24"/>
          <w:lang w:val="zh-CN"/>
        </w:rPr>
        <w:t>：    ____________</w:t>
      </w:r>
    </w:p>
    <w:p w14:paraId="6433CD27">
      <w:pPr>
        <w:autoSpaceDE w:val="0"/>
        <w:autoSpaceDN w:val="0"/>
        <w:adjustRightInd w:val="0"/>
        <w:snapToGrid w:val="0"/>
        <w:spacing w:before="25" w:after="25" w:line="360" w:lineRule="auto"/>
        <w:rPr>
          <w:rFonts w:asciiTheme="minorEastAsia" w:hAnsiTheme="minorEastAsia" w:eastAsiaTheme="minorEastAsia"/>
          <w:color w:val="auto"/>
          <w:sz w:val="24"/>
          <w:lang w:val="zh-CN"/>
        </w:rPr>
      </w:pPr>
      <w:r>
        <w:rPr>
          <w:rFonts w:asciiTheme="minorEastAsia" w:hAnsiTheme="minorEastAsia" w:eastAsiaTheme="minorEastAsia"/>
          <w:color w:val="auto"/>
          <w:sz w:val="24"/>
        </w:rPr>
        <w:t xml:space="preserve">日期：_____年______月______日   </w:t>
      </w:r>
    </w:p>
    <w:p w14:paraId="52F13BA2">
      <w:pPr>
        <w:widowControl/>
        <w:jc w:val="left"/>
        <w:rPr>
          <w:rFonts w:asciiTheme="minorEastAsia" w:hAnsiTheme="minorEastAsia" w:eastAsiaTheme="minorEastAsia"/>
          <w:color w:val="auto"/>
          <w:sz w:val="24"/>
        </w:rPr>
      </w:pPr>
    </w:p>
    <w:p w14:paraId="3CCC0195">
      <w:pPr>
        <w:pStyle w:val="6"/>
        <w:rPr>
          <w:color w:val="auto"/>
        </w:rPr>
      </w:pPr>
      <w:r>
        <w:rPr>
          <w:rFonts w:hint="eastAsia" w:asciiTheme="minorEastAsia" w:hAnsiTheme="minorEastAsia" w:eastAsiaTheme="minorEastAsia"/>
          <w:color w:val="auto"/>
          <w:sz w:val="24"/>
          <w:szCs w:val="20"/>
        </w:rPr>
        <w:t>9</w:t>
      </w:r>
      <w:r>
        <w:rPr>
          <w:rFonts w:asciiTheme="minorEastAsia" w:hAnsiTheme="minorEastAsia" w:eastAsiaTheme="minorEastAsia"/>
          <w:color w:val="auto"/>
          <w:sz w:val="24"/>
          <w:szCs w:val="20"/>
        </w:rPr>
        <w:t xml:space="preserve">  </w:t>
      </w:r>
      <w:r>
        <w:rPr>
          <w:rFonts w:hint="eastAsia" w:asciiTheme="minorEastAsia" w:hAnsiTheme="minorEastAsia" w:eastAsiaTheme="minorEastAsia"/>
          <w:color w:val="auto"/>
          <w:sz w:val="24"/>
          <w:szCs w:val="20"/>
        </w:rPr>
        <w:t>磋商</w:t>
      </w:r>
      <w:r>
        <w:rPr>
          <w:rFonts w:asciiTheme="minorEastAsia" w:hAnsiTheme="minorEastAsia" w:eastAsiaTheme="minorEastAsia"/>
          <w:color w:val="auto"/>
          <w:sz w:val="24"/>
          <w:szCs w:val="20"/>
        </w:rPr>
        <w:t>文件要求提供或供应商认为应附的其他材料</w:t>
      </w:r>
      <w:r>
        <w:rPr>
          <w:rFonts w:hint="eastAsia" w:asciiTheme="minorEastAsia" w:hAnsiTheme="minorEastAsia" w:eastAsiaTheme="minorEastAsia"/>
          <w:color w:val="auto"/>
          <w:sz w:val="24"/>
          <w:szCs w:val="20"/>
        </w:rPr>
        <w:t>。</w:t>
      </w:r>
      <w:bookmarkEnd w:id="55"/>
      <w:bookmarkEnd w:id="56"/>
    </w:p>
    <w:p w14:paraId="1A491E13">
      <w:pPr>
        <w:rPr>
          <w:rFonts w:ascii="宋体" w:hAnsi="宋体" w:cs="宋体"/>
          <w:color w:val="auto"/>
        </w:rPr>
      </w:pPr>
    </w:p>
    <w:sectPr>
      <w:footerReference r:id="rId6" w:type="first"/>
      <w:headerReference r:id="rId4" w:type="default"/>
      <w:footerReference r:id="rId5" w:type="default"/>
      <w:pgSz w:w="11906" w:h="16838"/>
      <w:pgMar w:top="1440" w:right="1803" w:bottom="1440" w:left="1803" w:header="851" w:footer="992" w:gutter="0"/>
      <w:cols w:space="0" w:num="1"/>
      <w:titlePg/>
      <w:docGrid w:type="lines" w:linePitch="39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monospace">
    <w:altName w:val="Times New Roman"/>
    <w:panose1 w:val="00000000000000000000"/>
    <w:charset w:val="00"/>
    <w:family w:val="auto"/>
    <w:pitch w:val="default"/>
    <w:sig w:usb0="00000000" w:usb1="00000000" w:usb2="00000000"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0000000000000000000"/>
    <w:charset w:val="86"/>
    <w:family w:val="modern"/>
    <w:pitch w:val="default"/>
    <w:sig w:usb0="00000000" w:usb1="00000000" w:usb2="00000000" w:usb3="00000000" w:csb0="00040000" w:csb1="00000000"/>
  </w:font>
  <w:font w:name="PMingLiU">
    <w:altName w:val="PMingLiU-ExtB"/>
    <w:panose1 w:val="02020500000000000000"/>
    <w:charset w:val="88"/>
    <w:family w:val="roman"/>
    <w:pitch w:val="default"/>
    <w:sig w:usb0="00000000" w:usb1="00000000" w:usb2="00000016" w:usb3="00000000" w:csb0="00100001" w:csb1="00000000"/>
  </w:font>
  <w:font w:name="Wingdings 2">
    <w:panose1 w:val="05020102010507070707"/>
    <w:charset w:val="02"/>
    <w:family w:val="roman"/>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EDA696">
    <w:pPr>
      <w:pStyle w:val="1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124B63">
                          <w:pPr>
                            <w:pStyle w:val="18"/>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51124B63">
                    <w:pPr>
                      <w:pStyle w:val="18"/>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00495A">
    <w:pPr>
      <w:pStyle w:val="18"/>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672299303"/>
                          </w:sdtPr>
                          <w:sdtContent>
                            <w:p w14:paraId="28125C28">
                              <w:pPr>
                                <w:pStyle w:val="18"/>
                                <w:jc w:val="center"/>
                              </w:pPr>
                              <w:r>
                                <w:fldChar w:fldCharType="begin"/>
                              </w:r>
                              <w:r>
                                <w:instrText xml:space="preserve">PAGE   \* MERGEFORMAT</w:instrText>
                              </w:r>
                              <w:r>
                                <w:fldChar w:fldCharType="separate"/>
                              </w:r>
                              <w:r>
                                <w:rPr>
                                  <w:lang w:val="zh-CN"/>
                                </w:rPr>
                                <w:t>45</w:t>
                              </w:r>
                              <w:r>
                                <w:fldChar w:fldCharType="end"/>
                              </w:r>
                            </w:p>
                          </w:sdtContent>
                        </w:sdt>
                        <w:p w14:paraId="76413E77">
                          <w:pPr>
                            <w:pStyle w:val="6"/>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sdt>
                    <w:sdtPr>
                      <w:id w:val="1672299303"/>
                    </w:sdtPr>
                    <w:sdtContent>
                      <w:p w14:paraId="28125C28">
                        <w:pPr>
                          <w:pStyle w:val="18"/>
                          <w:jc w:val="center"/>
                        </w:pPr>
                        <w:r>
                          <w:fldChar w:fldCharType="begin"/>
                        </w:r>
                        <w:r>
                          <w:instrText xml:space="preserve">PAGE   \* MERGEFORMAT</w:instrText>
                        </w:r>
                        <w:r>
                          <w:fldChar w:fldCharType="separate"/>
                        </w:r>
                        <w:r>
                          <w:rPr>
                            <w:lang w:val="zh-CN"/>
                          </w:rPr>
                          <w:t>45</w:t>
                        </w:r>
                        <w:r>
                          <w:fldChar w:fldCharType="end"/>
                        </w:r>
                      </w:p>
                    </w:sdtContent>
                  </w:sdt>
                  <w:p w14:paraId="76413E77">
                    <w:pPr>
                      <w:pStyle w:val="6"/>
                    </w:pPr>
                  </w:p>
                </w:txbxContent>
              </v:textbox>
            </v:shape>
          </w:pict>
        </mc:Fallback>
      </mc:AlternateContent>
    </w:r>
  </w:p>
  <w:p w14:paraId="50DC6BA1">
    <w:pPr>
      <w:pStyle w:val="3"/>
      <w:spacing w:line="14" w:lineRule="auto"/>
      <w:rPr>
        <w:rFonts w:hint="default"/>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D9531D">
    <w:pPr>
      <w:pStyle w:val="18"/>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44B3E7">
                          <w:pPr>
                            <w:pStyle w:val="18"/>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2944B3E7">
                    <w:pPr>
                      <w:pStyle w:val="18"/>
                    </w:pPr>
                    <w:r>
                      <w:fldChar w:fldCharType="begin"/>
                    </w:r>
                    <w:r>
                      <w:instrText xml:space="preserve"> PAGE  \* MERGEFORMAT </w:instrText>
                    </w:r>
                    <w:r>
                      <w:fldChar w:fldCharType="separate"/>
                    </w:r>
                    <w:r>
                      <w:t>43</w:t>
                    </w:r>
                    <w:r>
                      <w:fldChar w:fldCharType="end"/>
                    </w:r>
                  </w:p>
                </w:txbxContent>
              </v:textbox>
            </v:shape>
          </w:pict>
        </mc:Fallback>
      </mc:AlternateContent>
    </w:r>
  </w:p>
  <w:p w14:paraId="5AA9F83B">
    <w:pPr>
      <w:pStyle w:val="1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816A03">
    <w:pPr>
      <w:pStyle w:val="1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D9C090"/>
    <w:multiLevelType w:val="singleLevel"/>
    <w:tmpl w:val="B3D9C090"/>
    <w:lvl w:ilvl="0" w:tentative="0">
      <w:start w:val="1"/>
      <w:numFmt w:val="decimal"/>
      <w:lvlText w:val="%1."/>
      <w:lvlJc w:val="left"/>
      <w:pPr>
        <w:tabs>
          <w:tab w:val="left" w:pos="312"/>
        </w:tabs>
      </w:pPr>
    </w:lvl>
  </w:abstractNum>
  <w:abstractNum w:abstractNumId="1">
    <w:nsid w:val="CCCDB383"/>
    <w:multiLevelType w:val="singleLevel"/>
    <w:tmpl w:val="CCCDB383"/>
    <w:lvl w:ilvl="0" w:tentative="0">
      <w:start w:val="4"/>
      <w:numFmt w:val="chineseCounting"/>
      <w:suff w:val="nothing"/>
      <w:lvlText w:val="%1、"/>
      <w:lvlJc w:val="left"/>
      <w:rPr>
        <w:rFonts w:hint="eastAsia"/>
      </w:rPr>
    </w:lvl>
  </w:abstractNum>
  <w:abstractNum w:abstractNumId="2">
    <w:nsid w:val="16BD735B"/>
    <w:multiLevelType w:val="singleLevel"/>
    <w:tmpl w:val="16BD735B"/>
    <w:lvl w:ilvl="0" w:tentative="0">
      <w:start w:val="1"/>
      <w:numFmt w:val="decimal"/>
      <w:lvlText w:val="%1."/>
      <w:lvlJc w:val="left"/>
      <w:pPr>
        <w:tabs>
          <w:tab w:val="left" w:pos="312"/>
        </w:tabs>
      </w:pPr>
    </w:lvl>
  </w:abstractNum>
  <w:abstractNum w:abstractNumId="3">
    <w:nsid w:val="495432E9"/>
    <w:multiLevelType w:val="singleLevel"/>
    <w:tmpl w:val="495432E9"/>
    <w:lvl w:ilvl="0" w:tentative="0">
      <w:start w:val="1"/>
      <w:numFmt w:val="decimal"/>
      <w:suff w:val="nothing"/>
      <w:lvlText w:val="（%1）"/>
      <w:lvlJc w:val="left"/>
    </w:lvl>
  </w:abstractNum>
  <w:abstractNum w:abstractNumId="4">
    <w:nsid w:val="741F3B91"/>
    <w:multiLevelType w:val="singleLevel"/>
    <w:tmpl w:val="741F3B91"/>
    <w:lvl w:ilvl="0" w:tentative="0">
      <w:start w:val="6"/>
      <w:numFmt w:val="chineseCounting"/>
      <w:suff w:val="nothing"/>
      <w:lvlText w:val="%1、"/>
      <w:lvlJc w:val="left"/>
      <w:rPr>
        <w:rFonts w:hint="eastAsia"/>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documentProtection w:enforcement="0"/>
  <w:defaultTabStop w:val="420"/>
  <w:drawingGridHorizontalSpacing w:val="140"/>
  <w:drawingGridVerticalSpacing w:val="395"/>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zZDZlYTk0ZjNlNDMwYmZlZDEyZTZmZWQxYTY1MzYifQ=="/>
  </w:docVars>
  <w:rsids>
    <w:rsidRoot w:val="0021074D"/>
    <w:rsid w:val="00001285"/>
    <w:rsid w:val="00001A21"/>
    <w:rsid w:val="000025EA"/>
    <w:rsid w:val="00002BA4"/>
    <w:rsid w:val="00002E15"/>
    <w:rsid w:val="000106B0"/>
    <w:rsid w:val="00011584"/>
    <w:rsid w:val="00013654"/>
    <w:rsid w:val="0001658E"/>
    <w:rsid w:val="00017104"/>
    <w:rsid w:val="000200EF"/>
    <w:rsid w:val="00024913"/>
    <w:rsid w:val="00025610"/>
    <w:rsid w:val="00032554"/>
    <w:rsid w:val="00036E8E"/>
    <w:rsid w:val="000373D7"/>
    <w:rsid w:val="00040F1F"/>
    <w:rsid w:val="0004142B"/>
    <w:rsid w:val="00042FA6"/>
    <w:rsid w:val="00054C6D"/>
    <w:rsid w:val="00065C00"/>
    <w:rsid w:val="0007152D"/>
    <w:rsid w:val="00076791"/>
    <w:rsid w:val="00081F9C"/>
    <w:rsid w:val="0008448C"/>
    <w:rsid w:val="00084C5A"/>
    <w:rsid w:val="00091A25"/>
    <w:rsid w:val="000944FE"/>
    <w:rsid w:val="00094AB4"/>
    <w:rsid w:val="000951B3"/>
    <w:rsid w:val="000B741F"/>
    <w:rsid w:val="000C60DE"/>
    <w:rsid w:val="000D554B"/>
    <w:rsid w:val="000D69A2"/>
    <w:rsid w:val="000E3807"/>
    <w:rsid w:val="000E6335"/>
    <w:rsid w:val="000E73E4"/>
    <w:rsid w:val="000F30AE"/>
    <w:rsid w:val="000F4CF2"/>
    <w:rsid w:val="000F598C"/>
    <w:rsid w:val="000F7234"/>
    <w:rsid w:val="0010216D"/>
    <w:rsid w:val="00105EDA"/>
    <w:rsid w:val="0011153D"/>
    <w:rsid w:val="00116292"/>
    <w:rsid w:val="00127BE7"/>
    <w:rsid w:val="001342CE"/>
    <w:rsid w:val="00141DDA"/>
    <w:rsid w:val="0014402E"/>
    <w:rsid w:val="001454D5"/>
    <w:rsid w:val="00146E64"/>
    <w:rsid w:val="0014787E"/>
    <w:rsid w:val="00157638"/>
    <w:rsid w:val="00160513"/>
    <w:rsid w:val="00163EA9"/>
    <w:rsid w:val="00165A8E"/>
    <w:rsid w:val="0017419A"/>
    <w:rsid w:val="00177F28"/>
    <w:rsid w:val="0018447D"/>
    <w:rsid w:val="001870BD"/>
    <w:rsid w:val="00193093"/>
    <w:rsid w:val="00194100"/>
    <w:rsid w:val="001A2FCF"/>
    <w:rsid w:val="001A40B4"/>
    <w:rsid w:val="001C23C9"/>
    <w:rsid w:val="001C3D86"/>
    <w:rsid w:val="0021074D"/>
    <w:rsid w:val="00217726"/>
    <w:rsid w:val="0022181C"/>
    <w:rsid w:val="00227390"/>
    <w:rsid w:val="00231D05"/>
    <w:rsid w:val="00232949"/>
    <w:rsid w:val="002356E5"/>
    <w:rsid w:val="002529AC"/>
    <w:rsid w:val="00252E8A"/>
    <w:rsid w:val="002574A9"/>
    <w:rsid w:val="002632E3"/>
    <w:rsid w:val="00272484"/>
    <w:rsid w:val="00273DB3"/>
    <w:rsid w:val="002929B1"/>
    <w:rsid w:val="002A012B"/>
    <w:rsid w:val="002A6926"/>
    <w:rsid w:val="002A7A8C"/>
    <w:rsid w:val="002B5F26"/>
    <w:rsid w:val="002B7EB5"/>
    <w:rsid w:val="002C044B"/>
    <w:rsid w:val="002C61F7"/>
    <w:rsid w:val="002F31C2"/>
    <w:rsid w:val="002F5923"/>
    <w:rsid w:val="002F6097"/>
    <w:rsid w:val="00302DB7"/>
    <w:rsid w:val="00303F39"/>
    <w:rsid w:val="00332C73"/>
    <w:rsid w:val="003412A9"/>
    <w:rsid w:val="0034334B"/>
    <w:rsid w:val="00346D1F"/>
    <w:rsid w:val="00347791"/>
    <w:rsid w:val="003479A9"/>
    <w:rsid w:val="003522EA"/>
    <w:rsid w:val="003751C9"/>
    <w:rsid w:val="003752C8"/>
    <w:rsid w:val="00382DEE"/>
    <w:rsid w:val="00382F19"/>
    <w:rsid w:val="00383710"/>
    <w:rsid w:val="0039202A"/>
    <w:rsid w:val="003A68CB"/>
    <w:rsid w:val="003B4EB8"/>
    <w:rsid w:val="003B5B59"/>
    <w:rsid w:val="003C7A9B"/>
    <w:rsid w:val="003D06CC"/>
    <w:rsid w:val="003D76E8"/>
    <w:rsid w:val="003E780F"/>
    <w:rsid w:val="003F31F0"/>
    <w:rsid w:val="003F57B4"/>
    <w:rsid w:val="003F6B06"/>
    <w:rsid w:val="0040567D"/>
    <w:rsid w:val="0040656A"/>
    <w:rsid w:val="00410DAB"/>
    <w:rsid w:val="00414C9E"/>
    <w:rsid w:val="00415C0A"/>
    <w:rsid w:val="00421720"/>
    <w:rsid w:val="0042217C"/>
    <w:rsid w:val="00422C86"/>
    <w:rsid w:val="004277C9"/>
    <w:rsid w:val="00433338"/>
    <w:rsid w:val="004409F3"/>
    <w:rsid w:val="00442784"/>
    <w:rsid w:val="00450784"/>
    <w:rsid w:val="00452AA9"/>
    <w:rsid w:val="0046065D"/>
    <w:rsid w:val="00465D77"/>
    <w:rsid w:val="00477DBD"/>
    <w:rsid w:val="00482303"/>
    <w:rsid w:val="0048381F"/>
    <w:rsid w:val="004851DE"/>
    <w:rsid w:val="0048766F"/>
    <w:rsid w:val="00492220"/>
    <w:rsid w:val="004966A3"/>
    <w:rsid w:val="0049742E"/>
    <w:rsid w:val="00497822"/>
    <w:rsid w:val="004A097F"/>
    <w:rsid w:val="004A1460"/>
    <w:rsid w:val="004A5B8C"/>
    <w:rsid w:val="004B00AD"/>
    <w:rsid w:val="004B3721"/>
    <w:rsid w:val="004B3DF3"/>
    <w:rsid w:val="004B51F9"/>
    <w:rsid w:val="004B651F"/>
    <w:rsid w:val="004C1B3C"/>
    <w:rsid w:val="004C7D06"/>
    <w:rsid w:val="004D6190"/>
    <w:rsid w:val="004E0381"/>
    <w:rsid w:val="004E0E35"/>
    <w:rsid w:val="004F1E95"/>
    <w:rsid w:val="004F3F31"/>
    <w:rsid w:val="0051013D"/>
    <w:rsid w:val="0053109E"/>
    <w:rsid w:val="00540B1B"/>
    <w:rsid w:val="00551124"/>
    <w:rsid w:val="00580FEC"/>
    <w:rsid w:val="005833E1"/>
    <w:rsid w:val="00585284"/>
    <w:rsid w:val="00585A00"/>
    <w:rsid w:val="005869D6"/>
    <w:rsid w:val="00592FC3"/>
    <w:rsid w:val="00595CA8"/>
    <w:rsid w:val="005B3C68"/>
    <w:rsid w:val="005B52F8"/>
    <w:rsid w:val="005C48B2"/>
    <w:rsid w:val="005D26A7"/>
    <w:rsid w:val="005E40A2"/>
    <w:rsid w:val="005E545A"/>
    <w:rsid w:val="005F667F"/>
    <w:rsid w:val="00603F24"/>
    <w:rsid w:val="00604184"/>
    <w:rsid w:val="00611A8F"/>
    <w:rsid w:val="00612345"/>
    <w:rsid w:val="00620680"/>
    <w:rsid w:val="0063322C"/>
    <w:rsid w:val="006438CA"/>
    <w:rsid w:val="006532DE"/>
    <w:rsid w:val="006574AE"/>
    <w:rsid w:val="0066155C"/>
    <w:rsid w:val="00661709"/>
    <w:rsid w:val="00662C4F"/>
    <w:rsid w:val="006646DA"/>
    <w:rsid w:val="00667316"/>
    <w:rsid w:val="00676F9F"/>
    <w:rsid w:val="006816AD"/>
    <w:rsid w:val="006824A9"/>
    <w:rsid w:val="00683533"/>
    <w:rsid w:val="00686BC2"/>
    <w:rsid w:val="006A7667"/>
    <w:rsid w:val="006C5A49"/>
    <w:rsid w:val="006E11D6"/>
    <w:rsid w:val="006F1011"/>
    <w:rsid w:val="006F490D"/>
    <w:rsid w:val="006F4AC0"/>
    <w:rsid w:val="00704336"/>
    <w:rsid w:val="00716DB0"/>
    <w:rsid w:val="00717EF7"/>
    <w:rsid w:val="0072023A"/>
    <w:rsid w:val="00723EB2"/>
    <w:rsid w:val="00726977"/>
    <w:rsid w:val="00730727"/>
    <w:rsid w:val="00734AA9"/>
    <w:rsid w:val="007379C5"/>
    <w:rsid w:val="00743D69"/>
    <w:rsid w:val="00751C4D"/>
    <w:rsid w:val="00753494"/>
    <w:rsid w:val="00755662"/>
    <w:rsid w:val="00761952"/>
    <w:rsid w:val="00762377"/>
    <w:rsid w:val="00765942"/>
    <w:rsid w:val="00766AE4"/>
    <w:rsid w:val="007739E0"/>
    <w:rsid w:val="00774F35"/>
    <w:rsid w:val="00780E5A"/>
    <w:rsid w:val="00782B92"/>
    <w:rsid w:val="007A2388"/>
    <w:rsid w:val="007A3600"/>
    <w:rsid w:val="007A4895"/>
    <w:rsid w:val="007B374C"/>
    <w:rsid w:val="007B4127"/>
    <w:rsid w:val="007B4B0C"/>
    <w:rsid w:val="007B672F"/>
    <w:rsid w:val="007B6F4B"/>
    <w:rsid w:val="007C73AA"/>
    <w:rsid w:val="007D17CB"/>
    <w:rsid w:val="007D219B"/>
    <w:rsid w:val="007D5165"/>
    <w:rsid w:val="007E4773"/>
    <w:rsid w:val="007F3ADE"/>
    <w:rsid w:val="008028ED"/>
    <w:rsid w:val="00806240"/>
    <w:rsid w:val="0081627E"/>
    <w:rsid w:val="00861825"/>
    <w:rsid w:val="00862735"/>
    <w:rsid w:val="00867B17"/>
    <w:rsid w:val="00875B17"/>
    <w:rsid w:val="008906CE"/>
    <w:rsid w:val="008A4C39"/>
    <w:rsid w:val="008A5D49"/>
    <w:rsid w:val="008A77B9"/>
    <w:rsid w:val="008B2B20"/>
    <w:rsid w:val="008B76BC"/>
    <w:rsid w:val="008C6C9C"/>
    <w:rsid w:val="008D5383"/>
    <w:rsid w:val="008E53EE"/>
    <w:rsid w:val="00904F50"/>
    <w:rsid w:val="00907F52"/>
    <w:rsid w:val="00921995"/>
    <w:rsid w:val="009229FD"/>
    <w:rsid w:val="009245D5"/>
    <w:rsid w:val="00942451"/>
    <w:rsid w:val="00952C69"/>
    <w:rsid w:val="009549EB"/>
    <w:rsid w:val="00963625"/>
    <w:rsid w:val="009701AD"/>
    <w:rsid w:val="00970342"/>
    <w:rsid w:val="00986461"/>
    <w:rsid w:val="00997DCF"/>
    <w:rsid w:val="00997E18"/>
    <w:rsid w:val="009B6F49"/>
    <w:rsid w:val="009B71C6"/>
    <w:rsid w:val="009C1B9A"/>
    <w:rsid w:val="009D0EA3"/>
    <w:rsid w:val="009E0568"/>
    <w:rsid w:val="009E43BE"/>
    <w:rsid w:val="009E60F1"/>
    <w:rsid w:val="009F3437"/>
    <w:rsid w:val="009F6F61"/>
    <w:rsid w:val="00A00F09"/>
    <w:rsid w:val="00A05912"/>
    <w:rsid w:val="00A067FD"/>
    <w:rsid w:val="00A15DE1"/>
    <w:rsid w:val="00A22472"/>
    <w:rsid w:val="00A367A2"/>
    <w:rsid w:val="00A36C5F"/>
    <w:rsid w:val="00A37326"/>
    <w:rsid w:val="00A41817"/>
    <w:rsid w:val="00A4328A"/>
    <w:rsid w:val="00A43731"/>
    <w:rsid w:val="00A50F8F"/>
    <w:rsid w:val="00A5515A"/>
    <w:rsid w:val="00A55284"/>
    <w:rsid w:val="00A632D1"/>
    <w:rsid w:val="00A87F74"/>
    <w:rsid w:val="00A94B5F"/>
    <w:rsid w:val="00A95890"/>
    <w:rsid w:val="00A97CAC"/>
    <w:rsid w:val="00AA5405"/>
    <w:rsid w:val="00AB17D2"/>
    <w:rsid w:val="00AB58B6"/>
    <w:rsid w:val="00AB68FF"/>
    <w:rsid w:val="00AB7A64"/>
    <w:rsid w:val="00AC66A5"/>
    <w:rsid w:val="00AD0416"/>
    <w:rsid w:val="00AD7338"/>
    <w:rsid w:val="00AE2443"/>
    <w:rsid w:val="00AF2A9A"/>
    <w:rsid w:val="00AF36F3"/>
    <w:rsid w:val="00AF39A8"/>
    <w:rsid w:val="00AF569C"/>
    <w:rsid w:val="00AF6EEE"/>
    <w:rsid w:val="00B03FD9"/>
    <w:rsid w:val="00B0596B"/>
    <w:rsid w:val="00B13133"/>
    <w:rsid w:val="00B22708"/>
    <w:rsid w:val="00B439E8"/>
    <w:rsid w:val="00B52E23"/>
    <w:rsid w:val="00B56A99"/>
    <w:rsid w:val="00B614BC"/>
    <w:rsid w:val="00B909A3"/>
    <w:rsid w:val="00B92259"/>
    <w:rsid w:val="00BA57B9"/>
    <w:rsid w:val="00BA70DF"/>
    <w:rsid w:val="00BA7A64"/>
    <w:rsid w:val="00BB47D0"/>
    <w:rsid w:val="00BB6AC5"/>
    <w:rsid w:val="00BC1660"/>
    <w:rsid w:val="00BC3EF1"/>
    <w:rsid w:val="00BD4B14"/>
    <w:rsid w:val="00BE429D"/>
    <w:rsid w:val="00BF144C"/>
    <w:rsid w:val="00C005B8"/>
    <w:rsid w:val="00C10EB6"/>
    <w:rsid w:val="00C21BBD"/>
    <w:rsid w:val="00C27E5C"/>
    <w:rsid w:val="00C350DD"/>
    <w:rsid w:val="00C358E7"/>
    <w:rsid w:val="00C36637"/>
    <w:rsid w:val="00C41BC6"/>
    <w:rsid w:val="00C50689"/>
    <w:rsid w:val="00C62C9F"/>
    <w:rsid w:val="00C6316B"/>
    <w:rsid w:val="00C65970"/>
    <w:rsid w:val="00C6668C"/>
    <w:rsid w:val="00C66CAB"/>
    <w:rsid w:val="00C8191E"/>
    <w:rsid w:val="00C84C35"/>
    <w:rsid w:val="00C91A0F"/>
    <w:rsid w:val="00CA0C12"/>
    <w:rsid w:val="00CA16DA"/>
    <w:rsid w:val="00CA6990"/>
    <w:rsid w:val="00CB0E49"/>
    <w:rsid w:val="00CB602F"/>
    <w:rsid w:val="00CC30EE"/>
    <w:rsid w:val="00CD2124"/>
    <w:rsid w:val="00CE2052"/>
    <w:rsid w:val="00D035F9"/>
    <w:rsid w:val="00D05D55"/>
    <w:rsid w:val="00D07C77"/>
    <w:rsid w:val="00D1094F"/>
    <w:rsid w:val="00D121E8"/>
    <w:rsid w:val="00D22F70"/>
    <w:rsid w:val="00D23CBF"/>
    <w:rsid w:val="00D2485B"/>
    <w:rsid w:val="00D304C9"/>
    <w:rsid w:val="00D30510"/>
    <w:rsid w:val="00D3166D"/>
    <w:rsid w:val="00D35848"/>
    <w:rsid w:val="00D4227F"/>
    <w:rsid w:val="00D54FAA"/>
    <w:rsid w:val="00D571E2"/>
    <w:rsid w:val="00D63E23"/>
    <w:rsid w:val="00D70F2C"/>
    <w:rsid w:val="00D7112A"/>
    <w:rsid w:val="00D75378"/>
    <w:rsid w:val="00D83F78"/>
    <w:rsid w:val="00D932EA"/>
    <w:rsid w:val="00DA25B7"/>
    <w:rsid w:val="00DA7EA1"/>
    <w:rsid w:val="00DB56C8"/>
    <w:rsid w:val="00DC18D7"/>
    <w:rsid w:val="00DC5270"/>
    <w:rsid w:val="00DC60DF"/>
    <w:rsid w:val="00DE53B8"/>
    <w:rsid w:val="00DF32E1"/>
    <w:rsid w:val="00E02ADA"/>
    <w:rsid w:val="00E03BDF"/>
    <w:rsid w:val="00E0502F"/>
    <w:rsid w:val="00E17468"/>
    <w:rsid w:val="00E21EFA"/>
    <w:rsid w:val="00E31B56"/>
    <w:rsid w:val="00E44F89"/>
    <w:rsid w:val="00E50280"/>
    <w:rsid w:val="00E604CC"/>
    <w:rsid w:val="00E61572"/>
    <w:rsid w:val="00E64E39"/>
    <w:rsid w:val="00E72BC7"/>
    <w:rsid w:val="00E75C0A"/>
    <w:rsid w:val="00E81F23"/>
    <w:rsid w:val="00E8250B"/>
    <w:rsid w:val="00E851DB"/>
    <w:rsid w:val="00E92492"/>
    <w:rsid w:val="00E95A26"/>
    <w:rsid w:val="00EB4932"/>
    <w:rsid w:val="00EB71DE"/>
    <w:rsid w:val="00EC41B0"/>
    <w:rsid w:val="00EC4D0B"/>
    <w:rsid w:val="00ED5419"/>
    <w:rsid w:val="00EE05FB"/>
    <w:rsid w:val="00EF179F"/>
    <w:rsid w:val="00EF1A83"/>
    <w:rsid w:val="00EF45D1"/>
    <w:rsid w:val="00F1217C"/>
    <w:rsid w:val="00F13BAC"/>
    <w:rsid w:val="00F16B0A"/>
    <w:rsid w:val="00F317AD"/>
    <w:rsid w:val="00F36328"/>
    <w:rsid w:val="00F43332"/>
    <w:rsid w:val="00F45EC6"/>
    <w:rsid w:val="00F51155"/>
    <w:rsid w:val="00F656BA"/>
    <w:rsid w:val="00F718E0"/>
    <w:rsid w:val="00F9087E"/>
    <w:rsid w:val="00FA3B75"/>
    <w:rsid w:val="00FA6E1C"/>
    <w:rsid w:val="00FB042F"/>
    <w:rsid w:val="00FB382E"/>
    <w:rsid w:val="00FC0CF1"/>
    <w:rsid w:val="00FC42CC"/>
    <w:rsid w:val="00FC5F5C"/>
    <w:rsid w:val="00FD4F38"/>
    <w:rsid w:val="00FE1BF4"/>
    <w:rsid w:val="00FE391F"/>
    <w:rsid w:val="00FF37AC"/>
    <w:rsid w:val="00FF49EA"/>
    <w:rsid w:val="01031F52"/>
    <w:rsid w:val="012B64AF"/>
    <w:rsid w:val="012C2953"/>
    <w:rsid w:val="0139295A"/>
    <w:rsid w:val="013A7770"/>
    <w:rsid w:val="013B0DE8"/>
    <w:rsid w:val="014C25AB"/>
    <w:rsid w:val="014C3438"/>
    <w:rsid w:val="01693089"/>
    <w:rsid w:val="01875DDB"/>
    <w:rsid w:val="018A0A9E"/>
    <w:rsid w:val="019F595D"/>
    <w:rsid w:val="01AF0E8E"/>
    <w:rsid w:val="01B37292"/>
    <w:rsid w:val="01BB58C6"/>
    <w:rsid w:val="01C56A7B"/>
    <w:rsid w:val="01D65BA9"/>
    <w:rsid w:val="01D803E5"/>
    <w:rsid w:val="01E42342"/>
    <w:rsid w:val="01F51FC8"/>
    <w:rsid w:val="01F9035B"/>
    <w:rsid w:val="01FA63D6"/>
    <w:rsid w:val="020E3E06"/>
    <w:rsid w:val="02151639"/>
    <w:rsid w:val="02165E90"/>
    <w:rsid w:val="02294958"/>
    <w:rsid w:val="023B148D"/>
    <w:rsid w:val="023F2D81"/>
    <w:rsid w:val="02401036"/>
    <w:rsid w:val="02405F8A"/>
    <w:rsid w:val="02443CCC"/>
    <w:rsid w:val="024B52AA"/>
    <w:rsid w:val="025E37B8"/>
    <w:rsid w:val="026B1259"/>
    <w:rsid w:val="029562D6"/>
    <w:rsid w:val="029C3542"/>
    <w:rsid w:val="02A12ECC"/>
    <w:rsid w:val="02B01361"/>
    <w:rsid w:val="02B40E52"/>
    <w:rsid w:val="02B67B5D"/>
    <w:rsid w:val="02BF23FC"/>
    <w:rsid w:val="02D2752A"/>
    <w:rsid w:val="02D50DC8"/>
    <w:rsid w:val="02EB3F13"/>
    <w:rsid w:val="02F32FFC"/>
    <w:rsid w:val="02F4124E"/>
    <w:rsid w:val="02F53218"/>
    <w:rsid w:val="02FC6355"/>
    <w:rsid w:val="030376E3"/>
    <w:rsid w:val="032064E7"/>
    <w:rsid w:val="03253AFD"/>
    <w:rsid w:val="032A1207"/>
    <w:rsid w:val="03314594"/>
    <w:rsid w:val="03324A94"/>
    <w:rsid w:val="03383B60"/>
    <w:rsid w:val="033B7245"/>
    <w:rsid w:val="0342358E"/>
    <w:rsid w:val="03450399"/>
    <w:rsid w:val="035937A7"/>
    <w:rsid w:val="036D12B2"/>
    <w:rsid w:val="0377712B"/>
    <w:rsid w:val="038E286B"/>
    <w:rsid w:val="039F417D"/>
    <w:rsid w:val="03BD3D36"/>
    <w:rsid w:val="03C74BB5"/>
    <w:rsid w:val="03DD1969"/>
    <w:rsid w:val="03E27618"/>
    <w:rsid w:val="03E8147D"/>
    <w:rsid w:val="04025BED"/>
    <w:rsid w:val="0402799B"/>
    <w:rsid w:val="04243DB5"/>
    <w:rsid w:val="043234E7"/>
    <w:rsid w:val="043C2B5E"/>
    <w:rsid w:val="044F484E"/>
    <w:rsid w:val="046B6FD8"/>
    <w:rsid w:val="04706FFA"/>
    <w:rsid w:val="0486237A"/>
    <w:rsid w:val="049A5E25"/>
    <w:rsid w:val="049D76C3"/>
    <w:rsid w:val="04B93432"/>
    <w:rsid w:val="04BD63C8"/>
    <w:rsid w:val="04C50C9E"/>
    <w:rsid w:val="04C517EC"/>
    <w:rsid w:val="04CE466A"/>
    <w:rsid w:val="04E452F2"/>
    <w:rsid w:val="04E7434C"/>
    <w:rsid w:val="04F727F4"/>
    <w:rsid w:val="04F82B4C"/>
    <w:rsid w:val="05085485"/>
    <w:rsid w:val="052754BA"/>
    <w:rsid w:val="053B31AE"/>
    <w:rsid w:val="05544226"/>
    <w:rsid w:val="055C30DB"/>
    <w:rsid w:val="055C757F"/>
    <w:rsid w:val="055E32F7"/>
    <w:rsid w:val="0575419C"/>
    <w:rsid w:val="057743B8"/>
    <w:rsid w:val="05816655"/>
    <w:rsid w:val="058C7C0B"/>
    <w:rsid w:val="05976809"/>
    <w:rsid w:val="059B1E55"/>
    <w:rsid w:val="05AA2098"/>
    <w:rsid w:val="05B9099C"/>
    <w:rsid w:val="05BB6053"/>
    <w:rsid w:val="05BE51A8"/>
    <w:rsid w:val="05C04F10"/>
    <w:rsid w:val="05C173E2"/>
    <w:rsid w:val="05CF7D50"/>
    <w:rsid w:val="05CF7E3D"/>
    <w:rsid w:val="05DE36F7"/>
    <w:rsid w:val="05E05ABA"/>
    <w:rsid w:val="05E25CD6"/>
    <w:rsid w:val="05EF03F3"/>
    <w:rsid w:val="05F872A7"/>
    <w:rsid w:val="06073258"/>
    <w:rsid w:val="060A1AF1"/>
    <w:rsid w:val="062C0CFF"/>
    <w:rsid w:val="062D1F31"/>
    <w:rsid w:val="062F259D"/>
    <w:rsid w:val="06500E91"/>
    <w:rsid w:val="06530982"/>
    <w:rsid w:val="06540256"/>
    <w:rsid w:val="065B548E"/>
    <w:rsid w:val="065D435E"/>
    <w:rsid w:val="06624721"/>
    <w:rsid w:val="066270CD"/>
    <w:rsid w:val="06764670"/>
    <w:rsid w:val="067F3525"/>
    <w:rsid w:val="068C79F0"/>
    <w:rsid w:val="069614D8"/>
    <w:rsid w:val="0696261C"/>
    <w:rsid w:val="06A74829"/>
    <w:rsid w:val="06B06C69"/>
    <w:rsid w:val="06B52E78"/>
    <w:rsid w:val="06BC7207"/>
    <w:rsid w:val="06BF2030"/>
    <w:rsid w:val="06C16F1D"/>
    <w:rsid w:val="06C2133D"/>
    <w:rsid w:val="06D7523A"/>
    <w:rsid w:val="06E067A2"/>
    <w:rsid w:val="06E269F9"/>
    <w:rsid w:val="06E6018A"/>
    <w:rsid w:val="06E635A4"/>
    <w:rsid w:val="06F16183"/>
    <w:rsid w:val="06F35FE2"/>
    <w:rsid w:val="06F757B1"/>
    <w:rsid w:val="06F832D7"/>
    <w:rsid w:val="06FB3F9B"/>
    <w:rsid w:val="0700276E"/>
    <w:rsid w:val="070074E8"/>
    <w:rsid w:val="07133C6D"/>
    <w:rsid w:val="07153E89"/>
    <w:rsid w:val="071F7265"/>
    <w:rsid w:val="073360BD"/>
    <w:rsid w:val="073562D9"/>
    <w:rsid w:val="07500F03"/>
    <w:rsid w:val="075C5614"/>
    <w:rsid w:val="0781151E"/>
    <w:rsid w:val="07952724"/>
    <w:rsid w:val="07A74C22"/>
    <w:rsid w:val="07B436A2"/>
    <w:rsid w:val="07B60D64"/>
    <w:rsid w:val="07B728D5"/>
    <w:rsid w:val="07C05BA3"/>
    <w:rsid w:val="07C5765D"/>
    <w:rsid w:val="07CC0E71"/>
    <w:rsid w:val="07E15B19"/>
    <w:rsid w:val="07EA5A9F"/>
    <w:rsid w:val="08190382"/>
    <w:rsid w:val="081D2FF5"/>
    <w:rsid w:val="082223BA"/>
    <w:rsid w:val="082602EA"/>
    <w:rsid w:val="08316AA1"/>
    <w:rsid w:val="0835382C"/>
    <w:rsid w:val="0858227F"/>
    <w:rsid w:val="08596EA4"/>
    <w:rsid w:val="085D1644"/>
    <w:rsid w:val="087F3918"/>
    <w:rsid w:val="088C3CD7"/>
    <w:rsid w:val="0896666F"/>
    <w:rsid w:val="08A2799E"/>
    <w:rsid w:val="08AD3BAB"/>
    <w:rsid w:val="08B51480"/>
    <w:rsid w:val="08CB2A51"/>
    <w:rsid w:val="08D13DE0"/>
    <w:rsid w:val="08E1799B"/>
    <w:rsid w:val="08E43B13"/>
    <w:rsid w:val="08F37783"/>
    <w:rsid w:val="08FA3336"/>
    <w:rsid w:val="092C1016"/>
    <w:rsid w:val="093736D9"/>
    <w:rsid w:val="093C74AB"/>
    <w:rsid w:val="094D1A62"/>
    <w:rsid w:val="094D790A"/>
    <w:rsid w:val="095011A8"/>
    <w:rsid w:val="09510A7C"/>
    <w:rsid w:val="09532A47"/>
    <w:rsid w:val="0969226A"/>
    <w:rsid w:val="09737646"/>
    <w:rsid w:val="09825CE4"/>
    <w:rsid w:val="099077F7"/>
    <w:rsid w:val="099866AB"/>
    <w:rsid w:val="09991536"/>
    <w:rsid w:val="099B4719"/>
    <w:rsid w:val="099C1834"/>
    <w:rsid w:val="09A84B40"/>
    <w:rsid w:val="09A908B8"/>
    <w:rsid w:val="09AD4EE5"/>
    <w:rsid w:val="09BC05EC"/>
    <w:rsid w:val="09C35E1E"/>
    <w:rsid w:val="09E0252C"/>
    <w:rsid w:val="09E07D73"/>
    <w:rsid w:val="09EC7123"/>
    <w:rsid w:val="09F2400E"/>
    <w:rsid w:val="09F26730"/>
    <w:rsid w:val="0A0F2E11"/>
    <w:rsid w:val="0A314B36"/>
    <w:rsid w:val="0A4070EB"/>
    <w:rsid w:val="0A5A153B"/>
    <w:rsid w:val="0A5C3404"/>
    <w:rsid w:val="0A73369B"/>
    <w:rsid w:val="0A7C1280"/>
    <w:rsid w:val="0A8D2AD1"/>
    <w:rsid w:val="0A8F4E37"/>
    <w:rsid w:val="0AB47515"/>
    <w:rsid w:val="0ABD461B"/>
    <w:rsid w:val="0AC57974"/>
    <w:rsid w:val="0ACB117B"/>
    <w:rsid w:val="0ADE5666"/>
    <w:rsid w:val="0B0D30D1"/>
    <w:rsid w:val="0B0E30C9"/>
    <w:rsid w:val="0B525866"/>
    <w:rsid w:val="0B54281D"/>
    <w:rsid w:val="0B632B59"/>
    <w:rsid w:val="0B7A42BB"/>
    <w:rsid w:val="0B7A49AF"/>
    <w:rsid w:val="0B8B296C"/>
    <w:rsid w:val="0B8F6A6E"/>
    <w:rsid w:val="0B907065"/>
    <w:rsid w:val="0B9F01C5"/>
    <w:rsid w:val="0BB7186B"/>
    <w:rsid w:val="0BD32A58"/>
    <w:rsid w:val="0BE12AC7"/>
    <w:rsid w:val="0BE24933"/>
    <w:rsid w:val="0BE80BE6"/>
    <w:rsid w:val="0BF40511"/>
    <w:rsid w:val="0BFB73FA"/>
    <w:rsid w:val="0C032502"/>
    <w:rsid w:val="0C0A4DBA"/>
    <w:rsid w:val="0C0D15D3"/>
    <w:rsid w:val="0C3B1C9C"/>
    <w:rsid w:val="0C452B1A"/>
    <w:rsid w:val="0C45315D"/>
    <w:rsid w:val="0C593243"/>
    <w:rsid w:val="0C632FA1"/>
    <w:rsid w:val="0C67463C"/>
    <w:rsid w:val="0C6C00A7"/>
    <w:rsid w:val="0C85560D"/>
    <w:rsid w:val="0C9A2F86"/>
    <w:rsid w:val="0CB21541"/>
    <w:rsid w:val="0CBB4B8B"/>
    <w:rsid w:val="0CC003F3"/>
    <w:rsid w:val="0CCC323C"/>
    <w:rsid w:val="0CCE0D62"/>
    <w:rsid w:val="0CDE073E"/>
    <w:rsid w:val="0CE24F43"/>
    <w:rsid w:val="0CE36F6D"/>
    <w:rsid w:val="0CE57E5A"/>
    <w:rsid w:val="0D0E115E"/>
    <w:rsid w:val="0D1A3FA7"/>
    <w:rsid w:val="0D1F511A"/>
    <w:rsid w:val="0D225A02"/>
    <w:rsid w:val="0D23750C"/>
    <w:rsid w:val="0D2F537E"/>
    <w:rsid w:val="0D411534"/>
    <w:rsid w:val="0D413ECD"/>
    <w:rsid w:val="0D4373BF"/>
    <w:rsid w:val="0D674D12"/>
    <w:rsid w:val="0D7A0F4E"/>
    <w:rsid w:val="0D840089"/>
    <w:rsid w:val="0D8D29CB"/>
    <w:rsid w:val="0D9020B8"/>
    <w:rsid w:val="0DA25D4B"/>
    <w:rsid w:val="0DAF6ED4"/>
    <w:rsid w:val="0DBD4932"/>
    <w:rsid w:val="0DC932D7"/>
    <w:rsid w:val="0DDA1988"/>
    <w:rsid w:val="0DDA54E4"/>
    <w:rsid w:val="0DDF0D4D"/>
    <w:rsid w:val="0DE325EB"/>
    <w:rsid w:val="0DED16BC"/>
    <w:rsid w:val="0DEF71E2"/>
    <w:rsid w:val="0DF915B5"/>
    <w:rsid w:val="0E0F03BC"/>
    <w:rsid w:val="0E100F06"/>
    <w:rsid w:val="0E1B2033"/>
    <w:rsid w:val="0E417312"/>
    <w:rsid w:val="0E460DCC"/>
    <w:rsid w:val="0E4C2A14"/>
    <w:rsid w:val="0E4D5CB6"/>
    <w:rsid w:val="0E4F3623"/>
    <w:rsid w:val="0E5B6625"/>
    <w:rsid w:val="0E6E204C"/>
    <w:rsid w:val="0E721BC1"/>
    <w:rsid w:val="0E7616B1"/>
    <w:rsid w:val="0E7B0A75"/>
    <w:rsid w:val="0E7C4213"/>
    <w:rsid w:val="0E7E2314"/>
    <w:rsid w:val="0E80608C"/>
    <w:rsid w:val="0E807E3A"/>
    <w:rsid w:val="0E83577D"/>
    <w:rsid w:val="0E87741A"/>
    <w:rsid w:val="0E8F4578"/>
    <w:rsid w:val="0EB04374"/>
    <w:rsid w:val="0EB43F87"/>
    <w:rsid w:val="0EC00601"/>
    <w:rsid w:val="0ED62150"/>
    <w:rsid w:val="0EDB7766"/>
    <w:rsid w:val="0EF83E74"/>
    <w:rsid w:val="0EFB3964"/>
    <w:rsid w:val="0EFC7E02"/>
    <w:rsid w:val="0F013C70"/>
    <w:rsid w:val="0F017246"/>
    <w:rsid w:val="0F0942D3"/>
    <w:rsid w:val="0F183056"/>
    <w:rsid w:val="0F19203C"/>
    <w:rsid w:val="0F3550C8"/>
    <w:rsid w:val="0F374FA5"/>
    <w:rsid w:val="0F44273B"/>
    <w:rsid w:val="0F4B5F43"/>
    <w:rsid w:val="0F751969"/>
    <w:rsid w:val="0F9D4A1B"/>
    <w:rsid w:val="0FBA55CD"/>
    <w:rsid w:val="0FC240A4"/>
    <w:rsid w:val="0FC93A62"/>
    <w:rsid w:val="0FE74F56"/>
    <w:rsid w:val="0FF667D4"/>
    <w:rsid w:val="0FF85EDB"/>
    <w:rsid w:val="0FFB6814"/>
    <w:rsid w:val="1005677B"/>
    <w:rsid w:val="100E1475"/>
    <w:rsid w:val="102E1B18"/>
    <w:rsid w:val="103678E0"/>
    <w:rsid w:val="1055163A"/>
    <w:rsid w:val="105A634B"/>
    <w:rsid w:val="105E5089"/>
    <w:rsid w:val="106663FA"/>
    <w:rsid w:val="10681196"/>
    <w:rsid w:val="106E5E2B"/>
    <w:rsid w:val="1077526D"/>
    <w:rsid w:val="107A4E46"/>
    <w:rsid w:val="10847F21"/>
    <w:rsid w:val="1089507F"/>
    <w:rsid w:val="10986E0E"/>
    <w:rsid w:val="10993435"/>
    <w:rsid w:val="10AC13BA"/>
    <w:rsid w:val="10B4201D"/>
    <w:rsid w:val="10C262FB"/>
    <w:rsid w:val="10C5247C"/>
    <w:rsid w:val="10C62E11"/>
    <w:rsid w:val="10CD6A9B"/>
    <w:rsid w:val="10D4446D"/>
    <w:rsid w:val="10D64DF4"/>
    <w:rsid w:val="10DB3A4D"/>
    <w:rsid w:val="10DE353E"/>
    <w:rsid w:val="10E16120"/>
    <w:rsid w:val="10FB7C4C"/>
    <w:rsid w:val="110D3A2D"/>
    <w:rsid w:val="110E5BD1"/>
    <w:rsid w:val="1122342A"/>
    <w:rsid w:val="112476E9"/>
    <w:rsid w:val="112A0332"/>
    <w:rsid w:val="112F6741"/>
    <w:rsid w:val="1131366D"/>
    <w:rsid w:val="11592BC4"/>
    <w:rsid w:val="115B6EB8"/>
    <w:rsid w:val="115F6E97"/>
    <w:rsid w:val="117F654A"/>
    <w:rsid w:val="118440E5"/>
    <w:rsid w:val="11872970"/>
    <w:rsid w:val="11877731"/>
    <w:rsid w:val="11987B90"/>
    <w:rsid w:val="11A26319"/>
    <w:rsid w:val="11A9434E"/>
    <w:rsid w:val="11AA604C"/>
    <w:rsid w:val="11CB69F9"/>
    <w:rsid w:val="11E01347"/>
    <w:rsid w:val="11E728AF"/>
    <w:rsid w:val="11ED1C8A"/>
    <w:rsid w:val="120C272B"/>
    <w:rsid w:val="120E2D56"/>
    <w:rsid w:val="12237479"/>
    <w:rsid w:val="123478B9"/>
    <w:rsid w:val="1241020F"/>
    <w:rsid w:val="1248522F"/>
    <w:rsid w:val="124B69B1"/>
    <w:rsid w:val="12582C57"/>
    <w:rsid w:val="12624760"/>
    <w:rsid w:val="12723F3D"/>
    <w:rsid w:val="12A85BB1"/>
    <w:rsid w:val="12AD31C8"/>
    <w:rsid w:val="12C02EFB"/>
    <w:rsid w:val="12CC6BF9"/>
    <w:rsid w:val="12E0359D"/>
    <w:rsid w:val="12E979F2"/>
    <w:rsid w:val="12EC411F"/>
    <w:rsid w:val="12F62DC0"/>
    <w:rsid w:val="12FF6496"/>
    <w:rsid w:val="130C0557"/>
    <w:rsid w:val="13113756"/>
    <w:rsid w:val="131246D2"/>
    <w:rsid w:val="13223BB5"/>
    <w:rsid w:val="132F62D2"/>
    <w:rsid w:val="134B7403"/>
    <w:rsid w:val="1354616E"/>
    <w:rsid w:val="13702B73"/>
    <w:rsid w:val="13763F01"/>
    <w:rsid w:val="137F5CDC"/>
    <w:rsid w:val="13923DEF"/>
    <w:rsid w:val="13931091"/>
    <w:rsid w:val="13960100"/>
    <w:rsid w:val="139A5D9F"/>
    <w:rsid w:val="13B3480E"/>
    <w:rsid w:val="13BB61BD"/>
    <w:rsid w:val="13CB7DA9"/>
    <w:rsid w:val="13CC3B21"/>
    <w:rsid w:val="13CF716E"/>
    <w:rsid w:val="13DB5B12"/>
    <w:rsid w:val="13DE568F"/>
    <w:rsid w:val="13DF1AA7"/>
    <w:rsid w:val="13E215D8"/>
    <w:rsid w:val="13E946D3"/>
    <w:rsid w:val="13F00A54"/>
    <w:rsid w:val="13F05A62"/>
    <w:rsid w:val="13F13588"/>
    <w:rsid w:val="14091461"/>
    <w:rsid w:val="140F5D81"/>
    <w:rsid w:val="14180B15"/>
    <w:rsid w:val="14186D67"/>
    <w:rsid w:val="14232BF3"/>
    <w:rsid w:val="145A6A37"/>
    <w:rsid w:val="145D29CB"/>
    <w:rsid w:val="14646D36"/>
    <w:rsid w:val="14667AD2"/>
    <w:rsid w:val="14674FBB"/>
    <w:rsid w:val="146975C2"/>
    <w:rsid w:val="146F3E66"/>
    <w:rsid w:val="14720225"/>
    <w:rsid w:val="147A532B"/>
    <w:rsid w:val="14951980"/>
    <w:rsid w:val="14A01236"/>
    <w:rsid w:val="14B40ECF"/>
    <w:rsid w:val="14CE4728"/>
    <w:rsid w:val="14D233B9"/>
    <w:rsid w:val="14E639DF"/>
    <w:rsid w:val="14EE3E39"/>
    <w:rsid w:val="14EE5CB3"/>
    <w:rsid w:val="14F9536D"/>
    <w:rsid w:val="15000AB2"/>
    <w:rsid w:val="15000D6C"/>
    <w:rsid w:val="150572EB"/>
    <w:rsid w:val="15082937"/>
    <w:rsid w:val="150F3CC6"/>
    <w:rsid w:val="151E25C1"/>
    <w:rsid w:val="15261641"/>
    <w:rsid w:val="153876C0"/>
    <w:rsid w:val="153E5921"/>
    <w:rsid w:val="153F20FA"/>
    <w:rsid w:val="1548367B"/>
    <w:rsid w:val="1557566D"/>
    <w:rsid w:val="156404B5"/>
    <w:rsid w:val="15654D7C"/>
    <w:rsid w:val="156F29B6"/>
    <w:rsid w:val="15747FCD"/>
    <w:rsid w:val="1578306A"/>
    <w:rsid w:val="15891CCA"/>
    <w:rsid w:val="158B30BF"/>
    <w:rsid w:val="159D7523"/>
    <w:rsid w:val="15B25D27"/>
    <w:rsid w:val="15B34F99"/>
    <w:rsid w:val="15C23F41"/>
    <w:rsid w:val="15CC74E3"/>
    <w:rsid w:val="15E1591F"/>
    <w:rsid w:val="15E91D20"/>
    <w:rsid w:val="16133C89"/>
    <w:rsid w:val="16264111"/>
    <w:rsid w:val="163F05DA"/>
    <w:rsid w:val="163F682C"/>
    <w:rsid w:val="164E7445"/>
    <w:rsid w:val="16576278"/>
    <w:rsid w:val="16617715"/>
    <w:rsid w:val="16775FC6"/>
    <w:rsid w:val="168A13B6"/>
    <w:rsid w:val="168B7CC4"/>
    <w:rsid w:val="168E0A94"/>
    <w:rsid w:val="169166B8"/>
    <w:rsid w:val="169923E1"/>
    <w:rsid w:val="16B014D8"/>
    <w:rsid w:val="16B8213B"/>
    <w:rsid w:val="16CD3E38"/>
    <w:rsid w:val="16E84102"/>
    <w:rsid w:val="16EA261B"/>
    <w:rsid w:val="16F77107"/>
    <w:rsid w:val="16FB0A86"/>
    <w:rsid w:val="1700420E"/>
    <w:rsid w:val="170434D7"/>
    <w:rsid w:val="171C5138"/>
    <w:rsid w:val="172D1C46"/>
    <w:rsid w:val="1763331E"/>
    <w:rsid w:val="1767603B"/>
    <w:rsid w:val="176F3141"/>
    <w:rsid w:val="17761B8F"/>
    <w:rsid w:val="1777792B"/>
    <w:rsid w:val="177C3D24"/>
    <w:rsid w:val="1782376C"/>
    <w:rsid w:val="179901BE"/>
    <w:rsid w:val="179C1139"/>
    <w:rsid w:val="17A0154D"/>
    <w:rsid w:val="17A11F06"/>
    <w:rsid w:val="17B2302E"/>
    <w:rsid w:val="17BB2119"/>
    <w:rsid w:val="17C5300E"/>
    <w:rsid w:val="17CD5B13"/>
    <w:rsid w:val="17D64F6F"/>
    <w:rsid w:val="17F453F5"/>
    <w:rsid w:val="17F51140"/>
    <w:rsid w:val="18153CE9"/>
    <w:rsid w:val="182C2DE0"/>
    <w:rsid w:val="18381F0C"/>
    <w:rsid w:val="183D3240"/>
    <w:rsid w:val="184C3483"/>
    <w:rsid w:val="18515D6A"/>
    <w:rsid w:val="185F6D12"/>
    <w:rsid w:val="18702CCD"/>
    <w:rsid w:val="187726B2"/>
    <w:rsid w:val="18797C0E"/>
    <w:rsid w:val="187F02D7"/>
    <w:rsid w:val="1881137E"/>
    <w:rsid w:val="189176D0"/>
    <w:rsid w:val="18952734"/>
    <w:rsid w:val="18A92683"/>
    <w:rsid w:val="18BB5EFD"/>
    <w:rsid w:val="18BD27D8"/>
    <w:rsid w:val="18C43019"/>
    <w:rsid w:val="18C5639F"/>
    <w:rsid w:val="18DA0A8E"/>
    <w:rsid w:val="18E45A8E"/>
    <w:rsid w:val="19061883"/>
    <w:rsid w:val="190D49C0"/>
    <w:rsid w:val="191C0440"/>
    <w:rsid w:val="193208CA"/>
    <w:rsid w:val="194859F8"/>
    <w:rsid w:val="194B7296"/>
    <w:rsid w:val="194C028D"/>
    <w:rsid w:val="195B1BCF"/>
    <w:rsid w:val="19722A75"/>
    <w:rsid w:val="198B7357"/>
    <w:rsid w:val="199E7D0E"/>
    <w:rsid w:val="19B337B9"/>
    <w:rsid w:val="19B66BAA"/>
    <w:rsid w:val="19BD6F2B"/>
    <w:rsid w:val="19DB0D66"/>
    <w:rsid w:val="19DD6F2A"/>
    <w:rsid w:val="19E57411"/>
    <w:rsid w:val="19F57B7D"/>
    <w:rsid w:val="19FF69FF"/>
    <w:rsid w:val="1A205F95"/>
    <w:rsid w:val="1A5B5BFF"/>
    <w:rsid w:val="1A635396"/>
    <w:rsid w:val="1A795BA2"/>
    <w:rsid w:val="1A8D6144"/>
    <w:rsid w:val="1A9F3D3E"/>
    <w:rsid w:val="1AA44EB0"/>
    <w:rsid w:val="1AD85B7E"/>
    <w:rsid w:val="1AE202DB"/>
    <w:rsid w:val="1AE654C9"/>
    <w:rsid w:val="1AEA4DB5"/>
    <w:rsid w:val="1AEC6857"/>
    <w:rsid w:val="1AFB6468"/>
    <w:rsid w:val="1B32664B"/>
    <w:rsid w:val="1B3F2E2B"/>
    <w:rsid w:val="1B4D19EC"/>
    <w:rsid w:val="1B5C3315"/>
    <w:rsid w:val="1B610FF3"/>
    <w:rsid w:val="1B612DA1"/>
    <w:rsid w:val="1B634D6B"/>
    <w:rsid w:val="1B6603B7"/>
    <w:rsid w:val="1B6A6306"/>
    <w:rsid w:val="1B7C1C1D"/>
    <w:rsid w:val="1B926E6E"/>
    <w:rsid w:val="1B99078D"/>
    <w:rsid w:val="1BAF66D6"/>
    <w:rsid w:val="1BB17591"/>
    <w:rsid w:val="1BC5023D"/>
    <w:rsid w:val="1BC71638"/>
    <w:rsid w:val="1BCD48DA"/>
    <w:rsid w:val="1BD65D41"/>
    <w:rsid w:val="1BDA68A3"/>
    <w:rsid w:val="1BDB6FF7"/>
    <w:rsid w:val="1BDF745A"/>
    <w:rsid w:val="1BFD3B34"/>
    <w:rsid w:val="1C000E63"/>
    <w:rsid w:val="1C024584"/>
    <w:rsid w:val="1C1348CB"/>
    <w:rsid w:val="1C1E0C92"/>
    <w:rsid w:val="1C204054"/>
    <w:rsid w:val="1C311408"/>
    <w:rsid w:val="1C33298F"/>
    <w:rsid w:val="1C380BC0"/>
    <w:rsid w:val="1C381231"/>
    <w:rsid w:val="1C3C6993"/>
    <w:rsid w:val="1C3D380E"/>
    <w:rsid w:val="1C453CCA"/>
    <w:rsid w:val="1C5277C3"/>
    <w:rsid w:val="1C580648"/>
    <w:rsid w:val="1C646FED"/>
    <w:rsid w:val="1C6920AA"/>
    <w:rsid w:val="1C6963B1"/>
    <w:rsid w:val="1C700A05"/>
    <w:rsid w:val="1C78131E"/>
    <w:rsid w:val="1C7A2024"/>
    <w:rsid w:val="1C7A6810"/>
    <w:rsid w:val="1C881E18"/>
    <w:rsid w:val="1C913B5A"/>
    <w:rsid w:val="1CA61238"/>
    <w:rsid w:val="1CAC2742"/>
    <w:rsid w:val="1CAC629E"/>
    <w:rsid w:val="1CB3762C"/>
    <w:rsid w:val="1CBC0BD7"/>
    <w:rsid w:val="1CC14DE8"/>
    <w:rsid w:val="1CDF48C5"/>
    <w:rsid w:val="1CEE68B6"/>
    <w:rsid w:val="1CF10155"/>
    <w:rsid w:val="1CF540E9"/>
    <w:rsid w:val="1CFC6AF6"/>
    <w:rsid w:val="1D005C48"/>
    <w:rsid w:val="1D13456F"/>
    <w:rsid w:val="1D2A1CAB"/>
    <w:rsid w:val="1D326CE4"/>
    <w:rsid w:val="1D33608A"/>
    <w:rsid w:val="1D397816"/>
    <w:rsid w:val="1D564223"/>
    <w:rsid w:val="1D5D57EA"/>
    <w:rsid w:val="1D747175"/>
    <w:rsid w:val="1D750D86"/>
    <w:rsid w:val="1D807E56"/>
    <w:rsid w:val="1D81597C"/>
    <w:rsid w:val="1D8D4321"/>
    <w:rsid w:val="1D90787A"/>
    <w:rsid w:val="1D927B8A"/>
    <w:rsid w:val="1DB25993"/>
    <w:rsid w:val="1DB25B36"/>
    <w:rsid w:val="1DB63878"/>
    <w:rsid w:val="1DB918EA"/>
    <w:rsid w:val="1DCB4E4A"/>
    <w:rsid w:val="1DE04A45"/>
    <w:rsid w:val="1DE804EE"/>
    <w:rsid w:val="1DEE51F9"/>
    <w:rsid w:val="1DF20628"/>
    <w:rsid w:val="1DF83E91"/>
    <w:rsid w:val="1E043956"/>
    <w:rsid w:val="1E2A1B70"/>
    <w:rsid w:val="1E4405FF"/>
    <w:rsid w:val="1E52684A"/>
    <w:rsid w:val="1E567F47"/>
    <w:rsid w:val="1E6908EA"/>
    <w:rsid w:val="1E7E77ED"/>
    <w:rsid w:val="1E84516B"/>
    <w:rsid w:val="1E982F7E"/>
    <w:rsid w:val="1EB06519"/>
    <w:rsid w:val="1EB15DEE"/>
    <w:rsid w:val="1EB8248F"/>
    <w:rsid w:val="1EC975DB"/>
    <w:rsid w:val="1ECA74F2"/>
    <w:rsid w:val="1ED24DBD"/>
    <w:rsid w:val="1EE34037"/>
    <w:rsid w:val="1EE40CB1"/>
    <w:rsid w:val="1EE44CF9"/>
    <w:rsid w:val="1EEC5078"/>
    <w:rsid w:val="1EFC175F"/>
    <w:rsid w:val="1F046865"/>
    <w:rsid w:val="1F0642EF"/>
    <w:rsid w:val="1F094B9B"/>
    <w:rsid w:val="1F0C74C8"/>
    <w:rsid w:val="1F120F82"/>
    <w:rsid w:val="1F182290"/>
    <w:rsid w:val="1F2C31B8"/>
    <w:rsid w:val="1F2D5FFE"/>
    <w:rsid w:val="1F574BE7"/>
    <w:rsid w:val="1F5E70A8"/>
    <w:rsid w:val="1F642262"/>
    <w:rsid w:val="1F7E2174"/>
    <w:rsid w:val="1F843D2C"/>
    <w:rsid w:val="1F8E0D35"/>
    <w:rsid w:val="1FA616CA"/>
    <w:rsid w:val="1FC01181"/>
    <w:rsid w:val="1FC41FE7"/>
    <w:rsid w:val="1FC87893"/>
    <w:rsid w:val="1FEA1CC2"/>
    <w:rsid w:val="1FFC578E"/>
    <w:rsid w:val="20153232"/>
    <w:rsid w:val="201A21E9"/>
    <w:rsid w:val="201A6FA8"/>
    <w:rsid w:val="2021003C"/>
    <w:rsid w:val="2023579A"/>
    <w:rsid w:val="2028607A"/>
    <w:rsid w:val="2036562D"/>
    <w:rsid w:val="2040567B"/>
    <w:rsid w:val="20413730"/>
    <w:rsid w:val="204F39F3"/>
    <w:rsid w:val="20693F5D"/>
    <w:rsid w:val="20694C22"/>
    <w:rsid w:val="20717F2A"/>
    <w:rsid w:val="20971013"/>
    <w:rsid w:val="209964C7"/>
    <w:rsid w:val="20A57BD4"/>
    <w:rsid w:val="20BB527F"/>
    <w:rsid w:val="20BB60A5"/>
    <w:rsid w:val="20C964AA"/>
    <w:rsid w:val="20CB63F5"/>
    <w:rsid w:val="20E444D7"/>
    <w:rsid w:val="20E57FD0"/>
    <w:rsid w:val="20EC0462"/>
    <w:rsid w:val="20F152D0"/>
    <w:rsid w:val="20F360D6"/>
    <w:rsid w:val="20F5782E"/>
    <w:rsid w:val="21085F87"/>
    <w:rsid w:val="211014F1"/>
    <w:rsid w:val="21244F9D"/>
    <w:rsid w:val="213F5933"/>
    <w:rsid w:val="21537630"/>
    <w:rsid w:val="21627873"/>
    <w:rsid w:val="2193092A"/>
    <w:rsid w:val="21C82A4D"/>
    <w:rsid w:val="21CB71F5"/>
    <w:rsid w:val="21EA7F94"/>
    <w:rsid w:val="21FE522F"/>
    <w:rsid w:val="22145011"/>
    <w:rsid w:val="221943D6"/>
    <w:rsid w:val="221D2944"/>
    <w:rsid w:val="22275D7A"/>
    <w:rsid w:val="22342FBD"/>
    <w:rsid w:val="224C47AB"/>
    <w:rsid w:val="225A1D47"/>
    <w:rsid w:val="226513C9"/>
    <w:rsid w:val="22937614"/>
    <w:rsid w:val="22941CAE"/>
    <w:rsid w:val="22AE1669"/>
    <w:rsid w:val="22B64134"/>
    <w:rsid w:val="22D24584"/>
    <w:rsid w:val="22D36189"/>
    <w:rsid w:val="22D36C7A"/>
    <w:rsid w:val="22DB49BE"/>
    <w:rsid w:val="22EF35BE"/>
    <w:rsid w:val="22F15352"/>
    <w:rsid w:val="22F46501"/>
    <w:rsid w:val="231B7000"/>
    <w:rsid w:val="23243032"/>
    <w:rsid w:val="2329689A"/>
    <w:rsid w:val="23311E82"/>
    <w:rsid w:val="23393FA7"/>
    <w:rsid w:val="233F60BE"/>
    <w:rsid w:val="2341710C"/>
    <w:rsid w:val="23641680"/>
    <w:rsid w:val="2366364A"/>
    <w:rsid w:val="23671171"/>
    <w:rsid w:val="236B6EB3"/>
    <w:rsid w:val="23737B15"/>
    <w:rsid w:val="2378512C"/>
    <w:rsid w:val="238241FC"/>
    <w:rsid w:val="23A35ADA"/>
    <w:rsid w:val="23B1063E"/>
    <w:rsid w:val="23B343B6"/>
    <w:rsid w:val="23BC770E"/>
    <w:rsid w:val="23C14D25"/>
    <w:rsid w:val="23C30C83"/>
    <w:rsid w:val="23CB4926"/>
    <w:rsid w:val="23D66502"/>
    <w:rsid w:val="23DC0C09"/>
    <w:rsid w:val="23F65B92"/>
    <w:rsid w:val="23F81386"/>
    <w:rsid w:val="240115C5"/>
    <w:rsid w:val="24076B87"/>
    <w:rsid w:val="24101808"/>
    <w:rsid w:val="24253506"/>
    <w:rsid w:val="242770AF"/>
    <w:rsid w:val="242B36A1"/>
    <w:rsid w:val="242D5F16"/>
    <w:rsid w:val="243A0633"/>
    <w:rsid w:val="24480FA2"/>
    <w:rsid w:val="24572F93"/>
    <w:rsid w:val="246749AD"/>
    <w:rsid w:val="2468668A"/>
    <w:rsid w:val="2471674B"/>
    <w:rsid w:val="24830B6A"/>
    <w:rsid w:val="248605A3"/>
    <w:rsid w:val="2488066E"/>
    <w:rsid w:val="24885842"/>
    <w:rsid w:val="2491705B"/>
    <w:rsid w:val="24A3442A"/>
    <w:rsid w:val="24AF1021"/>
    <w:rsid w:val="24BE2AD4"/>
    <w:rsid w:val="24C820E3"/>
    <w:rsid w:val="24CE594B"/>
    <w:rsid w:val="24D90223"/>
    <w:rsid w:val="24E408F9"/>
    <w:rsid w:val="24F5112A"/>
    <w:rsid w:val="25021151"/>
    <w:rsid w:val="25227A45"/>
    <w:rsid w:val="252B5B2A"/>
    <w:rsid w:val="252C0E63"/>
    <w:rsid w:val="254A7C7B"/>
    <w:rsid w:val="25537BFE"/>
    <w:rsid w:val="25640526"/>
    <w:rsid w:val="25761B3F"/>
    <w:rsid w:val="25826736"/>
    <w:rsid w:val="25873D4C"/>
    <w:rsid w:val="258A21B9"/>
    <w:rsid w:val="25973F8F"/>
    <w:rsid w:val="25A42208"/>
    <w:rsid w:val="25AB7275"/>
    <w:rsid w:val="25B85CB3"/>
    <w:rsid w:val="25C40AFC"/>
    <w:rsid w:val="25C51B20"/>
    <w:rsid w:val="25CB59E7"/>
    <w:rsid w:val="25D0564E"/>
    <w:rsid w:val="25DD6812"/>
    <w:rsid w:val="25F60649"/>
    <w:rsid w:val="25FC30AD"/>
    <w:rsid w:val="26040EF9"/>
    <w:rsid w:val="260E1D77"/>
    <w:rsid w:val="260E522A"/>
    <w:rsid w:val="26307D7D"/>
    <w:rsid w:val="2633258C"/>
    <w:rsid w:val="26345C82"/>
    <w:rsid w:val="26355A73"/>
    <w:rsid w:val="263B643B"/>
    <w:rsid w:val="26412928"/>
    <w:rsid w:val="264137C8"/>
    <w:rsid w:val="26431A21"/>
    <w:rsid w:val="265417B0"/>
    <w:rsid w:val="26555986"/>
    <w:rsid w:val="26713755"/>
    <w:rsid w:val="26725BB7"/>
    <w:rsid w:val="267F646A"/>
    <w:rsid w:val="2698292A"/>
    <w:rsid w:val="26AB5818"/>
    <w:rsid w:val="26AF0164"/>
    <w:rsid w:val="26BA3865"/>
    <w:rsid w:val="26BB3CAD"/>
    <w:rsid w:val="26D76693"/>
    <w:rsid w:val="26E1123A"/>
    <w:rsid w:val="26ED7BDF"/>
    <w:rsid w:val="27054F28"/>
    <w:rsid w:val="270A6CD4"/>
    <w:rsid w:val="272C0538"/>
    <w:rsid w:val="273B3040"/>
    <w:rsid w:val="27410762"/>
    <w:rsid w:val="27677841"/>
    <w:rsid w:val="278C6FF8"/>
    <w:rsid w:val="27A410BB"/>
    <w:rsid w:val="27B64475"/>
    <w:rsid w:val="27BE67A3"/>
    <w:rsid w:val="27C97FD7"/>
    <w:rsid w:val="27CC3C98"/>
    <w:rsid w:val="27D74B17"/>
    <w:rsid w:val="27E12C8A"/>
    <w:rsid w:val="27EF6969"/>
    <w:rsid w:val="280457BE"/>
    <w:rsid w:val="280C4BDA"/>
    <w:rsid w:val="28125B4F"/>
    <w:rsid w:val="281318C7"/>
    <w:rsid w:val="282B09BF"/>
    <w:rsid w:val="285A12A4"/>
    <w:rsid w:val="285A5748"/>
    <w:rsid w:val="287E4F92"/>
    <w:rsid w:val="28885E11"/>
    <w:rsid w:val="28CF092A"/>
    <w:rsid w:val="28DE0127"/>
    <w:rsid w:val="28E04AA5"/>
    <w:rsid w:val="28E13773"/>
    <w:rsid w:val="28FB2A87"/>
    <w:rsid w:val="290A4A78"/>
    <w:rsid w:val="29223C0A"/>
    <w:rsid w:val="292B5D48"/>
    <w:rsid w:val="2941173D"/>
    <w:rsid w:val="294206B6"/>
    <w:rsid w:val="294F2DD3"/>
    <w:rsid w:val="295353C5"/>
    <w:rsid w:val="29544969"/>
    <w:rsid w:val="297C7E08"/>
    <w:rsid w:val="299D58EC"/>
    <w:rsid w:val="29A079F1"/>
    <w:rsid w:val="29AC02DC"/>
    <w:rsid w:val="29C16A0B"/>
    <w:rsid w:val="29D82DC8"/>
    <w:rsid w:val="29F53B22"/>
    <w:rsid w:val="2A047CEA"/>
    <w:rsid w:val="2A224043"/>
    <w:rsid w:val="2A2953D2"/>
    <w:rsid w:val="2A3873C3"/>
    <w:rsid w:val="2A570191"/>
    <w:rsid w:val="2A681DCF"/>
    <w:rsid w:val="2A8925EE"/>
    <w:rsid w:val="2A8D5961"/>
    <w:rsid w:val="2A9C2048"/>
    <w:rsid w:val="2AA36F32"/>
    <w:rsid w:val="2AB70C30"/>
    <w:rsid w:val="2ABC7FF4"/>
    <w:rsid w:val="2AC25AAD"/>
    <w:rsid w:val="2ADC41F2"/>
    <w:rsid w:val="2AE05752"/>
    <w:rsid w:val="2AE30C02"/>
    <w:rsid w:val="2AEB1C54"/>
    <w:rsid w:val="2AF21D4B"/>
    <w:rsid w:val="2B011EB4"/>
    <w:rsid w:val="2B083876"/>
    <w:rsid w:val="2B16350E"/>
    <w:rsid w:val="2B1A2001"/>
    <w:rsid w:val="2B277B63"/>
    <w:rsid w:val="2B2B6F28"/>
    <w:rsid w:val="2B485D2C"/>
    <w:rsid w:val="2B4A3852"/>
    <w:rsid w:val="2B51698E"/>
    <w:rsid w:val="2B5244B4"/>
    <w:rsid w:val="2B5446D0"/>
    <w:rsid w:val="2B6E32AC"/>
    <w:rsid w:val="2B8B1F0B"/>
    <w:rsid w:val="2BAB5457"/>
    <w:rsid w:val="2BAE3DE1"/>
    <w:rsid w:val="2BD05A42"/>
    <w:rsid w:val="2BD262FE"/>
    <w:rsid w:val="2BD33847"/>
    <w:rsid w:val="2BD61589"/>
    <w:rsid w:val="2BF6277A"/>
    <w:rsid w:val="2C0E487F"/>
    <w:rsid w:val="2C206C76"/>
    <w:rsid w:val="2C251BC9"/>
    <w:rsid w:val="2C320A55"/>
    <w:rsid w:val="2C352792"/>
    <w:rsid w:val="2C3A1B18"/>
    <w:rsid w:val="2C453E2B"/>
    <w:rsid w:val="2C46226B"/>
    <w:rsid w:val="2C55425C"/>
    <w:rsid w:val="2C564365"/>
    <w:rsid w:val="2C58554A"/>
    <w:rsid w:val="2C5A3F68"/>
    <w:rsid w:val="2C640943"/>
    <w:rsid w:val="2C7843EE"/>
    <w:rsid w:val="2C7E7070"/>
    <w:rsid w:val="2C7F4E3D"/>
    <w:rsid w:val="2C8B2374"/>
    <w:rsid w:val="2C92725E"/>
    <w:rsid w:val="2C9A4429"/>
    <w:rsid w:val="2CA567FD"/>
    <w:rsid w:val="2CAA1544"/>
    <w:rsid w:val="2CAD4098"/>
    <w:rsid w:val="2CB05936"/>
    <w:rsid w:val="2CB92FBA"/>
    <w:rsid w:val="2CBC2E47"/>
    <w:rsid w:val="2CE42449"/>
    <w:rsid w:val="2CF901CB"/>
    <w:rsid w:val="2CFC0F83"/>
    <w:rsid w:val="2D227CDE"/>
    <w:rsid w:val="2D2370D4"/>
    <w:rsid w:val="2D265BF9"/>
    <w:rsid w:val="2D2740C8"/>
    <w:rsid w:val="2D2F71A3"/>
    <w:rsid w:val="2D306A77"/>
    <w:rsid w:val="2D340315"/>
    <w:rsid w:val="2D3B78F6"/>
    <w:rsid w:val="2D486F18"/>
    <w:rsid w:val="2D574004"/>
    <w:rsid w:val="2D577458"/>
    <w:rsid w:val="2D594220"/>
    <w:rsid w:val="2D5C5ABE"/>
    <w:rsid w:val="2D616C31"/>
    <w:rsid w:val="2D6A3D37"/>
    <w:rsid w:val="2D6D1A79"/>
    <w:rsid w:val="2D74105A"/>
    <w:rsid w:val="2D7D7F0E"/>
    <w:rsid w:val="2D7E3C87"/>
    <w:rsid w:val="2D825525"/>
    <w:rsid w:val="2D874005"/>
    <w:rsid w:val="2D93752A"/>
    <w:rsid w:val="2D990AC0"/>
    <w:rsid w:val="2DB17BB8"/>
    <w:rsid w:val="2DB63CC7"/>
    <w:rsid w:val="2DB9081B"/>
    <w:rsid w:val="2DCF44E2"/>
    <w:rsid w:val="2DD1025A"/>
    <w:rsid w:val="2DDC1CCB"/>
    <w:rsid w:val="2DDE0530"/>
    <w:rsid w:val="2E085537"/>
    <w:rsid w:val="2E0C4417"/>
    <w:rsid w:val="2E1B1D88"/>
    <w:rsid w:val="2E232138"/>
    <w:rsid w:val="2E374353"/>
    <w:rsid w:val="2E382087"/>
    <w:rsid w:val="2E3A07E4"/>
    <w:rsid w:val="2E4B1DBB"/>
    <w:rsid w:val="2E5549E7"/>
    <w:rsid w:val="2E5E3E0E"/>
    <w:rsid w:val="2E67296D"/>
    <w:rsid w:val="2E692241"/>
    <w:rsid w:val="2E6B420B"/>
    <w:rsid w:val="2E6D7F83"/>
    <w:rsid w:val="2E75396A"/>
    <w:rsid w:val="2E813A2E"/>
    <w:rsid w:val="2E8250B1"/>
    <w:rsid w:val="2E8361EB"/>
    <w:rsid w:val="2E8C5556"/>
    <w:rsid w:val="2E9229F1"/>
    <w:rsid w:val="2E941350"/>
    <w:rsid w:val="2EAB2859"/>
    <w:rsid w:val="2EB711FE"/>
    <w:rsid w:val="2EBD73F5"/>
    <w:rsid w:val="2EC04496"/>
    <w:rsid w:val="2EDC5C67"/>
    <w:rsid w:val="2EFF4F8F"/>
    <w:rsid w:val="2F0852D9"/>
    <w:rsid w:val="2F1523C9"/>
    <w:rsid w:val="2F1D509E"/>
    <w:rsid w:val="2F1E74CF"/>
    <w:rsid w:val="2F2321D8"/>
    <w:rsid w:val="2F2B1BEC"/>
    <w:rsid w:val="2F34313F"/>
    <w:rsid w:val="2F6D69D8"/>
    <w:rsid w:val="2F6F7D2B"/>
    <w:rsid w:val="2F7C5537"/>
    <w:rsid w:val="2F833C5A"/>
    <w:rsid w:val="2F8B61E7"/>
    <w:rsid w:val="2F8F68D7"/>
    <w:rsid w:val="2FA74A0D"/>
    <w:rsid w:val="2FB11F26"/>
    <w:rsid w:val="2FC00586"/>
    <w:rsid w:val="2FCE6F5C"/>
    <w:rsid w:val="2FDC53A2"/>
    <w:rsid w:val="2FE33D36"/>
    <w:rsid w:val="2FF5686E"/>
    <w:rsid w:val="2FFB511A"/>
    <w:rsid w:val="300C557A"/>
    <w:rsid w:val="30152FAF"/>
    <w:rsid w:val="3015322F"/>
    <w:rsid w:val="301A429D"/>
    <w:rsid w:val="302C4EBE"/>
    <w:rsid w:val="30360848"/>
    <w:rsid w:val="30367619"/>
    <w:rsid w:val="303845C1"/>
    <w:rsid w:val="30471F19"/>
    <w:rsid w:val="304B42F4"/>
    <w:rsid w:val="30534F57"/>
    <w:rsid w:val="305F6F86"/>
    <w:rsid w:val="308B46F0"/>
    <w:rsid w:val="308E5F8F"/>
    <w:rsid w:val="30913CD1"/>
    <w:rsid w:val="309537C1"/>
    <w:rsid w:val="30967798"/>
    <w:rsid w:val="30A21F8F"/>
    <w:rsid w:val="30B3092F"/>
    <w:rsid w:val="30C3032E"/>
    <w:rsid w:val="30C916BD"/>
    <w:rsid w:val="30C9346B"/>
    <w:rsid w:val="30D07DE1"/>
    <w:rsid w:val="30D43AB9"/>
    <w:rsid w:val="30D93A34"/>
    <w:rsid w:val="30D96948"/>
    <w:rsid w:val="30E262DA"/>
    <w:rsid w:val="30E958BB"/>
    <w:rsid w:val="30F007E1"/>
    <w:rsid w:val="30F94D68"/>
    <w:rsid w:val="3112096E"/>
    <w:rsid w:val="311C359A"/>
    <w:rsid w:val="311C7A3E"/>
    <w:rsid w:val="31210BB1"/>
    <w:rsid w:val="31374878"/>
    <w:rsid w:val="314125EF"/>
    <w:rsid w:val="31477D03"/>
    <w:rsid w:val="31587BB9"/>
    <w:rsid w:val="3166431F"/>
    <w:rsid w:val="316F69AC"/>
    <w:rsid w:val="31753577"/>
    <w:rsid w:val="31773A54"/>
    <w:rsid w:val="31837ABD"/>
    <w:rsid w:val="31857392"/>
    <w:rsid w:val="3186159C"/>
    <w:rsid w:val="318D4498"/>
    <w:rsid w:val="31945827"/>
    <w:rsid w:val="319C0B7F"/>
    <w:rsid w:val="31A31F0E"/>
    <w:rsid w:val="31AA329C"/>
    <w:rsid w:val="31B1462B"/>
    <w:rsid w:val="31C61758"/>
    <w:rsid w:val="31C816DA"/>
    <w:rsid w:val="31CA56EC"/>
    <w:rsid w:val="31D831CF"/>
    <w:rsid w:val="31F2254D"/>
    <w:rsid w:val="32024E86"/>
    <w:rsid w:val="3207249C"/>
    <w:rsid w:val="32144BB9"/>
    <w:rsid w:val="32146967"/>
    <w:rsid w:val="321C6951"/>
    <w:rsid w:val="321C75CA"/>
    <w:rsid w:val="32270449"/>
    <w:rsid w:val="324C7EAF"/>
    <w:rsid w:val="325F6CD4"/>
    <w:rsid w:val="3267118D"/>
    <w:rsid w:val="32676A97"/>
    <w:rsid w:val="3268123E"/>
    <w:rsid w:val="32696CB3"/>
    <w:rsid w:val="32706D71"/>
    <w:rsid w:val="32764EA2"/>
    <w:rsid w:val="327922F3"/>
    <w:rsid w:val="32885102"/>
    <w:rsid w:val="32931F82"/>
    <w:rsid w:val="329674B7"/>
    <w:rsid w:val="3299636E"/>
    <w:rsid w:val="32A24F93"/>
    <w:rsid w:val="32A95302"/>
    <w:rsid w:val="32C13713"/>
    <w:rsid w:val="32DB220F"/>
    <w:rsid w:val="32E00973"/>
    <w:rsid w:val="32EB76C8"/>
    <w:rsid w:val="32EE71B8"/>
    <w:rsid w:val="32FD11AA"/>
    <w:rsid w:val="33044FC4"/>
    <w:rsid w:val="330B29DF"/>
    <w:rsid w:val="330E785B"/>
    <w:rsid w:val="331179E0"/>
    <w:rsid w:val="331D76E7"/>
    <w:rsid w:val="332D769C"/>
    <w:rsid w:val="33456DAC"/>
    <w:rsid w:val="33490893"/>
    <w:rsid w:val="33603545"/>
    <w:rsid w:val="337F4D10"/>
    <w:rsid w:val="338C2A24"/>
    <w:rsid w:val="33990B5D"/>
    <w:rsid w:val="33A31D51"/>
    <w:rsid w:val="33AF6948"/>
    <w:rsid w:val="33B33157"/>
    <w:rsid w:val="33B95A18"/>
    <w:rsid w:val="33BF3D74"/>
    <w:rsid w:val="33CF6FEA"/>
    <w:rsid w:val="33D4015C"/>
    <w:rsid w:val="33DE0FDB"/>
    <w:rsid w:val="33E443DD"/>
    <w:rsid w:val="33E72714"/>
    <w:rsid w:val="33F20F2A"/>
    <w:rsid w:val="33F24A86"/>
    <w:rsid w:val="33F26834"/>
    <w:rsid w:val="33FB7DDF"/>
    <w:rsid w:val="341B3FDD"/>
    <w:rsid w:val="342F5CDB"/>
    <w:rsid w:val="343F6EE0"/>
    <w:rsid w:val="344057F2"/>
    <w:rsid w:val="34480B4A"/>
    <w:rsid w:val="34607C42"/>
    <w:rsid w:val="3472121E"/>
    <w:rsid w:val="348222AE"/>
    <w:rsid w:val="3482405C"/>
    <w:rsid w:val="34865FFF"/>
    <w:rsid w:val="3489363D"/>
    <w:rsid w:val="34931DC5"/>
    <w:rsid w:val="34A838F8"/>
    <w:rsid w:val="34BB756E"/>
    <w:rsid w:val="34C24459"/>
    <w:rsid w:val="34D50630"/>
    <w:rsid w:val="34D80120"/>
    <w:rsid w:val="34E940DB"/>
    <w:rsid w:val="34F605A6"/>
    <w:rsid w:val="35081CEA"/>
    <w:rsid w:val="35092088"/>
    <w:rsid w:val="351A4295"/>
    <w:rsid w:val="352944D8"/>
    <w:rsid w:val="35307958"/>
    <w:rsid w:val="353351EF"/>
    <w:rsid w:val="35335387"/>
    <w:rsid w:val="353D6627"/>
    <w:rsid w:val="353E3220"/>
    <w:rsid w:val="35466E38"/>
    <w:rsid w:val="35490FE7"/>
    <w:rsid w:val="35702107"/>
    <w:rsid w:val="358838F4"/>
    <w:rsid w:val="35951B6D"/>
    <w:rsid w:val="35AE2C2F"/>
    <w:rsid w:val="35B4082B"/>
    <w:rsid w:val="35BA7826"/>
    <w:rsid w:val="35C0308E"/>
    <w:rsid w:val="35D72186"/>
    <w:rsid w:val="35E82BFF"/>
    <w:rsid w:val="35F76384"/>
    <w:rsid w:val="36012288"/>
    <w:rsid w:val="36054F45"/>
    <w:rsid w:val="360768F8"/>
    <w:rsid w:val="360C62D3"/>
    <w:rsid w:val="361677A7"/>
    <w:rsid w:val="36226C5B"/>
    <w:rsid w:val="36462C49"/>
    <w:rsid w:val="36631C6B"/>
    <w:rsid w:val="36734C60"/>
    <w:rsid w:val="367D2D2D"/>
    <w:rsid w:val="368636C2"/>
    <w:rsid w:val="369D7C73"/>
    <w:rsid w:val="36A06A1C"/>
    <w:rsid w:val="36B42B6C"/>
    <w:rsid w:val="36D15C9E"/>
    <w:rsid w:val="36D93CDC"/>
    <w:rsid w:val="370E7E29"/>
    <w:rsid w:val="37154EA7"/>
    <w:rsid w:val="37184804"/>
    <w:rsid w:val="37265173"/>
    <w:rsid w:val="372707A0"/>
    <w:rsid w:val="373E4ECA"/>
    <w:rsid w:val="373F4487"/>
    <w:rsid w:val="376E08C8"/>
    <w:rsid w:val="37731622"/>
    <w:rsid w:val="37757DAA"/>
    <w:rsid w:val="377834F5"/>
    <w:rsid w:val="378620B5"/>
    <w:rsid w:val="379540A7"/>
    <w:rsid w:val="379B3D03"/>
    <w:rsid w:val="37B7401D"/>
    <w:rsid w:val="37C31FF8"/>
    <w:rsid w:val="37CB1876"/>
    <w:rsid w:val="37D50947"/>
    <w:rsid w:val="37DC7A53"/>
    <w:rsid w:val="37EC020A"/>
    <w:rsid w:val="38060B00"/>
    <w:rsid w:val="382673F4"/>
    <w:rsid w:val="382C7DC4"/>
    <w:rsid w:val="3830681D"/>
    <w:rsid w:val="38392F3B"/>
    <w:rsid w:val="383D2808"/>
    <w:rsid w:val="383E64EC"/>
    <w:rsid w:val="38427439"/>
    <w:rsid w:val="384653A1"/>
    <w:rsid w:val="384D5951"/>
    <w:rsid w:val="38720E65"/>
    <w:rsid w:val="38767A34"/>
    <w:rsid w:val="387D205C"/>
    <w:rsid w:val="38832151"/>
    <w:rsid w:val="388432BD"/>
    <w:rsid w:val="38881362"/>
    <w:rsid w:val="38A547BD"/>
    <w:rsid w:val="38EF0AEC"/>
    <w:rsid w:val="38F82B3F"/>
    <w:rsid w:val="38FE6F6D"/>
    <w:rsid w:val="391858B6"/>
    <w:rsid w:val="391D07F7"/>
    <w:rsid w:val="39257682"/>
    <w:rsid w:val="392751D2"/>
    <w:rsid w:val="39296809"/>
    <w:rsid w:val="393D0552"/>
    <w:rsid w:val="3942025E"/>
    <w:rsid w:val="39630D50"/>
    <w:rsid w:val="396E2E01"/>
    <w:rsid w:val="397E6BE9"/>
    <w:rsid w:val="39902D77"/>
    <w:rsid w:val="39A131D7"/>
    <w:rsid w:val="39B85420"/>
    <w:rsid w:val="39C80F88"/>
    <w:rsid w:val="39FC7E7C"/>
    <w:rsid w:val="3A053FB1"/>
    <w:rsid w:val="3A2A4F7A"/>
    <w:rsid w:val="3A2E128F"/>
    <w:rsid w:val="3A2E21B4"/>
    <w:rsid w:val="3A3E27D3"/>
    <w:rsid w:val="3A414072"/>
    <w:rsid w:val="3A4A73CA"/>
    <w:rsid w:val="3A575643"/>
    <w:rsid w:val="3A63223A"/>
    <w:rsid w:val="3A777CB4"/>
    <w:rsid w:val="3A804B9A"/>
    <w:rsid w:val="3A8078D6"/>
    <w:rsid w:val="3A810912"/>
    <w:rsid w:val="3A8D69D4"/>
    <w:rsid w:val="3A900B55"/>
    <w:rsid w:val="3AAF1923"/>
    <w:rsid w:val="3AB6680E"/>
    <w:rsid w:val="3AC0143A"/>
    <w:rsid w:val="3AC3717D"/>
    <w:rsid w:val="3ACD1DA9"/>
    <w:rsid w:val="3AD9074E"/>
    <w:rsid w:val="3AD938A0"/>
    <w:rsid w:val="3AE570F3"/>
    <w:rsid w:val="3B0438CA"/>
    <w:rsid w:val="3B135A0E"/>
    <w:rsid w:val="3B1C3679"/>
    <w:rsid w:val="3B312DF4"/>
    <w:rsid w:val="3B3155E9"/>
    <w:rsid w:val="3B3779FE"/>
    <w:rsid w:val="3B392F9B"/>
    <w:rsid w:val="3B445ECE"/>
    <w:rsid w:val="3B516536"/>
    <w:rsid w:val="3B5F6EA5"/>
    <w:rsid w:val="3B8406BA"/>
    <w:rsid w:val="3B8E1539"/>
    <w:rsid w:val="3B8F1237"/>
    <w:rsid w:val="3B9308FD"/>
    <w:rsid w:val="3BA0434A"/>
    <w:rsid w:val="3BAB3E99"/>
    <w:rsid w:val="3BB014AF"/>
    <w:rsid w:val="3BC67F46"/>
    <w:rsid w:val="3C015151"/>
    <w:rsid w:val="3C0161AE"/>
    <w:rsid w:val="3C302B8A"/>
    <w:rsid w:val="3C3C71E7"/>
    <w:rsid w:val="3C42130E"/>
    <w:rsid w:val="3C43388C"/>
    <w:rsid w:val="3C446708"/>
    <w:rsid w:val="3C4C631E"/>
    <w:rsid w:val="3C534279"/>
    <w:rsid w:val="3C6B7ACC"/>
    <w:rsid w:val="3C7921E9"/>
    <w:rsid w:val="3CCF005B"/>
    <w:rsid w:val="3CE82ECA"/>
    <w:rsid w:val="3CEF6B28"/>
    <w:rsid w:val="3CF274BE"/>
    <w:rsid w:val="3CF278A5"/>
    <w:rsid w:val="3D037A10"/>
    <w:rsid w:val="3D112421"/>
    <w:rsid w:val="3D146365"/>
    <w:rsid w:val="3D2008B6"/>
    <w:rsid w:val="3D22018A"/>
    <w:rsid w:val="3D2E67C7"/>
    <w:rsid w:val="3D2F28A7"/>
    <w:rsid w:val="3D363C36"/>
    <w:rsid w:val="3D372A2C"/>
    <w:rsid w:val="3D3B687F"/>
    <w:rsid w:val="3D7309E6"/>
    <w:rsid w:val="3D753087"/>
    <w:rsid w:val="3D7634AA"/>
    <w:rsid w:val="3D9646D4"/>
    <w:rsid w:val="3D9D390F"/>
    <w:rsid w:val="3D9F17DB"/>
    <w:rsid w:val="3DA43295"/>
    <w:rsid w:val="3DBA4867"/>
    <w:rsid w:val="3DCC6348"/>
    <w:rsid w:val="3DCE530E"/>
    <w:rsid w:val="3DDD60C4"/>
    <w:rsid w:val="3DDE2232"/>
    <w:rsid w:val="3DE73182"/>
    <w:rsid w:val="3DFD6502"/>
    <w:rsid w:val="3DFE1799"/>
    <w:rsid w:val="3E0755F5"/>
    <w:rsid w:val="3E083824"/>
    <w:rsid w:val="3E0C4997"/>
    <w:rsid w:val="3E155F41"/>
    <w:rsid w:val="3E361D57"/>
    <w:rsid w:val="3E3D0FF4"/>
    <w:rsid w:val="3E5D4A55"/>
    <w:rsid w:val="3E6B3DB3"/>
    <w:rsid w:val="3E6E11AD"/>
    <w:rsid w:val="3E8B6203"/>
    <w:rsid w:val="3E957E30"/>
    <w:rsid w:val="3EAE65E9"/>
    <w:rsid w:val="3EAF4ABF"/>
    <w:rsid w:val="3EB43064"/>
    <w:rsid w:val="3EB92D70"/>
    <w:rsid w:val="3EB94B1E"/>
    <w:rsid w:val="3EC534C3"/>
    <w:rsid w:val="3EDE4585"/>
    <w:rsid w:val="3EEB27FE"/>
    <w:rsid w:val="3EF21DDE"/>
    <w:rsid w:val="3F067638"/>
    <w:rsid w:val="3F3B5533"/>
    <w:rsid w:val="3F3D38B8"/>
    <w:rsid w:val="3F3D5750"/>
    <w:rsid w:val="3F4B055B"/>
    <w:rsid w:val="3F4F7231"/>
    <w:rsid w:val="3F520365"/>
    <w:rsid w:val="3F54165D"/>
    <w:rsid w:val="3F5E0662"/>
    <w:rsid w:val="3F604F9A"/>
    <w:rsid w:val="3F904654"/>
    <w:rsid w:val="3F9D61EE"/>
    <w:rsid w:val="3FA44261"/>
    <w:rsid w:val="3FAF1A7E"/>
    <w:rsid w:val="3FB733DA"/>
    <w:rsid w:val="3FB84B18"/>
    <w:rsid w:val="3FCE45FA"/>
    <w:rsid w:val="3FD10984"/>
    <w:rsid w:val="3FF73B50"/>
    <w:rsid w:val="400242A3"/>
    <w:rsid w:val="40061530"/>
    <w:rsid w:val="4010076E"/>
    <w:rsid w:val="40112738"/>
    <w:rsid w:val="40155D85"/>
    <w:rsid w:val="401F4E55"/>
    <w:rsid w:val="402266F3"/>
    <w:rsid w:val="402C30CE"/>
    <w:rsid w:val="402D7572"/>
    <w:rsid w:val="402F0C61"/>
    <w:rsid w:val="40520D87"/>
    <w:rsid w:val="40523B6B"/>
    <w:rsid w:val="40532D51"/>
    <w:rsid w:val="407D3DCA"/>
    <w:rsid w:val="407D7357"/>
    <w:rsid w:val="40833636"/>
    <w:rsid w:val="4084115C"/>
    <w:rsid w:val="408B24EB"/>
    <w:rsid w:val="40955117"/>
    <w:rsid w:val="409B299D"/>
    <w:rsid w:val="40B572CC"/>
    <w:rsid w:val="40C044DB"/>
    <w:rsid w:val="40CB25DA"/>
    <w:rsid w:val="40CE4185"/>
    <w:rsid w:val="40E439A9"/>
    <w:rsid w:val="40FF07E3"/>
    <w:rsid w:val="410A340F"/>
    <w:rsid w:val="412160C9"/>
    <w:rsid w:val="412D5350"/>
    <w:rsid w:val="412E258A"/>
    <w:rsid w:val="412F2E76"/>
    <w:rsid w:val="41306BEE"/>
    <w:rsid w:val="413C37E5"/>
    <w:rsid w:val="413E130B"/>
    <w:rsid w:val="41432DC5"/>
    <w:rsid w:val="41605725"/>
    <w:rsid w:val="41847666"/>
    <w:rsid w:val="418A09F4"/>
    <w:rsid w:val="418F7DB9"/>
    <w:rsid w:val="41911D83"/>
    <w:rsid w:val="419150F2"/>
    <w:rsid w:val="41AA2E44"/>
    <w:rsid w:val="41B30EB9"/>
    <w:rsid w:val="41C37A62"/>
    <w:rsid w:val="41CA0DF1"/>
    <w:rsid w:val="41CE08E1"/>
    <w:rsid w:val="41CF45D2"/>
    <w:rsid w:val="41D57EC1"/>
    <w:rsid w:val="41E00614"/>
    <w:rsid w:val="41E11F0A"/>
    <w:rsid w:val="41E2317E"/>
    <w:rsid w:val="41E55C2A"/>
    <w:rsid w:val="41ED4129"/>
    <w:rsid w:val="41F52311"/>
    <w:rsid w:val="41FD11C6"/>
    <w:rsid w:val="42017A64"/>
    <w:rsid w:val="42091919"/>
    <w:rsid w:val="42170A15"/>
    <w:rsid w:val="4217543A"/>
    <w:rsid w:val="421D7172"/>
    <w:rsid w:val="422449A5"/>
    <w:rsid w:val="422D009D"/>
    <w:rsid w:val="4230334A"/>
    <w:rsid w:val="42336996"/>
    <w:rsid w:val="423A41C8"/>
    <w:rsid w:val="42611755"/>
    <w:rsid w:val="426E3E72"/>
    <w:rsid w:val="42725710"/>
    <w:rsid w:val="427730B1"/>
    <w:rsid w:val="42843695"/>
    <w:rsid w:val="42962BD1"/>
    <w:rsid w:val="429B3C85"/>
    <w:rsid w:val="42A72EE0"/>
    <w:rsid w:val="42AE4A89"/>
    <w:rsid w:val="42BC4BDD"/>
    <w:rsid w:val="42BF647C"/>
    <w:rsid w:val="42DE4B54"/>
    <w:rsid w:val="42E14644"/>
    <w:rsid w:val="43067209"/>
    <w:rsid w:val="43195B8C"/>
    <w:rsid w:val="433E55F2"/>
    <w:rsid w:val="434626F9"/>
    <w:rsid w:val="434B7D0F"/>
    <w:rsid w:val="435619AF"/>
    <w:rsid w:val="43577E8D"/>
    <w:rsid w:val="436112E1"/>
    <w:rsid w:val="436314FD"/>
    <w:rsid w:val="43686B13"/>
    <w:rsid w:val="436A63E7"/>
    <w:rsid w:val="436F7EA2"/>
    <w:rsid w:val="4374370A"/>
    <w:rsid w:val="438C2802"/>
    <w:rsid w:val="438D20D6"/>
    <w:rsid w:val="438D657A"/>
    <w:rsid w:val="43974DBC"/>
    <w:rsid w:val="439E68D7"/>
    <w:rsid w:val="43AA712C"/>
    <w:rsid w:val="43C024AB"/>
    <w:rsid w:val="43CC2BFE"/>
    <w:rsid w:val="43DB5537"/>
    <w:rsid w:val="43E97C54"/>
    <w:rsid w:val="43ED0DC6"/>
    <w:rsid w:val="43F453AD"/>
    <w:rsid w:val="43FC0886"/>
    <w:rsid w:val="43FD54AD"/>
    <w:rsid w:val="43FF3DCD"/>
    <w:rsid w:val="44022F83"/>
    <w:rsid w:val="440305EA"/>
    <w:rsid w:val="4405393D"/>
    <w:rsid w:val="440920A4"/>
    <w:rsid w:val="44202F4A"/>
    <w:rsid w:val="44205EDD"/>
    <w:rsid w:val="442229E7"/>
    <w:rsid w:val="44270658"/>
    <w:rsid w:val="442C7B41"/>
    <w:rsid w:val="442D05C6"/>
    <w:rsid w:val="442F7D00"/>
    <w:rsid w:val="443C10EF"/>
    <w:rsid w:val="443F223E"/>
    <w:rsid w:val="444F55DD"/>
    <w:rsid w:val="44520091"/>
    <w:rsid w:val="445F6638"/>
    <w:rsid w:val="446E63AB"/>
    <w:rsid w:val="447B4624"/>
    <w:rsid w:val="448529B1"/>
    <w:rsid w:val="449D27EC"/>
    <w:rsid w:val="44A43B7B"/>
    <w:rsid w:val="44A45929"/>
    <w:rsid w:val="44AD0C81"/>
    <w:rsid w:val="44B4332D"/>
    <w:rsid w:val="44B85878"/>
    <w:rsid w:val="44C164DB"/>
    <w:rsid w:val="44D206E8"/>
    <w:rsid w:val="44DC50C3"/>
    <w:rsid w:val="44E67CEF"/>
    <w:rsid w:val="44F468B0"/>
    <w:rsid w:val="45126FAA"/>
    <w:rsid w:val="451A5BEB"/>
    <w:rsid w:val="451E1B7F"/>
    <w:rsid w:val="452151CC"/>
    <w:rsid w:val="452544E9"/>
    <w:rsid w:val="45316E9A"/>
    <w:rsid w:val="453C3DB3"/>
    <w:rsid w:val="453E79A8"/>
    <w:rsid w:val="454C7114"/>
    <w:rsid w:val="455963EA"/>
    <w:rsid w:val="455C00D8"/>
    <w:rsid w:val="4570065B"/>
    <w:rsid w:val="457572C5"/>
    <w:rsid w:val="457A4B71"/>
    <w:rsid w:val="4588349D"/>
    <w:rsid w:val="458C355D"/>
    <w:rsid w:val="45921C25"/>
    <w:rsid w:val="45B23944"/>
    <w:rsid w:val="45B85B30"/>
    <w:rsid w:val="45D4223E"/>
    <w:rsid w:val="45DE6011"/>
    <w:rsid w:val="45E05087"/>
    <w:rsid w:val="45E13225"/>
    <w:rsid w:val="460074D7"/>
    <w:rsid w:val="4629258A"/>
    <w:rsid w:val="464253F9"/>
    <w:rsid w:val="465B37FE"/>
    <w:rsid w:val="467031F0"/>
    <w:rsid w:val="4674757D"/>
    <w:rsid w:val="467625C0"/>
    <w:rsid w:val="46762775"/>
    <w:rsid w:val="467679B8"/>
    <w:rsid w:val="467F664E"/>
    <w:rsid w:val="46841EB6"/>
    <w:rsid w:val="46980FF1"/>
    <w:rsid w:val="46992276"/>
    <w:rsid w:val="469A5235"/>
    <w:rsid w:val="46AD63B2"/>
    <w:rsid w:val="46B2048A"/>
    <w:rsid w:val="46C563F1"/>
    <w:rsid w:val="46CB4810"/>
    <w:rsid w:val="46CC0D09"/>
    <w:rsid w:val="46CF3C92"/>
    <w:rsid w:val="46DE0AE4"/>
    <w:rsid w:val="46DE2CE2"/>
    <w:rsid w:val="46EB783F"/>
    <w:rsid w:val="46FE3A16"/>
    <w:rsid w:val="46FF153C"/>
    <w:rsid w:val="471F1BDF"/>
    <w:rsid w:val="471F26A5"/>
    <w:rsid w:val="47255E82"/>
    <w:rsid w:val="4729480B"/>
    <w:rsid w:val="472B75FD"/>
    <w:rsid w:val="4736741F"/>
    <w:rsid w:val="475C272B"/>
    <w:rsid w:val="476C2FC5"/>
    <w:rsid w:val="478832E0"/>
    <w:rsid w:val="479C11D6"/>
    <w:rsid w:val="479D0A65"/>
    <w:rsid w:val="47A65DAE"/>
    <w:rsid w:val="47C10059"/>
    <w:rsid w:val="47C97E8A"/>
    <w:rsid w:val="47DB3D58"/>
    <w:rsid w:val="47DC2A90"/>
    <w:rsid w:val="47DE1152"/>
    <w:rsid w:val="47E36768"/>
    <w:rsid w:val="47EF54ED"/>
    <w:rsid w:val="480F57AF"/>
    <w:rsid w:val="48164D90"/>
    <w:rsid w:val="48180B08"/>
    <w:rsid w:val="48196185"/>
    <w:rsid w:val="48276F9D"/>
    <w:rsid w:val="483376F0"/>
    <w:rsid w:val="48384D06"/>
    <w:rsid w:val="483857BB"/>
    <w:rsid w:val="484511D1"/>
    <w:rsid w:val="485458B8"/>
    <w:rsid w:val="48607460"/>
    <w:rsid w:val="486C6E37"/>
    <w:rsid w:val="487970CD"/>
    <w:rsid w:val="487B4BF3"/>
    <w:rsid w:val="487B5B3E"/>
    <w:rsid w:val="4884619D"/>
    <w:rsid w:val="489108BA"/>
    <w:rsid w:val="48967C7F"/>
    <w:rsid w:val="48A64365"/>
    <w:rsid w:val="48B142E8"/>
    <w:rsid w:val="48B3438D"/>
    <w:rsid w:val="48DD765B"/>
    <w:rsid w:val="48F86243"/>
    <w:rsid w:val="49042E3A"/>
    <w:rsid w:val="49080B7C"/>
    <w:rsid w:val="491312CF"/>
    <w:rsid w:val="49146BE5"/>
    <w:rsid w:val="49153299"/>
    <w:rsid w:val="492E5776"/>
    <w:rsid w:val="4956661F"/>
    <w:rsid w:val="4964727B"/>
    <w:rsid w:val="49656BC0"/>
    <w:rsid w:val="49675177"/>
    <w:rsid w:val="49697141"/>
    <w:rsid w:val="496E4757"/>
    <w:rsid w:val="496E484D"/>
    <w:rsid w:val="497E16E5"/>
    <w:rsid w:val="499C7434"/>
    <w:rsid w:val="499F0DB5"/>
    <w:rsid w:val="49B04D70"/>
    <w:rsid w:val="49BD71F0"/>
    <w:rsid w:val="49BE0DDD"/>
    <w:rsid w:val="49C3504F"/>
    <w:rsid w:val="49C46DC5"/>
    <w:rsid w:val="49DC7913"/>
    <w:rsid w:val="49DF5F0E"/>
    <w:rsid w:val="49EB10FC"/>
    <w:rsid w:val="4A026538"/>
    <w:rsid w:val="4A037596"/>
    <w:rsid w:val="4A080708"/>
    <w:rsid w:val="4A190B67"/>
    <w:rsid w:val="4A1B48DF"/>
    <w:rsid w:val="4A2C2290"/>
    <w:rsid w:val="4A4500C5"/>
    <w:rsid w:val="4A4F27DB"/>
    <w:rsid w:val="4A527BD5"/>
    <w:rsid w:val="4A537640"/>
    <w:rsid w:val="4A6E0EB3"/>
    <w:rsid w:val="4A8C3459"/>
    <w:rsid w:val="4A930919"/>
    <w:rsid w:val="4AAF202F"/>
    <w:rsid w:val="4AB12B4E"/>
    <w:rsid w:val="4AC263F5"/>
    <w:rsid w:val="4AC4752B"/>
    <w:rsid w:val="4ACB4AB7"/>
    <w:rsid w:val="4ADA014C"/>
    <w:rsid w:val="4AE44CD1"/>
    <w:rsid w:val="4AE46393"/>
    <w:rsid w:val="4AE922E8"/>
    <w:rsid w:val="4AF13892"/>
    <w:rsid w:val="4AFD1577"/>
    <w:rsid w:val="4B090BDC"/>
    <w:rsid w:val="4B11413D"/>
    <w:rsid w:val="4B1A51A0"/>
    <w:rsid w:val="4B3D2633"/>
    <w:rsid w:val="4B6C08C5"/>
    <w:rsid w:val="4B7122DD"/>
    <w:rsid w:val="4B83273C"/>
    <w:rsid w:val="4B9E7576"/>
    <w:rsid w:val="4B9F3EF1"/>
    <w:rsid w:val="4BA565AA"/>
    <w:rsid w:val="4BC108B4"/>
    <w:rsid w:val="4BC74135"/>
    <w:rsid w:val="4BD5286C"/>
    <w:rsid w:val="4BDA60D4"/>
    <w:rsid w:val="4BF41D25"/>
    <w:rsid w:val="4C0F5C1B"/>
    <w:rsid w:val="4C2B4251"/>
    <w:rsid w:val="4C5C2F8D"/>
    <w:rsid w:val="4C63256E"/>
    <w:rsid w:val="4C8E0275"/>
    <w:rsid w:val="4C934C01"/>
    <w:rsid w:val="4C9444D5"/>
    <w:rsid w:val="4CA94424"/>
    <w:rsid w:val="4CAF57B3"/>
    <w:rsid w:val="4CDB0356"/>
    <w:rsid w:val="4CE23316"/>
    <w:rsid w:val="4CE511D4"/>
    <w:rsid w:val="4CE865CF"/>
    <w:rsid w:val="4CF077D9"/>
    <w:rsid w:val="4CF5766A"/>
    <w:rsid w:val="4D062129"/>
    <w:rsid w:val="4D075010"/>
    <w:rsid w:val="4D167CC4"/>
    <w:rsid w:val="4D1B4660"/>
    <w:rsid w:val="4D210E1E"/>
    <w:rsid w:val="4D4B54DB"/>
    <w:rsid w:val="4D5713F5"/>
    <w:rsid w:val="4D5819A6"/>
    <w:rsid w:val="4D5A74CD"/>
    <w:rsid w:val="4D622825"/>
    <w:rsid w:val="4D6245D3"/>
    <w:rsid w:val="4D6A0BF8"/>
    <w:rsid w:val="4D737643"/>
    <w:rsid w:val="4D761C2A"/>
    <w:rsid w:val="4D9724CF"/>
    <w:rsid w:val="4D9B7610"/>
    <w:rsid w:val="4DBF53A3"/>
    <w:rsid w:val="4DC922B7"/>
    <w:rsid w:val="4DE1199C"/>
    <w:rsid w:val="4DF200CA"/>
    <w:rsid w:val="4DF415C1"/>
    <w:rsid w:val="4DFA480C"/>
    <w:rsid w:val="4DFC3E30"/>
    <w:rsid w:val="4E092CA1"/>
    <w:rsid w:val="4E0B2A9E"/>
    <w:rsid w:val="4E151645"/>
    <w:rsid w:val="4E173610"/>
    <w:rsid w:val="4E2D2E33"/>
    <w:rsid w:val="4E3C70E2"/>
    <w:rsid w:val="4E467A51"/>
    <w:rsid w:val="4E477394"/>
    <w:rsid w:val="4E4F5928"/>
    <w:rsid w:val="4E524443"/>
    <w:rsid w:val="4E594142"/>
    <w:rsid w:val="4E5C4359"/>
    <w:rsid w:val="4E6B254F"/>
    <w:rsid w:val="4E850579"/>
    <w:rsid w:val="4E854326"/>
    <w:rsid w:val="4EA12ED9"/>
    <w:rsid w:val="4EC1279B"/>
    <w:rsid w:val="4EC45870"/>
    <w:rsid w:val="4EC513FE"/>
    <w:rsid w:val="4EC70B92"/>
    <w:rsid w:val="4EC8490A"/>
    <w:rsid w:val="4ED12CAF"/>
    <w:rsid w:val="4ED4361A"/>
    <w:rsid w:val="4ED908C5"/>
    <w:rsid w:val="4ED97A1F"/>
    <w:rsid w:val="4EDA656A"/>
    <w:rsid w:val="4EE74D90"/>
    <w:rsid w:val="4EEE1338"/>
    <w:rsid w:val="4EEE1AFD"/>
    <w:rsid w:val="4F035942"/>
    <w:rsid w:val="4F0E056F"/>
    <w:rsid w:val="4F1C34EA"/>
    <w:rsid w:val="4F227257"/>
    <w:rsid w:val="4F2D29F2"/>
    <w:rsid w:val="4F2E2FCE"/>
    <w:rsid w:val="4F2E69C1"/>
    <w:rsid w:val="4F377967"/>
    <w:rsid w:val="4F3A01B4"/>
    <w:rsid w:val="4F3A75B6"/>
    <w:rsid w:val="4F42646A"/>
    <w:rsid w:val="4F4E12B3"/>
    <w:rsid w:val="4F5E27FE"/>
    <w:rsid w:val="4F716349"/>
    <w:rsid w:val="4F7253F0"/>
    <w:rsid w:val="4F7D3946"/>
    <w:rsid w:val="4F93316A"/>
    <w:rsid w:val="4FBD2996"/>
    <w:rsid w:val="4FCB46B2"/>
    <w:rsid w:val="4FD53E87"/>
    <w:rsid w:val="50120DD2"/>
    <w:rsid w:val="501248BD"/>
    <w:rsid w:val="501B05E0"/>
    <w:rsid w:val="501F49FD"/>
    <w:rsid w:val="50265D8C"/>
    <w:rsid w:val="502A7E27"/>
    <w:rsid w:val="503E1327"/>
    <w:rsid w:val="505234CE"/>
    <w:rsid w:val="507636B6"/>
    <w:rsid w:val="507C3BFE"/>
    <w:rsid w:val="508B3E41"/>
    <w:rsid w:val="50A15412"/>
    <w:rsid w:val="50A64541"/>
    <w:rsid w:val="50AC472B"/>
    <w:rsid w:val="50BC3FFA"/>
    <w:rsid w:val="50C2365C"/>
    <w:rsid w:val="50C57353"/>
    <w:rsid w:val="50CF1F80"/>
    <w:rsid w:val="50E53B70"/>
    <w:rsid w:val="50F33EC0"/>
    <w:rsid w:val="50F6670E"/>
    <w:rsid w:val="51165E00"/>
    <w:rsid w:val="512E29CE"/>
    <w:rsid w:val="5146190B"/>
    <w:rsid w:val="51500F8C"/>
    <w:rsid w:val="51544BCE"/>
    <w:rsid w:val="515626A1"/>
    <w:rsid w:val="51695F30"/>
    <w:rsid w:val="51791EEB"/>
    <w:rsid w:val="517E3CFA"/>
    <w:rsid w:val="51840FBC"/>
    <w:rsid w:val="518E38C6"/>
    <w:rsid w:val="5192770D"/>
    <w:rsid w:val="519A258E"/>
    <w:rsid w:val="51B00003"/>
    <w:rsid w:val="51B859B9"/>
    <w:rsid w:val="51C62F63"/>
    <w:rsid w:val="51C67372"/>
    <w:rsid w:val="51CB2ADF"/>
    <w:rsid w:val="51EC53F1"/>
    <w:rsid w:val="52086A3F"/>
    <w:rsid w:val="521A36CE"/>
    <w:rsid w:val="5221680B"/>
    <w:rsid w:val="52512E21"/>
    <w:rsid w:val="52522E68"/>
    <w:rsid w:val="52554706"/>
    <w:rsid w:val="525564B4"/>
    <w:rsid w:val="525B3B3A"/>
    <w:rsid w:val="525F70E4"/>
    <w:rsid w:val="526A6404"/>
    <w:rsid w:val="5275209D"/>
    <w:rsid w:val="527C6137"/>
    <w:rsid w:val="528563E5"/>
    <w:rsid w:val="5292702A"/>
    <w:rsid w:val="52992845"/>
    <w:rsid w:val="52A82BD4"/>
    <w:rsid w:val="52AC4CB5"/>
    <w:rsid w:val="52B63CA5"/>
    <w:rsid w:val="52B94C95"/>
    <w:rsid w:val="52CD24EF"/>
    <w:rsid w:val="52D25830"/>
    <w:rsid w:val="52D47D21"/>
    <w:rsid w:val="52E53CDC"/>
    <w:rsid w:val="52F549BB"/>
    <w:rsid w:val="531E71EE"/>
    <w:rsid w:val="5325232B"/>
    <w:rsid w:val="532A16EF"/>
    <w:rsid w:val="534A5FE2"/>
    <w:rsid w:val="535E0197"/>
    <w:rsid w:val="535E6182"/>
    <w:rsid w:val="536410A5"/>
    <w:rsid w:val="53645F00"/>
    <w:rsid w:val="53654E1D"/>
    <w:rsid w:val="537D0AA5"/>
    <w:rsid w:val="53894668"/>
    <w:rsid w:val="53901E9A"/>
    <w:rsid w:val="53A25729"/>
    <w:rsid w:val="53B315DE"/>
    <w:rsid w:val="53BF765F"/>
    <w:rsid w:val="53C90F08"/>
    <w:rsid w:val="53D63625"/>
    <w:rsid w:val="53E614A4"/>
    <w:rsid w:val="53EC4BF7"/>
    <w:rsid w:val="53FA34C3"/>
    <w:rsid w:val="53FB0F0D"/>
    <w:rsid w:val="54024D3B"/>
    <w:rsid w:val="54025286"/>
    <w:rsid w:val="540C7047"/>
    <w:rsid w:val="5429279F"/>
    <w:rsid w:val="54302D35"/>
    <w:rsid w:val="54436F0C"/>
    <w:rsid w:val="546952CE"/>
    <w:rsid w:val="546E7D01"/>
    <w:rsid w:val="54741A0D"/>
    <w:rsid w:val="54770964"/>
    <w:rsid w:val="54866D96"/>
    <w:rsid w:val="54972DB4"/>
    <w:rsid w:val="54996B2C"/>
    <w:rsid w:val="549A0AF6"/>
    <w:rsid w:val="54A34230"/>
    <w:rsid w:val="54C33BA9"/>
    <w:rsid w:val="54C85664"/>
    <w:rsid w:val="54CC34BC"/>
    <w:rsid w:val="54D67D81"/>
    <w:rsid w:val="54DF3704"/>
    <w:rsid w:val="54E51D72"/>
    <w:rsid w:val="54EB1C09"/>
    <w:rsid w:val="550078F7"/>
    <w:rsid w:val="552F6CA7"/>
    <w:rsid w:val="55370461"/>
    <w:rsid w:val="554C1DF1"/>
    <w:rsid w:val="5559450E"/>
    <w:rsid w:val="555962BC"/>
    <w:rsid w:val="555B0286"/>
    <w:rsid w:val="55733821"/>
    <w:rsid w:val="55780E38"/>
    <w:rsid w:val="557C0667"/>
    <w:rsid w:val="55852E62"/>
    <w:rsid w:val="558E2409"/>
    <w:rsid w:val="55A21A11"/>
    <w:rsid w:val="55A95CF6"/>
    <w:rsid w:val="55AB2A19"/>
    <w:rsid w:val="55B654BC"/>
    <w:rsid w:val="55BD676B"/>
    <w:rsid w:val="561623FF"/>
    <w:rsid w:val="561F417C"/>
    <w:rsid w:val="56331779"/>
    <w:rsid w:val="563C1E65"/>
    <w:rsid w:val="564B3E56"/>
    <w:rsid w:val="56544452"/>
    <w:rsid w:val="56546ACF"/>
    <w:rsid w:val="566179D6"/>
    <w:rsid w:val="56754624"/>
    <w:rsid w:val="567A473C"/>
    <w:rsid w:val="56811F6E"/>
    <w:rsid w:val="568F32C7"/>
    <w:rsid w:val="569B1361"/>
    <w:rsid w:val="56B0568C"/>
    <w:rsid w:val="56BA73D7"/>
    <w:rsid w:val="56CE6835"/>
    <w:rsid w:val="56DD1950"/>
    <w:rsid w:val="56E46059"/>
    <w:rsid w:val="56F269C8"/>
    <w:rsid w:val="5705494D"/>
    <w:rsid w:val="570606C5"/>
    <w:rsid w:val="571B5F1F"/>
    <w:rsid w:val="571D00AA"/>
    <w:rsid w:val="572B1EDA"/>
    <w:rsid w:val="573A47F4"/>
    <w:rsid w:val="574407B0"/>
    <w:rsid w:val="574C257C"/>
    <w:rsid w:val="5753390A"/>
    <w:rsid w:val="57580F21"/>
    <w:rsid w:val="57654DF0"/>
    <w:rsid w:val="576C5B65"/>
    <w:rsid w:val="577B4C0F"/>
    <w:rsid w:val="577D0633"/>
    <w:rsid w:val="579932E7"/>
    <w:rsid w:val="579B0E0D"/>
    <w:rsid w:val="57A8352A"/>
    <w:rsid w:val="57AC6B77"/>
    <w:rsid w:val="57AD28EF"/>
    <w:rsid w:val="57AF6667"/>
    <w:rsid w:val="57C86117"/>
    <w:rsid w:val="57E3272C"/>
    <w:rsid w:val="57EA4382"/>
    <w:rsid w:val="57F54BF5"/>
    <w:rsid w:val="57FF75EE"/>
    <w:rsid w:val="58141B8C"/>
    <w:rsid w:val="582336E8"/>
    <w:rsid w:val="583059FA"/>
    <w:rsid w:val="58313C22"/>
    <w:rsid w:val="58357612"/>
    <w:rsid w:val="58472D78"/>
    <w:rsid w:val="584F129D"/>
    <w:rsid w:val="585B234B"/>
    <w:rsid w:val="5873528C"/>
    <w:rsid w:val="589615CC"/>
    <w:rsid w:val="589B3DBF"/>
    <w:rsid w:val="58A81A34"/>
    <w:rsid w:val="58A91308"/>
    <w:rsid w:val="58B55EFF"/>
    <w:rsid w:val="58B96858"/>
    <w:rsid w:val="58BE1257"/>
    <w:rsid w:val="58EC6126"/>
    <w:rsid w:val="58EC6CDB"/>
    <w:rsid w:val="58F46A27"/>
    <w:rsid w:val="58F9403E"/>
    <w:rsid w:val="59036C6A"/>
    <w:rsid w:val="590824D3"/>
    <w:rsid w:val="590D5D3B"/>
    <w:rsid w:val="5914321D"/>
    <w:rsid w:val="592117E6"/>
    <w:rsid w:val="59232E69"/>
    <w:rsid w:val="593E5EF4"/>
    <w:rsid w:val="59411241"/>
    <w:rsid w:val="594A497B"/>
    <w:rsid w:val="59575208"/>
    <w:rsid w:val="595C637A"/>
    <w:rsid w:val="595F7E5D"/>
    <w:rsid w:val="59653E3B"/>
    <w:rsid w:val="596F1F91"/>
    <w:rsid w:val="59741916"/>
    <w:rsid w:val="59851D75"/>
    <w:rsid w:val="598F49A2"/>
    <w:rsid w:val="5991029A"/>
    <w:rsid w:val="59A321FB"/>
    <w:rsid w:val="59B879AF"/>
    <w:rsid w:val="59C04A47"/>
    <w:rsid w:val="59C503C4"/>
    <w:rsid w:val="59D979CB"/>
    <w:rsid w:val="59EF5441"/>
    <w:rsid w:val="59F842F5"/>
    <w:rsid w:val="59FB2037"/>
    <w:rsid w:val="5A0A5DD6"/>
    <w:rsid w:val="5A133292"/>
    <w:rsid w:val="5A1B7FE4"/>
    <w:rsid w:val="5A1E2838"/>
    <w:rsid w:val="5A5A4FB0"/>
    <w:rsid w:val="5A6951F3"/>
    <w:rsid w:val="5A6B4D80"/>
    <w:rsid w:val="5A6E45B7"/>
    <w:rsid w:val="5A9102A6"/>
    <w:rsid w:val="5AA858A8"/>
    <w:rsid w:val="5AB126F6"/>
    <w:rsid w:val="5AB741B0"/>
    <w:rsid w:val="5AB83A84"/>
    <w:rsid w:val="5ABB5323"/>
    <w:rsid w:val="5ACD39D4"/>
    <w:rsid w:val="5ACE32A8"/>
    <w:rsid w:val="5AD733AC"/>
    <w:rsid w:val="5AE44879"/>
    <w:rsid w:val="5AE86F4F"/>
    <w:rsid w:val="5B0C4102"/>
    <w:rsid w:val="5B0D5B7E"/>
    <w:rsid w:val="5B1C7751"/>
    <w:rsid w:val="5B2D48AB"/>
    <w:rsid w:val="5B3D3F8A"/>
    <w:rsid w:val="5B503CBD"/>
    <w:rsid w:val="5B6559BA"/>
    <w:rsid w:val="5B783C06"/>
    <w:rsid w:val="5B7C2D04"/>
    <w:rsid w:val="5B902085"/>
    <w:rsid w:val="5BA079F2"/>
    <w:rsid w:val="5BBF6E70"/>
    <w:rsid w:val="5BC24CC9"/>
    <w:rsid w:val="5BC709E7"/>
    <w:rsid w:val="5BE865EB"/>
    <w:rsid w:val="5BED775E"/>
    <w:rsid w:val="5BF153D2"/>
    <w:rsid w:val="5C0C052C"/>
    <w:rsid w:val="5C0D7E00"/>
    <w:rsid w:val="5C25514A"/>
    <w:rsid w:val="5C311D40"/>
    <w:rsid w:val="5C3655A9"/>
    <w:rsid w:val="5C4001D5"/>
    <w:rsid w:val="5C483518"/>
    <w:rsid w:val="5C487CC4"/>
    <w:rsid w:val="5C5510FA"/>
    <w:rsid w:val="5C587C12"/>
    <w:rsid w:val="5C5C1504"/>
    <w:rsid w:val="5C6A4DC7"/>
    <w:rsid w:val="5C837D51"/>
    <w:rsid w:val="5C966047"/>
    <w:rsid w:val="5C9F4EFC"/>
    <w:rsid w:val="5CAE513F"/>
    <w:rsid w:val="5CB87D6C"/>
    <w:rsid w:val="5CBB487F"/>
    <w:rsid w:val="5CC10887"/>
    <w:rsid w:val="5CD70A20"/>
    <w:rsid w:val="5CDA4186"/>
    <w:rsid w:val="5CDA5F34"/>
    <w:rsid w:val="5CE74D44"/>
    <w:rsid w:val="5CF07506"/>
    <w:rsid w:val="5CFE1B98"/>
    <w:rsid w:val="5D0E2082"/>
    <w:rsid w:val="5D0E35FC"/>
    <w:rsid w:val="5D1D4073"/>
    <w:rsid w:val="5D1E3C46"/>
    <w:rsid w:val="5D292A17"/>
    <w:rsid w:val="5D504448"/>
    <w:rsid w:val="5D5E0913"/>
    <w:rsid w:val="5D5F1BD9"/>
    <w:rsid w:val="5D610C29"/>
    <w:rsid w:val="5D775E79"/>
    <w:rsid w:val="5D99194B"/>
    <w:rsid w:val="5D9A1AB3"/>
    <w:rsid w:val="5D9D59DD"/>
    <w:rsid w:val="5DC536D2"/>
    <w:rsid w:val="5DC664B8"/>
    <w:rsid w:val="5DC80482"/>
    <w:rsid w:val="5DD21301"/>
    <w:rsid w:val="5DDD192E"/>
    <w:rsid w:val="5DE132F2"/>
    <w:rsid w:val="5DE76B3B"/>
    <w:rsid w:val="5DF179D9"/>
    <w:rsid w:val="5DFC7C4C"/>
    <w:rsid w:val="5E0569C2"/>
    <w:rsid w:val="5E1B6804"/>
    <w:rsid w:val="5E1D07CE"/>
    <w:rsid w:val="5E23390B"/>
    <w:rsid w:val="5E3F50EA"/>
    <w:rsid w:val="5E415140"/>
    <w:rsid w:val="5E4B2D27"/>
    <w:rsid w:val="5E4C10B3"/>
    <w:rsid w:val="5E661B27"/>
    <w:rsid w:val="5E68756F"/>
    <w:rsid w:val="5E79177D"/>
    <w:rsid w:val="5E7D74BF"/>
    <w:rsid w:val="5E7F3237"/>
    <w:rsid w:val="5E851595"/>
    <w:rsid w:val="5E873E9A"/>
    <w:rsid w:val="5E916AC6"/>
    <w:rsid w:val="5E9B16F3"/>
    <w:rsid w:val="5E9B7945"/>
    <w:rsid w:val="5E9C49F5"/>
    <w:rsid w:val="5E9C6940"/>
    <w:rsid w:val="5E9F11E3"/>
    <w:rsid w:val="5EB3562F"/>
    <w:rsid w:val="5EBF441E"/>
    <w:rsid w:val="5ED436C7"/>
    <w:rsid w:val="5EDA221B"/>
    <w:rsid w:val="5EE17A4E"/>
    <w:rsid w:val="5EF0242E"/>
    <w:rsid w:val="5F0B0627"/>
    <w:rsid w:val="5F0E0117"/>
    <w:rsid w:val="5F125E59"/>
    <w:rsid w:val="5F1F6E28"/>
    <w:rsid w:val="5F221E14"/>
    <w:rsid w:val="5F265461"/>
    <w:rsid w:val="5F2E07B9"/>
    <w:rsid w:val="5F310E81"/>
    <w:rsid w:val="5F34295A"/>
    <w:rsid w:val="5F351B48"/>
    <w:rsid w:val="5F3E6C4E"/>
    <w:rsid w:val="5F614D21"/>
    <w:rsid w:val="5F776541"/>
    <w:rsid w:val="5F9075DA"/>
    <w:rsid w:val="5F944AC0"/>
    <w:rsid w:val="5F9938A3"/>
    <w:rsid w:val="5F9B210B"/>
    <w:rsid w:val="5FBE7D8F"/>
    <w:rsid w:val="5FCE6D9B"/>
    <w:rsid w:val="60015C3D"/>
    <w:rsid w:val="60067040"/>
    <w:rsid w:val="600679F0"/>
    <w:rsid w:val="601856F1"/>
    <w:rsid w:val="60322E68"/>
    <w:rsid w:val="603D363A"/>
    <w:rsid w:val="60431B09"/>
    <w:rsid w:val="60452C22"/>
    <w:rsid w:val="605102AA"/>
    <w:rsid w:val="605403EE"/>
    <w:rsid w:val="605461B2"/>
    <w:rsid w:val="60566219"/>
    <w:rsid w:val="605B55DE"/>
    <w:rsid w:val="60727EAD"/>
    <w:rsid w:val="60914DED"/>
    <w:rsid w:val="60981E5B"/>
    <w:rsid w:val="609E527D"/>
    <w:rsid w:val="60AE1746"/>
    <w:rsid w:val="60B5457F"/>
    <w:rsid w:val="60CA62C0"/>
    <w:rsid w:val="61071722"/>
    <w:rsid w:val="6110461A"/>
    <w:rsid w:val="61152FBD"/>
    <w:rsid w:val="6118527D"/>
    <w:rsid w:val="6119422B"/>
    <w:rsid w:val="61262BE4"/>
    <w:rsid w:val="61377DF9"/>
    <w:rsid w:val="614B38A4"/>
    <w:rsid w:val="61504A17"/>
    <w:rsid w:val="61616CF0"/>
    <w:rsid w:val="61625438"/>
    <w:rsid w:val="6166248C"/>
    <w:rsid w:val="61693D2A"/>
    <w:rsid w:val="618D11D9"/>
    <w:rsid w:val="61997BE3"/>
    <w:rsid w:val="619E0691"/>
    <w:rsid w:val="619F774C"/>
    <w:rsid w:val="61A22633"/>
    <w:rsid w:val="61AE17A4"/>
    <w:rsid w:val="61B71739"/>
    <w:rsid w:val="61CD6067"/>
    <w:rsid w:val="61CF0031"/>
    <w:rsid w:val="61D73D2E"/>
    <w:rsid w:val="61ED6709"/>
    <w:rsid w:val="62053734"/>
    <w:rsid w:val="621243C2"/>
    <w:rsid w:val="622F0AD0"/>
    <w:rsid w:val="62375BD7"/>
    <w:rsid w:val="62377985"/>
    <w:rsid w:val="62402B0A"/>
    <w:rsid w:val="62404A8B"/>
    <w:rsid w:val="624F4CCE"/>
    <w:rsid w:val="625B5806"/>
    <w:rsid w:val="625E7607"/>
    <w:rsid w:val="6267666C"/>
    <w:rsid w:val="626D784A"/>
    <w:rsid w:val="62872771"/>
    <w:rsid w:val="62C54F90"/>
    <w:rsid w:val="62D13935"/>
    <w:rsid w:val="62D34438"/>
    <w:rsid w:val="62D502BE"/>
    <w:rsid w:val="62DB2A06"/>
    <w:rsid w:val="62F53596"/>
    <w:rsid w:val="62FA7330"/>
    <w:rsid w:val="62FB0250"/>
    <w:rsid w:val="630A6E47"/>
    <w:rsid w:val="63111307"/>
    <w:rsid w:val="63247F09"/>
    <w:rsid w:val="634A0807"/>
    <w:rsid w:val="634C3904"/>
    <w:rsid w:val="634D0694"/>
    <w:rsid w:val="63522B22"/>
    <w:rsid w:val="635664D3"/>
    <w:rsid w:val="635D4E97"/>
    <w:rsid w:val="6361115D"/>
    <w:rsid w:val="63751A48"/>
    <w:rsid w:val="638766EA"/>
    <w:rsid w:val="63964029"/>
    <w:rsid w:val="63972DD1"/>
    <w:rsid w:val="639C03D4"/>
    <w:rsid w:val="639D7CBB"/>
    <w:rsid w:val="63A63014"/>
    <w:rsid w:val="63AF5551"/>
    <w:rsid w:val="63B55005"/>
    <w:rsid w:val="63BA6ABF"/>
    <w:rsid w:val="63BD210C"/>
    <w:rsid w:val="63C416EC"/>
    <w:rsid w:val="63CB35F7"/>
    <w:rsid w:val="63CD2E60"/>
    <w:rsid w:val="63EF374D"/>
    <w:rsid w:val="63F35B2D"/>
    <w:rsid w:val="63F7561D"/>
    <w:rsid w:val="63F975E8"/>
    <w:rsid w:val="63FC0E86"/>
    <w:rsid w:val="64124205"/>
    <w:rsid w:val="64175CC0"/>
    <w:rsid w:val="64185015"/>
    <w:rsid w:val="641A4D50"/>
    <w:rsid w:val="64305E79"/>
    <w:rsid w:val="643B1CA8"/>
    <w:rsid w:val="643E4FFA"/>
    <w:rsid w:val="64406FC4"/>
    <w:rsid w:val="6455071C"/>
    <w:rsid w:val="64564E6D"/>
    <w:rsid w:val="64590086"/>
    <w:rsid w:val="64632CB3"/>
    <w:rsid w:val="64641223"/>
    <w:rsid w:val="646475B1"/>
    <w:rsid w:val="646802C9"/>
    <w:rsid w:val="64814FED"/>
    <w:rsid w:val="64947CBA"/>
    <w:rsid w:val="64AA6B34"/>
    <w:rsid w:val="64BF6351"/>
    <w:rsid w:val="64D4770D"/>
    <w:rsid w:val="64D5468F"/>
    <w:rsid w:val="64D836A1"/>
    <w:rsid w:val="64E21D35"/>
    <w:rsid w:val="64F61D79"/>
    <w:rsid w:val="64F63B27"/>
    <w:rsid w:val="64F768C2"/>
    <w:rsid w:val="650F6997"/>
    <w:rsid w:val="65136487"/>
    <w:rsid w:val="652C12F7"/>
    <w:rsid w:val="65371F46"/>
    <w:rsid w:val="654950A8"/>
    <w:rsid w:val="65495F14"/>
    <w:rsid w:val="65563B9F"/>
    <w:rsid w:val="656027B9"/>
    <w:rsid w:val="656A735F"/>
    <w:rsid w:val="65707F10"/>
    <w:rsid w:val="657A6506"/>
    <w:rsid w:val="65856C59"/>
    <w:rsid w:val="6587477F"/>
    <w:rsid w:val="658B0713"/>
    <w:rsid w:val="65936139"/>
    <w:rsid w:val="659B4298"/>
    <w:rsid w:val="65AD1388"/>
    <w:rsid w:val="65AE61B0"/>
    <w:rsid w:val="65B914FB"/>
    <w:rsid w:val="65C9568E"/>
    <w:rsid w:val="65E25E59"/>
    <w:rsid w:val="65EC0A86"/>
    <w:rsid w:val="660109D5"/>
    <w:rsid w:val="660C31ED"/>
    <w:rsid w:val="660C7B7B"/>
    <w:rsid w:val="661A3845"/>
    <w:rsid w:val="66251761"/>
    <w:rsid w:val="66285F62"/>
    <w:rsid w:val="66501015"/>
    <w:rsid w:val="66561AA0"/>
    <w:rsid w:val="66583486"/>
    <w:rsid w:val="66584379"/>
    <w:rsid w:val="665B6338"/>
    <w:rsid w:val="666920D7"/>
    <w:rsid w:val="6674649A"/>
    <w:rsid w:val="667742EA"/>
    <w:rsid w:val="66787D45"/>
    <w:rsid w:val="66862C89"/>
    <w:rsid w:val="66B07D06"/>
    <w:rsid w:val="66B72A14"/>
    <w:rsid w:val="66C33EDD"/>
    <w:rsid w:val="66C45184"/>
    <w:rsid w:val="66CD08B8"/>
    <w:rsid w:val="66F05FAD"/>
    <w:rsid w:val="66F33842"/>
    <w:rsid w:val="670167A6"/>
    <w:rsid w:val="670C7632"/>
    <w:rsid w:val="67197169"/>
    <w:rsid w:val="672D20B6"/>
    <w:rsid w:val="67371F1A"/>
    <w:rsid w:val="67655552"/>
    <w:rsid w:val="67656D42"/>
    <w:rsid w:val="67770FEE"/>
    <w:rsid w:val="678673E4"/>
    <w:rsid w:val="678E6299"/>
    <w:rsid w:val="678F3DBF"/>
    <w:rsid w:val="679118E5"/>
    <w:rsid w:val="67992D01"/>
    <w:rsid w:val="67A02BD4"/>
    <w:rsid w:val="67EC2FBF"/>
    <w:rsid w:val="67FB3202"/>
    <w:rsid w:val="680B538A"/>
    <w:rsid w:val="680D3662"/>
    <w:rsid w:val="68193798"/>
    <w:rsid w:val="68286C1F"/>
    <w:rsid w:val="682A573C"/>
    <w:rsid w:val="68342D50"/>
    <w:rsid w:val="684150B9"/>
    <w:rsid w:val="68555008"/>
    <w:rsid w:val="68564DCD"/>
    <w:rsid w:val="68757459"/>
    <w:rsid w:val="68822776"/>
    <w:rsid w:val="68851CC2"/>
    <w:rsid w:val="688F4000"/>
    <w:rsid w:val="68A97A41"/>
    <w:rsid w:val="68AC0B8C"/>
    <w:rsid w:val="68B7136F"/>
    <w:rsid w:val="68C03E20"/>
    <w:rsid w:val="68C06926"/>
    <w:rsid w:val="68D16C55"/>
    <w:rsid w:val="68D45CC4"/>
    <w:rsid w:val="68D912E1"/>
    <w:rsid w:val="68F14D31"/>
    <w:rsid w:val="68F20DDE"/>
    <w:rsid w:val="68F24605"/>
    <w:rsid w:val="68F34CB6"/>
    <w:rsid w:val="68FC7232"/>
    <w:rsid w:val="6902063E"/>
    <w:rsid w:val="69054339"/>
    <w:rsid w:val="69065D1E"/>
    <w:rsid w:val="693E65BB"/>
    <w:rsid w:val="69431305"/>
    <w:rsid w:val="69521573"/>
    <w:rsid w:val="696279DD"/>
    <w:rsid w:val="69795040"/>
    <w:rsid w:val="69802067"/>
    <w:rsid w:val="69C27A22"/>
    <w:rsid w:val="69CE32EF"/>
    <w:rsid w:val="69D600DA"/>
    <w:rsid w:val="69E20B1E"/>
    <w:rsid w:val="69E91EAC"/>
    <w:rsid w:val="6A05003B"/>
    <w:rsid w:val="6A13398D"/>
    <w:rsid w:val="6A26481E"/>
    <w:rsid w:val="6A2C1D99"/>
    <w:rsid w:val="6A2C76E8"/>
    <w:rsid w:val="6A306E82"/>
    <w:rsid w:val="6A325601"/>
    <w:rsid w:val="6A4E61B3"/>
    <w:rsid w:val="6A551782"/>
    <w:rsid w:val="6A6652AB"/>
    <w:rsid w:val="6A682DD1"/>
    <w:rsid w:val="6A7F636D"/>
    <w:rsid w:val="6A89576D"/>
    <w:rsid w:val="6A8B4D12"/>
    <w:rsid w:val="6A927E4E"/>
    <w:rsid w:val="6AA638F9"/>
    <w:rsid w:val="6AB37DC4"/>
    <w:rsid w:val="6AB46016"/>
    <w:rsid w:val="6AB57FE0"/>
    <w:rsid w:val="6ABE129C"/>
    <w:rsid w:val="6ADE62FF"/>
    <w:rsid w:val="6AFC5C0F"/>
    <w:rsid w:val="6B0A032C"/>
    <w:rsid w:val="6B114844"/>
    <w:rsid w:val="6B13622E"/>
    <w:rsid w:val="6B177229"/>
    <w:rsid w:val="6B2A0087"/>
    <w:rsid w:val="6B325E81"/>
    <w:rsid w:val="6B480E55"/>
    <w:rsid w:val="6B497FA4"/>
    <w:rsid w:val="6B4F073B"/>
    <w:rsid w:val="6B575F21"/>
    <w:rsid w:val="6B6C4B43"/>
    <w:rsid w:val="6B6E45DF"/>
    <w:rsid w:val="6B737ACD"/>
    <w:rsid w:val="6B7B2C59"/>
    <w:rsid w:val="6B7D01C9"/>
    <w:rsid w:val="6B9138F9"/>
    <w:rsid w:val="6B9D2F4E"/>
    <w:rsid w:val="6BBB1626"/>
    <w:rsid w:val="6BC73B27"/>
    <w:rsid w:val="6BCF25FA"/>
    <w:rsid w:val="6BE91CF0"/>
    <w:rsid w:val="6BE96194"/>
    <w:rsid w:val="6BEC5E83"/>
    <w:rsid w:val="6BFD02C1"/>
    <w:rsid w:val="6C0A01E2"/>
    <w:rsid w:val="6C184314"/>
    <w:rsid w:val="6C272818"/>
    <w:rsid w:val="6C2E3BA6"/>
    <w:rsid w:val="6C3F5DB4"/>
    <w:rsid w:val="6C471AF3"/>
    <w:rsid w:val="6C523D39"/>
    <w:rsid w:val="6C57134F"/>
    <w:rsid w:val="6C9329D3"/>
    <w:rsid w:val="6C9525AA"/>
    <w:rsid w:val="6C9B742D"/>
    <w:rsid w:val="6CA1081C"/>
    <w:rsid w:val="6CA266A4"/>
    <w:rsid w:val="6CA5024B"/>
    <w:rsid w:val="6CBA368C"/>
    <w:rsid w:val="6CC56655"/>
    <w:rsid w:val="6CC70A68"/>
    <w:rsid w:val="6CCB5899"/>
    <w:rsid w:val="6CD20FCA"/>
    <w:rsid w:val="6CD40C54"/>
    <w:rsid w:val="6CE0110A"/>
    <w:rsid w:val="6CE94F03"/>
    <w:rsid w:val="6CF421A5"/>
    <w:rsid w:val="6CF43042"/>
    <w:rsid w:val="6D2F7BD6"/>
    <w:rsid w:val="6D372F2F"/>
    <w:rsid w:val="6D4A2C62"/>
    <w:rsid w:val="6D4B0788"/>
    <w:rsid w:val="6D6A3304"/>
    <w:rsid w:val="6D755429"/>
    <w:rsid w:val="6D7B348A"/>
    <w:rsid w:val="6D8471EF"/>
    <w:rsid w:val="6D97577B"/>
    <w:rsid w:val="6DA02882"/>
    <w:rsid w:val="6DB8406F"/>
    <w:rsid w:val="6DC94A59"/>
    <w:rsid w:val="6DD15131"/>
    <w:rsid w:val="6DD15815"/>
    <w:rsid w:val="6DD30EA9"/>
    <w:rsid w:val="6DD469CF"/>
    <w:rsid w:val="6DD662A4"/>
    <w:rsid w:val="6DD90237"/>
    <w:rsid w:val="6DE24C48"/>
    <w:rsid w:val="6DEE183F"/>
    <w:rsid w:val="6DF826BE"/>
    <w:rsid w:val="6E072901"/>
    <w:rsid w:val="6E084C17"/>
    <w:rsid w:val="6E15118A"/>
    <w:rsid w:val="6E1F7C4B"/>
    <w:rsid w:val="6E4B6C92"/>
    <w:rsid w:val="6E8D7FBD"/>
    <w:rsid w:val="6E8E3022"/>
    <w:rsid w:val="6E8F36CF"/>
    <w:rsid w:val="6EB5235D"/>
    <w:rsid w:val="6EB61077"/>
    <w:rsid w:val="6EB81E4D"/>
    <w:rsid w:val="6EC9405A"/>
    <w:rsid w:val="6ECC76A7"/>
    <w:rsid w:val="6ED22F0F"/>
    <w:rsid w:val="6ED26B2E"/>
    <w:rsid w:val="6EDA6267"/>
    <w:rsid w:val="6EE36ECA"/>
    <w:rsid w:val="6EEE3AC1"/>
    <w:rsid w:val="6EEF1D13"/>
    <w:rsid w:val="6F0357BE"/>
    <w:rsid w:val="6F152DFC"/>
    <w:rsid w:val="6F1B2B08"/>
    <w:rsid w:val="6F1C23DC"/>
    <w:rsid w:val="6F5C254F"/>
    <w:rsid w:val="6F6618A9"/>
    <w:rsid w:val="6F7044D6"/>
    <w:rsid w:val="6F8A37EA"/>
    <w:rsid w:val="6F9401C4"/>
    <w:rsid w:val="6F9B77A5"/>
    <w:rsid w:val="6FA23B6D"/>
    <w:rsid w:val="6FA81EC2"/>
    <w:rsid w:val="6FB73747"/>
    <w:rsid w:val="6FBB7E47"/>
    <w:rsid w:val="6FBC771B"/>
    <w:rsid w:val="6FC0720B"/>
    <w:rsid w:val="6FC84312"/>
    <w:rsid w:val="6FC91FA7"/>
    <w:rsid w:val="6FE349DA"/>
    <w:rsid w:val="6FF84BF7"/>
    <w:rsid w:val="6FFB46E7"/>
    <w:rsid w:val="700A66D9"/>
    <w:rsid w:val="70117A67"/>
    <w:rsid w:val="701912A5"/>
    <w:rsid w:val="70194B6E"/>
    <w:rsid w:val="701F2876"/>
    <w:rsid w:val="7021355F"/>
    <w:rsid w:val="70227EC6"/>
    <w:rsid w:val="70294DB1"/>
    <w:rsid w:val="70313C65"/>
    <w:rsid w:val="7040034C"/>
    <w:rsid w:val="705F07D2"/>
    <w:rsid w:val="7060279C"/>
    <w:rsid w:val="7060454A"/>
    <w:rsid w:val="70762334"/>
    <w:rsid w:val="707F70C6"/>
    <w:rsid w:val="707F7D3C"/>
    <w:rsid w:val="70934920"/>
    <w:rsid w:val="70A73F27"/>
    <w:rsid w:val="70B3723F"/>
    <w:rsid w:val="70DE37C7"/>
    <w:rsid w:val="70F058CE"/>
    <w:rsid w:val="70F74EAF"/>
    <w:rsid w:val="70FB17A4"/>
    <w:rsid w:val="71092E34"/>
    <w:rsid w:val="710B095A"/>
    <w:rsid w:val="710B201A"/>
    <w:rsid w:val="71121CE9"/>
    <w:rsid w:val="71135B83"/>
    <w:rsid w:val="711A0B9D"/>
    <w:rsid w:val="71233EF6"/>
    <w:rsid w:val="71252F80"/>
    <w:rsid w:val="712B4B58"/>
    <w:rsid w:val="71335613"/>
    <w:rsid w:val="7137174F"/>
    <w:rsid w:val="713734FD"/>
    <w:rsid w:val="714125CE"/>
    <w:rsid w:val="71415581"/>
    <w:rsid w:val="71445E4D"/>
    <w:rsid w:val="71493231"/>
    <w:rsid w:val="71573B9F"/>
    <w:rsid w:val="71600462"/>
    <w:rsid w:val="71632544"/>
    <w:rsid w:val="716A5681"/>
    <w:rsid w:val="716B13F9"/>
    <w:rsid w:val="7179151D"/>
    <w:rsid w:val="717A163C"/>
    <w:rsid w:val="71844269"/>
    <w:rsid w:val="718524BB"/>
    <w:rsid w:val="719426FE"/>
    <w:rsid w:val="71B72890"/>
    <w:rsid w:val="71B92164"/>
    <w:rsid w:val="71B95393"/>
    <w:rsid w:val="71BB0662"/>
    <w:rsid w:val="71D1488F"/>
    <w:rsid w:val="71DE606F"/>
    <w:rsid w:val="71DE7E1D"/>
    <w:rsid w:val="71DF3BA5"/>
    <w:rsid w:val="71ED0060"/>
    <w:rsid w:val="71F00C04"/>
    <w:rsid w:val="7200501F"/>
    <w:rsid w:val="72035AD5"/>
    <w:rsid w:val="72085956"/>
    <w:rsid w:val="721E46BD"/>
    <w:rsid w:val="72214331"/>
    <w:rsid w:val="72331F17"/>
    <w:rsid w:val="7251239D"/>
    <w:rsid w:val="725255C1"/>
    <w:rsid w:val="7258197D"/>
    <w:rsid w:val="725D34F6"/>
    <w:rsid w:val="727367B7"/>
    <w:rsid w:val="72AC1CC9"/>
    <w:rsid w:val="72B017B9"/>
    <w:rsid w:val="72BD30A1"/>
    <w:rsid w:val="72C91C18"/>
    <w:rsid w:val="72CA1C6C"/>
    <w:rsid w:val="72D97771"/>
    <w:rsid w:val="72DB435C"/>
    <w:rsid w:val="72E1638E"/>
    <w:rsid w:val="72E40557"/>
    <w:rsid w:val="72E871A5"/>
    <w:rsid w:val="72F42CDD"/>
    <w:rsid w:val="72F62232"/>
    <w:rsid w:val="73076EFF"/>
    <w:rsid w:val="730A73C1"/>
    <w:rsid w:val="730B2E93"/>
    <w:rsid w:val="730E6177"/>
    <w:rsid w:val="730E7F4A"/>
    <w:rsid w:val="731518A2"/>
    <w:rsid w:val="733956B5"/>
    <w:rsid w:val="73463ECB"/>
    <w:rsid w:val="73506AF8"/>
    <w:rsid w:val="735550D2"/>
    <w:rsid w:val="73591E51"/>
    <w:rsid w:val="735E6921"/>
    <w:rsid w:val="7364485C"/>
    <w:rsid w:val="73650303"/>
    <w:rsid w:val="736E6F7E"/>
    <w:rsid w:val="737B782C"/>
    <w:rsid w:val="738D5656"/>
    <w:rsid w:val="73955EF8"/>
    <w:rsid w:val="7398370D"/>
    <w:rsid w:val="73B2133F"/>
    <w:rsid w:val="73B61469"/>
    <w:rsid w:val="73BA21C4"/>
    <w:rsid w:val="73CD1D24"/>
    <w:rsid w:val="73E7745D"/>
    <w:rsid w:val="73F45623"/>
    <w:rsid w:val="74057DF9"/>
    <w:rsid w:val="740C1085"/>
    <w:rsid w:val="74100036"/>
    <w:rsid w:val="741146DA"/>
    <w:rsid w:val="742064CB"/>
    <w:rsid w:val="743E1047"/>
    <w:rsid w:val="744877CF"/>
    <w:rsid w:val="7463285B"/>
    <w:rsid w:val="7467234B"/>
    <w:rsid w:val="746C5BB4"/>
    <w:rsid w:val="746D0D53"/>
    <w:rsid w:val="746D7236"/>
    <w:rsid w:val="748A21FE"/>
    <w:rsid w:val="74A7141D"/>
    <w:rsid w:val="74A72748"/>
    <w:rsid w:val="74AA7D4B"/>
    <w:rsid w:val="74AC4202"/>
    <w:rsid w:val="74B41921"/>
    <w:rsid w:val="74C0380A"/>
    <w:rsid w:val="74C74B98"/>
    <w:rsid w:val="74C90910"/>
    <w:rsid w:val="74CA4688"/>
    <w:rsid w:val="74D0158B"/>
    <w:rsid w:val="74E1781F"/>
    <w:rsid w:val="74E27F48"/>
    <w:rsid w:val="74EB4D2A"/>
    <w:rsid w:val="750340FC"/>
    <w:rsid w:val="75137DDD"/>
    <w:rsid w:val="7514691D"/>
    <w:rsid w:val="751F6782"/>
    <w:rsid w:val="75243129"/>
    <w:rsid w:val="752A799F"/>
    <w:rsid w:val="754E52B9"/>
    <w:rsid w:val="755328D0"/>
    <w:rsid w:val="75706FDE"/>
    <w:rsid w:val="75790588"/>
    <w:rsid w:val="75846F2D"/>
    <w:rsid w:val="75862118"/>
    <w:rsid w:val="759738C6"/>
    <w:rsid w:val="75A21A9C"/>
    <w:rsid w:val="75A373B3"/>
    <w:rsid w:val="75AC348B"/>
    <w:rsid w:val="75B23A9A"/>
    <w:rsid w:val="75B55338"/>
    <w:rsid w:val="75B86262"/>
    <w:rsid w:val="75D611BC"/>
    <w:rsid w:val="75D70C69"/>
    <w:rsid w:val="75D91027"/>
    <w:rsid w:val="75E83018"/>
    <w:rsid w:val="75EA4FE2"/>
    <w:rsid w:val="75ED4AD2"/>
    <w:rsid w:val="75F52CE2"/>
    <w:rsid w:val="760A5684"/>
    <w:rsid w:val="760B11BA"/>
    <w:rsid w:val="76157B85"/>
    <w:rsid w:val="76171B4F"/>
    <w:rsid w:val="761C7166"/>
    <w:rsid w:val="762304F4"/>
    <w:rsid w:val="76257DC8"/>
    <w:rsid w:val="762F6E99"/>
    <w:rsid w:val="763224E5"/>
    <w:rsid w:val="76373F9F"/>
    <w:rsid w:val="76432944"/>
    <w:rsid w:val="76433FDA"/>
    <w:rsid w:val="766D169F"/>
    <w:rsid w:val="7677439C"/>
    <w:rsid w:val="767D11BF"/>
    <w:rsid w:val="767F4B72"/>
    <w:rsid w:val="7682521B"/>
    <w:rsid w:val="76851934"/>
    <w:rsid w:val="768D3BBF"/>
    <w:rsid w:val="769A635A"/>
    <w:rsid w:val="769F7D8D"/>
    <w:rsid w:val="76B70687"/>
    <w:rsid w:val="76EB7370"/>
    <w:rsid w:val="76EC2FDC"/>
    <w:rsid w:val="76EE276C"/>
    <w:rsid w:val="76F123A0"/>
    <w:rsid w:val="770317B5"/>
    <w:rsid w:val="77072354"/>
    <w:rsid w:val="770F36A5"/>
    <w:rsid w:val="77130569"/>
    <w:rsid w:val="77183DD1"/>
    <w:rsid w:val="771D13E7"/>
    <w:rsid w:val="7725204A"/>
    <w:rsid w:val="773504DF"/>
    <w:rsid w:val="773B2FED"/>
    <w:rsid w:val="77422E67"/>
    <w:rsid w:val="774F5184"/>
    <w:rsid w:val="7750356B"/>
    <w:rsid w:val="775A6197"/>
    <w:rsid w:val="77707AEA"/>
    <w:rsid w:val="77843214"/>
    <w:rsid w:val="778B2945"/>
    <w:rsid w:val="77925931"/>
    <w:rsid w:val="779276DF"/>
    <w:rsid w:val="77A15B74"/>
    <w:rsid w:val="77DC3CB2"/>
    <w:rsid w:val="77E5163B"/>
    <w:rsid w:val="77F601B8"/>
    <w:rsid w:val="77FA34FC"/>
    <w:rsid w:val="78063C29"/>
    <w:rsid w:val="7810236C"/>
    <w:rsid w:val="781B1C42"/>
    <w:rsid w:val="78210A63"/>
    <w:rsid w:val="782C7B34"/>
    <w:rsid w:val="78486CF0"/>
    <w:rsid w:val="785B21C7"/>
    <w:rsid w:val="786349D3"/>
    <w:rsid w:val="786D5A56"/>
    <w:rsid w:val="78867E3E"/>
    <w:rsid w:val="78A07BDA"/>
    <w:rsid w:val="78A771BA"/>
    <w:rsid w:val="78AA091C"/>
    <w:rsid w:val="78AC657F"/>
    <w:rsid w:val="78B74E96"/>
    <w:rsid w:val="78BD2111"/>
    <w:rsid w:val="78C22246"/>
    <w:rsid w:val="78CC302F"/>
    <w:rsid w:val="78D64B79"/>
    <w:rsid w:val="7908577F"/>
    <w:rsid w:val="7914122D"/>
    <w:rsid w:val="791D747D"/>
    <w:rsid w:val="79330A4E"/>
    <w:rsid w:val="793E3FE0"/>
    <w:rsid w:val="796055BB"/>
    <w:rsid w:val="79627585"/>
    <w:rsid w:val="796402FD"/>
    <w:rsid w:val="796C6D36"/>
    <w:rsid w:val="797305B9"/>
    <w:rsid w:val="797846B3"/>
    <w:rsid w:val="797E774E"/>
    <w:rsid w:val="797F4D82"/>
    <w:rsid w:val="799534B7"/>
    <w:rsid w:val="799D57E6"/>
    <w:rsid w:val="79A731EA"/>
    <w:rsid w:val="79BD656A"/>
    <w:rsid w:val="79CE4E7B"/>
    <w:rsid w:val="79DE4E5E"/>
    <w:rsid w:val="79E26419"/>
    <w:rsid w:val="79E61F64"/>
    <w:rsid w:val="79E63D12"/>
    <w:rsid w:val="79E9735F"/>
    <w:rsid w:val="79ED32F3"/>
    <w:rsid w:val="79F04B91"/>
    <w:rsid w:val="79F169EE"/>
    <w:rsid w:val="79F309DD"/>
    <w:rsid w:val="79F3721C"/>
    <w:rsid w:val="79FA70E8"/>
    <w:rsid w:val="79FE7503"/>
    <w:rsid w:val="7A260087"/>
    <w:rsid w:val="7A3249E0"/>
    <w:rsid w:val="7A456C8B"/>
    <w:rsid w:val="7A52336E"/>
    <w:rsid w:val="7A554D7B"/>
    <w:rsid w:val="7A5A4944"/>
    <w:rsid w:val="7A644B56"/>
    <w:rsid w:val="7A6B36A3"/>
    <w:rsid w:val="7A707A80"/>
    <w:rsid w:val="7A7C4677"/>
    <w:rsid w:val="7A867C0A"/>
    <w:rsid w:val="7A97500D"/>
    <w:rsid w:val="7AB619B9"/>
    <w:rsid w:val="7AB7745D"/>
    <w:rsid w:val="7ACA3634"/>
    <w:rsid w:val="7ACC0CD4"/>
    <w:rsid w:val="7AD3234E"/>
    <w:rsid w:val="7AD324E9"/>
    <w:rsid w:val="7AD7365B"/>
    <w:rsid w:val="7AD82879"/>
    <w:rsid w:val="7AD95389"/>
    <w:rsid w:val="7ADC1C26"/>
    <w:rsid w:val="7AE2272C"/>
    <w:rsid w:val="7AF4345E"/>
    <w:rsid w:val="7B095CB9"/>
    <w:rsid w:val="7B0F54EB"/>
    <w:rsid w:val="7B130B37"/>
    <w:rsid w:val="7B181892"/>
    <w:rsid w:val="7B18439F"/>
    <w:rsid w:val="7B1D1632"/>
    <w:rsid w:val="7B2C1BF9"/>
    <w:rsid w:val="7B2F5820"/>
    <w:rsid w:val="7B364F5B"/>
    <w:rsid w:val="7B3B62E0"/>
    <w:rsid w:val="7B42141C"/>
    <w:rsid w:val="7B4231CA"/>
    <w:rsid w:val="7B7060E3"/>
    <w:rsid w:val="7B783090"/>
    <w:rsid w:val="7B7F5A16"/>
    <w:rsid w:val="7B807F81"/>
    <w:rsid w:val="7B8A691F"/>
    <w:rsid w:val="7BBC2F7D"/>
    <w:rsid w:val="7BCB1412"/>
    <w:rsid w:val="7BCF4C4C"/>
    <w:rsid w:val="7BCF7BB1"/>
    <w:rsid w:val="7BD4111E"/>
    <w:rsid w:val="7BDD1145"/>
    <w:rsid w:val="7BF00E78"/>
    <w:rsid w:val="7BF72207"/>
    <w:rsid w:val="7C09018C"/>
    <w:rsid w:val="7C0E57A2"/>
    <w:rsid w:val="7C2E6F8B"/>
    <w:rsid w:val="7C3050D8"/>
    <w:rsid w:val="7C325A9B"/>
    <w:rsid w:val="7C3A0345"/>
    <w:rsid w:val="7C3C5E6C"/>
    <w:rsid w:val="7C43544C"/>
    <w:rsid w:val="7C482A62"/>
    <w:rsid w:val="7C4A6F3C"/>
    <w:rsid w:val="7C4D1256"/>
    <w:rsid w:val="7C537F24"/>
    <w:rsid w:val="7C551902"/>
    <w:rsid w:val="7C5E0F82"/>
    <w:rsid w:val="7C786D7A"/>
    <w:rsid w:val="7C8A307B"/>
    <w:rsid w:val="7C8D2B6B"/>
    <w:rsid w:val="7CAA54CB"/>
    <w:rsid w:val="7CAD0B17"/>
    <w:rsid w:val="7CB400F8"/>
    <w:rsid w:val="7CB4634A"/>
    <w:rsid w:val="7CCC5441"/>
    <w:rsid w:val="7CE22E28"/>
    <w:rsid w:val="7CF20C20"/>
    <w:rsid w:val="7CF24F98"/>
    <w:rsid w:val="7CF90201"/>
    <w:rsid w:val="7CFD3C68"/>
    <w:rsid w:val="7D0A5AA1"/>
    <w:rsid w:val="7D1110A6"/>
    <w:rsid w:val="7D176F1E"/>
    <w:rsid w:val="7D3F20B7"/>
    <w:rsid w:val="7D4F10E3"/>
    <w:rsid w:val="7D55131B"/>
    <w:rsid w:val="7D595DC7"/>
    <w:rsid w:val="7D613ECC"/>
    <w:rsid w:val="7D6438CC"/>
    <w:rsid w:val="7D7050F0"/>
    <w:rsid w:val="7D821FA4"/>
    <w:rsid w:val="7D915010"/>
    <w:rsid w:val="7D9C12B8"/>
    <w:rsid w:val="7D9D293A"/>
    <w:rsid w:val="7DA22646"/>
    <w:rsid w:val="7DB905C1"/>
    <w:rsid w:val="7DBD122E"/>
    <w:rsid w:val="7DC46119"/>
    <w:rsid w:val="7DC91981"/>
    <w:rsid w:val="7DCA721C"/>
    <w:rsid w:val="7DD30A52"/>
    <w:rsid w:val="7DE76A3A"/>
    <w:rsid w:val="7DEC7879"/>
    <w:rsid w:val="7DF32EA2"/>
    <w:rsid w:val="7DF3334C"/>
    <w:rsid w:val="7E002EC9"/>
    <w:rsid w:val="7E064983"/>
    <w:rsid w:val="7E124BDC"/>
    <w:rsid w:val="7E2C3CBE"/>
    <w:rsid w:val="7E2D63B4"/>
    <w:rsid w:val="7E3F7E95"/>
    <w:rsid w:val="7E431733"/>
    <w:rsid w:val="7E48543B"/>
    <w:rsid w:val="7E4B683A"/>
    <w:rsid w:val="7E5F22E5"/>
    <w:rsid w:val="7E666CCB"/>
    <w:rsid w:val="7E6B6EDC"/>
    <w:rsid w:val="7E7E0A32"/>
    <w:rsid w:val="7E8A5690"/>
    <w:rsid w:val="7E8B00B9"/>
    <w:rsid w:val="7EA00937"/>
    <w:rsid w:val="7EB06C49"/>
    <w:rsid w:val="7EB148B8"/>
    <w:rsid w:val="7EC45DE4"/>
    <w:rsid w:val="7ECB797B"/>
    <w:rsid w:val="7ED14F91"/>
    <w:rsid w:val="7ED92098"/>
    <w:rsid w:val="7EFC08B4"/>
    <w:rsid w:val="7F1255AA"/>
    <w:rsid w:val="7F345520"/>
    <w:rsid w:val="7F363A2B"/>
    <w:rsid w:val="7F5160D2"/>
    <w:rsid w:val="7F5D6825"/>
    <w:rsid w:val="7F606FAC"/>
    <w:rsid w:val="7F666FD8"/>
    <w:rsid w:val="7F6A7BE3"/>
    <w:rsid w:val="7F7973D7"/>
    <w:rsid w:val="7F7A4F45"/>
    <w:rsid w:val="7F7B6CAB"/>
    <w:rsid w:val="7F9D4E73"/>
    <w:rsid w:val="7FA46984"/>
    <w:rsid w:val="7FA65E59"/>
    <w:rsid w:val="7FB21BF7"/>
    <w:rsid w:val="7FB65F35"/>
    <w:rsid w:val="7FD50AB1"/>
    <w:rsid w:val="7FDD34C2"/>
    <w:rsid w:val="7FE02FB2"/>
    <w:rsid w:val="7FF23F38"/>
    <w:rsid w:val="7FF276C1"/>
    <w:rsid w:val="7FFC42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qFormat="1" w:unhideWhenUsed="0" w:uiPriority="0" w:semiHidden="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qFormat="1"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0" w:semiHidden="0" w:name="header"/>
    <w:lsdException w:qFormat="1" w:uiPriority="99" w:semiHidden="0" w:name="footer"/>
    <w:lsdException w:uiPriority="0" w:name="index heading"/>
    <w:lsdException w:qFormat="1" w:uiPriority="0" w:name="caption"/>
    <w:lsdException w:uiPriority="0" w:name="table of figures"/>
    <w:lsdException w:uiPriority="0" w:name="envelope address"/>
    <w:lsdException w:qFormat="1" w:uiPriority="99" w:semiHidden="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qFormat="1" w:uiPriority="99"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iPriority="0" w:semiHidden="0" w:name="Body Text First Indent"/>
    <w:lsdException w:qFormat="1" w:uiPriority="99" w:semiHidden="0" w:name="Body Text First Indent 2"/>
    <w:lsdException w:uiPriority="0" w:name="Note Heading"/>
    <w:lsdException w:uiPriority="0" w:name="Body Text 2"/>
    <w:lsdException w:uiPriority="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iPriority="99" w:semiHidden="0" w:name="Document Map"/>
    <w:lsdException w:qFormat="1" w:unhideWhenUsed="0" w:uiPriority="0" w:semiHidden="0" w:name="Plain Text"/>
    <w:lsdException w:uiPriority="0" w:name="E-mail Signature"/>
    <w:lsdException w:qFormat="1" w:unhideWhenUsed="0" w:uiPriority="99" w:semiHidden="0" w:name="Normal (Web)"/>
    <w:lsdException w:qFormat="1" w:unhideWhenUsed="0" w:uiPriority="0" w:semiHidden="0" w:name="HTML Acronym"/>
    <w:lsdException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iPriority="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4">
    <w:name w:val="heading 1"/>
    <w:basedOn w:val="1"/>
    <w:next w:val="1"/>
    <w:link w:val="53"/>
    <w:qFormat/>
    <w:uiPriority w:val="0"/>
    <w:pPr>
      <w:keepNext/>
      <w:tabs>
        <w:tab w:val="left" w:pos="200"/>
      </w:tabs>
      <w:jc w:val="center"/>
      <w:outlineLvl w:val="0"/>
    </w:pPr>
    <w:rPr>
      <w:rFonts w:hint="eastAsia" w:ascii="宋体" w:hAnsi="宋体"/>
      <w:b/>
      <w:sz w:val="36"/>
    </w:rPr>
  </w:style>
  <w:style w:type="paragraph" w:styleId="5">
    <w:name w:val="heading 2"/>
    <w:basedOn w:val="1"/>
    <w:next w:val="1"/>
    <w:link w:val="56"/>
    <w:unhideWhenUsed/>
    <w:qFormat/>
    <w:uiPriority w:val="9"/>
    <w:pPr>
      <w:keepNext/>
      <w:keepLines/>
      <w:spacing w:before="260" w:after="260" w:line="416" w:lineRule="auto"/>
      <w:outlineLvl w:val="1"/>
    </w:pPr>
    <w:rPr>
      <w:rFonts w:asciiTheme="majorHAnsi" w:hAnsiTheme="majorHAnsi" w:eastAsiaTheme="majorEastAsia" w:cstheme="majorBidi"/>
      <w:bCs/>
      <w:szCs w:val="32"/>
    </w:rPr>
  </w:style>
  <w:style w:type="paragraph" w:styleId="6">
    <w:name w:val="heading 3"/>
    <w:basedOn w:val="1"/>
    <w:next w:val="1"/>
    <w:link w:val="48"/>
    <w:qFormat/>
    <w:uiPriority w:val="0"/>
    <w:pPr>
      <w:keepNext/>
      <w:keepLines/>
      <w:spacing w:before="260" w:after="260" w:line="416" w:lineRule="auto"/>
      <w:outlineLvl w:val="2"/>
    </w:pPr>
    <w:rPr>
      <w:b/>
      <w:bCs/>
      <w:sz w:val="32"/>
      <w:szCs w:val="32"/>
    </w:rPr>
  </w:style>
  <w:style w:type="paragraph" w:styleId="7">
    <w:name w:val="heading 4"/>
    <w:basedOn w:val="1"/>
    <w:next w:val="1"/>
    <w:link w:val="57"/>
    <w:semiHidden/>
    <w:unhideWhenUsed/>
    <w:qFormat/>
    <w:uiPriority w:val="0"/>
    <w:pPr>
      <w:keepNext/>
      <w:keepLines/>
      <w:spacing w:before="280" w:after="290" w:line="372" w:lineRule="auto"/>
      <w:outlineLvl w:val="3"/>
    </w:pPr>
    <w:rPr>
      <w:rFonts w:ascii="Arial" w:hAnsi="Arial" w:eastAsia="黑体"/>
      <w:b/>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link w:val="91"/>
    <w:unhideWhenUsed/>
    <w:qFormat/>
    <w:uiPriority w:val="0"/>
    <w:pPr>
      <w:spacing w:after="120"/>
      <w:ind w:firstLine="420" w:firstLineChars="100"/>
    </w:pPr>
    <w:rPr>
      <w:rFonts w:hint="default" w:ascii="Times New Roman" w:hAnsi="Times New Roman" w:eastAsia="宋体"/>
    </w:rPr>
  </w:style>
  <w:style w:type="paragraph" w:styleId="3">
    <w:name w:val="Body Text"/>
    <w:basedOn w:val="1"/>
    <w:link w:val="50"/>
    <w:qFormat/>
    <w:uiPriority w:val="0"/>
    <w:rPr>
      <w:rFonts w:hint="eastAsia" w:ascii="楷体_GB2312" w:hAnsi="Arial" w:eastAsia="楷体_GB2312"/>
    </w:rPr>
  </w:style>
  <w:style w:type="paragraph" w:styleId="8">
    <w:name w:val="table of authorities"/>
    <w:basedOn w:val="1"/>
    <w:next w:val="1"/>
    <w:unhideWhenUsed/>
    <w:qFormat/>
    <w:uiPriority w:val="99"/>
    <w:pPr>
      <w:ind w:left="420" w:leftChars="200"/>
    </w:pPr>
  </w:style>
  <w:style w:type="paragraph" w:styleId="9">
    <w:name w:val="Normal Indent"/>
    <w:basedOn w:val="1"/>
    <w:next w:val="1"/>
    <w:link w:val="71"/>
    <w:qFormat/>
    <w:uiPriority w:val="0"/>
    <w:pPr>
      <w:adjustRightInd w:val="0"/>
      <w:snapToGrid w:val="0"/>
      <w:spacing w:line="360" w:lineRule="auto"/>
      <w:ind w:firstLine="420"/>
    </w:pPr>
    <w:rPr>
      <w:rFonts w:asciiTheme="minorHAnsi" w:hAnsiTheme="minorHAnsi" w:eastAsiaTheme="minorEastAsia" w:cstheme="minorBidi"/>
      <w:sz w:val="24"/>
      <w:szCs w:val="22"/>
    </w:rPr>
  </w:style>
  <w:style w:type="paragraph" w:styleId="10">
    <w:name w:val="index 5"/>
    <w:basedOn w:val="1"/>
    <w:next w:val="1"/>
    <w:qFormat/>
    <w:uiPriority w:val="0"/>
    <w:pPr>
      <w:ind w:left="1680"/>
    </w:pPr>
    <w:rPr>
      <w:sz w:val="24"/>
    </w:rPr>
  </w:style>
  <w:style w:type="paragraph" w:styleId="11">
    <w:name w:val="Document Map"/>
    <w:next w:val="1"/>
    <w:unhideWhenUsed/>
    <w:qFormat/>
    <w:uiPriority w:val="99"/>
    <w:pPr>
      <w:widowControl w:val="0"/>
      <w:jc w:val="both"/>
    </w:pPr>
    <w:rPr>
      <w:rFonts w:ascii="宋体" w:hAnsi="Calibri" w:eastAsia="宋体" w:cs="Times New Roman"/>
      <w:kern w:val="2"/>
      <w:sz w:val="18"/>
      <w:szCs w:val="18"/>
      <w:lang w:val="en-US" w:eastAsia="zh-CN" w:bidi="ar-SA"/>
    </w:rPr>
  </w:style>
  <w:style w:type="paragraph" w:styleId="12">
    <w:name w:val="annotation text"/>
    <w:basedOn w:val="1"/>
    <w:link w:val="59"/>
    <w:qFormat/>
    <w:uiPriority w:val="0"/>
    <w:pPr>
      <w:jc w:val="left"/>
    </w:pPr>
  </w:style>
  <w:style w:type="paragraph" w:styleId="13">
    <w:name w:val="Body Text Indent"/>
    <w:basedOn w:val="1"/>
    <w:next w:val="1"/>
    <w:link w:val="54"/>
    <w:qFormat/>
    <w:uiPriority w:val="0"/>
    <w:pPr>
      <w:spacing w:after="120"/>
      <w:ind w:left="420" w:leftChars="200"/>
    </w:pPr>
  </w:style>
  <w:style w:type="paragraph" w:styleId="14">
    <w:name w:val="Plain Text"/>
    <w:basedOn w:val="1"/>
    <w:next w:val="9"/>
    <w:link w:val="47"/>
    <w:qFormat/>
    <w:uiPriority w:val="0"/>
    <w:rPr>
      <w:rFonts w:hint="eastAsia" w:ascii="宋体" w:hAnsi="Courier New"/>
      <w:kern w:val="0"/>
      <w:sz w:val="20"/>
    </w:rPr>
  </w:style>
  <w:style w:type="paragraph" w:styleId="15">
    <w:name w:val="Date"/>
    <w:basedOn w:val="1"/>
    <w:next w:val="1"/>
    <w:link w:val="55"/>
    <w:qFormat/>
    <w:uiPriority w:val="0"/>
    <w:pPr>
      <w:ind w:left="100" w:leftChars="2500"/>
    </w:pPr>
  </w:style>
  <w:style w:type="paragraph" w:styleId="16">
    <w:name w:val="Body Text Indent 2"/>
    <w:basedOn w:val="1"/>
    <w:link w:val="61"/>
    <w:qFormat/>
    <w:uiPriority w:val="0"/>
    <w:pPr>
      <w:spacing w:after="120" w:line="480" w:lineRule="auto"/>
      <w:ind w:left="420" w:leftChars="200"/>
    </w:pPr>
  </w:style>
  <w:style w:type="paragraph" w:styleId="17">
    <w:name w:val="Balloon Text"/>
    <w:basedOn w:val="1"/>
    <w:link w:val="68"/>
    <w:qFormat/>
    <w:uiPriority w:val="0"/>
    <w:rPr>
      <w:sz w:val="18"/>
      <w:szCs w:val="18"/>
    </w:rPr>
  </w:style>
  <w:style w:type="paragraph" w:styleId="18">
    <w:name w:val="footer"/>
    <w:basedOn w:val="1"/>
    <w:link w:val="52"/>
    <w:unhideWhenUsed/>
    <w:qFormat/>
    <w:uiPriority w:val="99"/>
    <w:pPr>
      <w:tabs>
        <w:tab w:val="center" w:pos="4153"/>
        <w:tab w:val="right" w:pos="8306"/>
      </w:tabs>
      <w:snapToGrid w:val="0"/>
      <w:spacing w:line="240" w:lineRule="atLeast"/>
      <w:jc w:val="left"/>
    </w:pPr>
    <w:rPr>
      <w:sz w:val="18"/>
      <w:szCs w:val="18"/>
    </w:rPr>
  </w:style>
  <w:style w:type="paragraph" w:styleId="19">
    <w:name w:val="header"/>
    <w:basedOn w:val="1"/>
    <w:link w:val="51"/>
    <w:unhideWhenUsed/>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20">
    <w:name w:val="Subtitle"/>
    <w:basedOn w:val="1"/>
    <w:next w:val="1"/>
    <w:link w:val="76"/>
    <w:qFormat/>
    <w:uiPriority w:val="0"/>
    <w:pPr>
      <w:spacing w:before="360" w:after="180" w:line="360" w:lineRule="auto"/>
      <w:jc w:val="left"/>
      <w:outlineLvl w:val="1"/>
    </w:pPr>
    <w:rPr>
      <w:rFonts w:ascii="Cambria" w:hAnsi="Cambria"/>
      <w:b/>
      <w:bCs/>
      <w:kern w:val="28"/>
      <w:sz w:val="24"/>
      <w:szCs w:val="32"/>
    </w:rPr>
  </w:style>
  <w:style w:type="paragraph" w:styleId="21">
    <w:name w:val="footnote text"/>
    <w:basedOn w:val="1"/>
    <w:next w:val="10"/>
    <w:qFormat/>
    <w:uiPriority w:val="0"/>
    <w:pPr>
      <w:snapToGrid w:val="0"/>
      <w:jc w:val="left"/>
    </w:pPr>
    <w:rPr>
      <w:sz w:val="18"/>
    </w:rPr>
  </w:style>
  <w:style w:type="paragraph" w:styleId="22">
    <w:name w:val="Body Text Indent 3"/>
    <w:basedOn w:val="1"/>
    <w:link w:val="90"/>
    <w:qFormat/>
    <w:uiPriority w:val="0"/>
    <w:pPr>
      <w:spacing w:after="120"/>
      <w:ind w:left="420" w:leftChars="200"/>
    </w:pPr>
    <w:rPr>
      <w:rFonts w:ascii="Calibri" w:hAnsi="Calibri"/>
      <w:sz w:val="16"/>
      <w:szCs w:val="16"/>
    </w:rPr>
  </w:style>
  <w:style w:type="paragraph" w:styleId="23">
    <w:name w:val="toc 9"/>
    <w:basedOn w:val="1"/>
    <w:next w:val="1"/>
    <w:unhideWhenUsed/>
    <w:qFormat/>
    <w:uiPriority w:val="0"/>
    <w:pPr>
      <w:ind w:left="3360" w:leftChars="1600"/>
    </w:pPr>
    <w:rPr>
      <w:rFonts w:ascii="Calibri" w:hAnsi="Calibri"/>
      <w:sz w:val="21"/>
      <w:szCs w:val="22"/>
    </w:rPr>
  </w:style>
  <w:style w:type="paragraph" w:styleId="24">
    <w:name w:val="Normal (Web)"/>
    <w:basedOn w:val="1"/>
    <w:qFormat/>
    <w:uiPriority w:val="99"/>
    <w:pPr>
      <w:widowControl/>
      <w:spacing w:before="100" w:beforeAutospacing="1" w:after="100" w:afterAutospacing="1"/>
      <w:jc w:val="left"/>
    </w:pPr>
    <w:rPr>
      <w:rFonts w:ascii="Arial Unicode MS" w:hAnsi="Arial Unicode MS" w:eastAsia="Arial Unicode MS" w:cstheme="minorBidi"/>
      <w:sz w:val="24"/>
      <w:szCs w:val="22"/>
    </w:rPr>
  </w:style>
  <w:style w:type="paragraph" w:styleId="25">
    <w:name w:val="Title"/>
    <w:basedOn w:val="1"/>
    <w:next w:val="1"/>
    <w:link w:val="60"/>
    <w:qFormat/>
    <w:uiPriority w:val="0"/>
    <w:pPr>
      <w:adjustRightInd w:val="0"/>
      <w:spacing w:before="240" w:after="60" w:line="288" w:lineRule="auto"/>
      <w:ind w:firstLine="420"/>
      <w:jc w:val="center"/>
      <w:textAlignment w:val="baseline"/>
      <w:outlineLvl w:val="0"/>
    </w:pPr>
    <w:rPr>
      <w:rFonts w:ascii="Arial" w:hAnsi="Arial"/>
      <w:b/>
      <w:sz w:val="32"/>
      <w:szCs w:val="22"/>
    </w:rPr>
  </w:style>
  <w:style w:type="paragraph" w:styleId="26">
    <w:name w:val="Body Text First Indent 2"/>
    <w:basedOn w:val="13"/>
    <w:next w:val="1"/>
    <w:unhideWhenUsed/>
    <w:qFormat/>
    <w:uiPriority w:val="99"/>
    <w:pPr>
      <w:ind w:firstLine="420" w:firstLineChars="200"/>
    </w:pPr>
  </w:style>
  <w:style w:type="table" w:styleId="28">
    <w:name w:val="Table Grid"/>
    <w:basedOn w:val="2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styleId="30">
    <w:name w:val="Strong"/>
    <w:basedOn w:val="29"/>
    <w:qFormat/>
    <w:uiPriority w:val="0"/>
    <w:rPr>
      <w:b/>
      <w:sz w:val="24"/>
      <w:szCs w:val="24"/>
    </w:rPr>
  </w:style>
  <w:style w:type="character" w:styleId="31">
    <w:name w:val="page number"/>
    <w:basedOn w:val="29"/>
    <w:qFormat/>
    <w:uiPriority w:val="0"/>
    <w:rPr>
      <w:rFonts w:ascii="Times New Roman" w:hAnsi="Times New Roman" w:eastAsia="宋体" w:cs="Times New Roman"/>
    </w:rPr>
  </w:style>
  <w:style w:type="character" w:styleId="32">
    <w:name w:val="FollowedHyperlink"/>
    <w:basedOn w:val="29"/>
    <w:qFormat/>
    <w:uiPriority w:val="0"/>
    <w:rPr>
      <w:color w:val="333333"/>
      <w:u w:val="none"/>
    </w:rPr>
  </w:style>
  <w:style w:type="character" w:styleId="33">
    <w:name w:val="Emphasis"/>
    <w:basedOn w:val="29"/>
    <w:qFormat/>
    <w:uiPriority w:val="0"/>
    <w:rPr>
      <w:color w:val="CC0000"/>
      <w:sz w:val="24"/>
      <w:szCs w:val="24"/>
    </w:rPr>
  </w:style>
  <w:style w:type="character" w:styleId="34">
    <w:name w:val="HTML Definition"/>
    <w:basedOn w:val="29"/>
    <w:qFormat/>
    <w:uiPriority w:val="0"/>
  </w:style>
  <w:style w:type="character" w:styleId="35">
    <w:name w:val="HTML Typewriter"/>
    <w:basedOn w:val="29"/>
    <w:qFormat/>
    <w:uiPriority w:val="0"/>
    <w:rPr>
      <w:rFonts w:hint="default" w:ascii="monospace" w:hAnsi="monospace" w:eastAsia="monospace" w:cs="monospace"/>
      <w:sz w:val="20"/>
    </w:rPr>
  </w:style>
  <w:style w:type="character" w:styleId="36">
    <w:name w:val="HTML Acronym"/>
    <w:basedOn w:val="29"/>
    <w:qFormat/>
    <w:uiPriority w:val="0"/>
  </w:style>
  <w:style w:type="character" w:styleId="37">
    <w:name w:val="HTML Variable"/>
    <w:basedOn w:val="29"/>
    <w:qFormat/>
    <w:uiPriority w:val="0"/>
  </w:style>
  <w:style w:type="character" w:styleId="38">
    <w:name w:val="Hyperlink"/>
    <w:basedOn w:val="29"/>
    <w:qFormat/>
    <w:uiPriority w:val="0"/>
    <w:rPr>
      <w:color w:val="333333"/>
      <w:u w:val="none"/>
    </w:rPr>
  </w:style>
  <w:style w:type="character" w:styleId="39">
    <w:name w:val="HTML Code"/>
    <w:basedOn w:val="29"/>
    <w:qFormat/>
    <w:uiPriority w:val="0"/>
    <w:rPr>
      <w:rFonts w:hint="default" w:ascii="monospace" w:hAnsi="monospace" w:eastAsia="monospace" w:cs="monospace"/>
      <w:sz w:val="20"/>
    </w:rPr>
  </w:style>
  <w:style w:type="character" w:styleId="40">
    <w:name w:val="annotation reference"/>
    <w:qFormat/>
    <w:uiPriority w:val="0"/>
    <w:rPr>
      <w:sz w:val="21"/>
      <w:szCs w:val="21"/>
    </w:rPr>
  </w:style>
  <w:style w:type="character" w:styleId="41">
    <w:name w:val="HTML Cite"/>
    <w:basedOn w:val="29"/>
    <w:qFormat/>
    <w:uiPriority w:val="0"/>
    <w:rPr>
      <w:sz w:val="24"/>
      <w:szCs w:val="24"/>
    </w:rPr>
  </w:style>
  <w:style w:type="character" w:styleId="42">
    <w:name w:val="HTML Keyboard"/>
    <w:basedOn w:val="29"/>
    <w:qFormat/>
    <w:uiPriority w:val="0"/>
    <w:rPr>
      <w:rFonts w:hint="default" w:ascii="monospace" w:hAnsi="monospace" w:eastAsia="monospace" w:cs="monospace"/>
      <w:sz w:val="20"/>
    </w:rPr>
  </w:style>
  <w:style w:type="character" w:styleId="43">
    <w:name w:val="HTML Sample"/>
    <w:basedOn w:val="29"/>
    <w:qFormat/>
    <w:uiPriority w:val="0"/>
    <w:rPr>
      <w:rFonts w:ascii="monospace" w:hAnsi="monospace" w:eastAsia="monospace" w:cs="monospace"/>
    </w:rPr>
  </w:style>
  <w:style w:type="paragraph" w:customStyle="1" w:styleId="44">
    <w:name w:val="样式 标题 1 + 宋体 居中 段前: 17 磅 段后: 16.5 磅"/>
    <w:basedOn w:val="4"/>
    <w:qFormat/>
    <w:uiPriority w:val="0"/>
    <w:pPr>
      <w:pageBreakBefore/>
      <w:widowControl/>
      <w:tabs>
        <w:tab w:val="left" w:pos="840"/>
        <w:tab w:val="clear" w:pos="200"/>
      </w:tabs>
      <w:snapToGrid w:val="0"/>
      <w:ind w:left="840" w:hanging="420"/>
    </w:pPr>
    <w:rPr>
      <w:rFonts w:ascii="华文中宋" w:hAnsi="华文中宋" w:eastAsia="华文中宋" w:cs="宋体"/>
      <w:sz w:val="28"/>
    </w:rPr>
  </w:style>
  <w:style w:type="paragraph" w:customStyle="1" w:styleId="45">
    <w:name w:val="Í¼±íÕýÎÄ"/>
    <w:basedOn w:val="1"/>
    <w:next w:val="9"/>
    <w:qFormat/>
    <w:uiPriority w:val="0"/>
    <w:pPr>
      <w:ind w:firstLine="420" w:firstLineChars="200"/>
    </w:pPr>
    <w:rPr>
      <w:sz w:val="24"/>
    </w:rPr>
  </w:style>
  <w:style w:type="paragraph" w:customStyle="1" w:styleId="46">
    <w:name w:val="正文字缩2字"/>
    <w:basedOn w:val="1"/>
    <w:qFormat/>
    <w:uiPriority w:val="0"/>
    <w:pPr>
      <w:spacing w:before="60" w:after="60" w:line="360" w:lineRule="auto"/>
      <w:ind w:left="200" w:leftChars="200" w:firstLine="200" w:firstLineChars="200"/>
    </w:pPr>
    <w:rPr>
      <w:rFonts w:ascii="Calibri" w:hAnsi="Calibri"/>
      <w:sz w:val="21"/>
      <w:szCs w:val="24"/>
    </w:rPr>
  </w:style>
  <w:style w:type="character" w:customStyle="1" w:styleId="47">
    <w:name w:val="纯文本 Char"/>
    <w:basedOn w:val="29"/>
    <w:link w:val="14"/>
    <w:qFormat/>
    <w:uiPriority w:val="0"/>
    <w:rPr>
      <w:rFonts w:hint="eastAsia" w:ascii="宋体" w:hAnsi="Courier New" w:eastAsia="宋体" w:cs="宋体"/>
    </w:rPr>
  </w:style>
  <w:style w:type="character" w:customStyle="1" w:styleId="48">
    <w:name w:val="标题 3 Char"/>
    <w:basedOn w:val="29"/>
    <w:link w:val="6"/>
    <w:qFormat/>
    <w:uiPriority w:val="0"/>
    <w:rPr>
      <w:rFonts w:hint="default" w:ascii="Calibri" w:hAnsi="Calibri" w:cs="Calibri"/>
      <w:b/>
      <w:kern w:val="2"/>
      <w:sz w:val="32"/>
      <w:szCs w:val="32"/>
    </w:rPr>
  </w:style>
  <w:style w:type="paragraph" w:customStyle="1" w:styleId="49">
    <w:name w:val="列出段落1"/>
    <w:basedOn w:val="1"/>
    <w:qFormat/>
    <w:uiPriority w:val="0"/>
    <w:pPr>
      <w:ind w:firstLine="420" w:firstLineChars="200"/>
    </w:pPr>
    <w:rPr>
      <w:rFonts w:ascii="Calibri" w:hAnsi="Calibri"/>
      <w:color w:val="595959"/>
      <w:sz w:val="21"/>
      <w:szCs w:val="24"/>
    </w:rPr>
  </w:style>
  <w:style w:type="character" w:customStyle="1" w:styleId="50">
    <w:name w:val="正文文本 Char"/>
    <w:basedOn w:val="29"/>
    <w:link w:val="3"/>
    <w:qFormat/>
    <w:uiPriority w:val="0"/>
    <w:rPr>
      <w:rFonts w:hint="eastAsia" w:ascii="楷体_GB2312" w:hAnsi="Arial" w:eastAsia="楷体_GB2312" w:cs="楷体_GB2312"/>
      <w:kern w:val="2"/>
      <w:sz w:val="28"/>
    </w:rPr>
  </w:style>
  <w:style w:type="character" w:customStyle="1" w:styleId="51">
    <w:name w:val="页眉 Char"/>
    <w:basedOn w:val="29"/>
    <w:link w:val="19"/>
    <w:qFormat/>
    <w:uiPriority w:val="0"/>
    <w:rPr>
      <w:kern w:val="2"/>
      <w:sz w:val="18"/>
    </w:rPr>
  </w:style>
  <w:style w:type="character" w:customStyle="1" w:styleId="52">
    <w:name w:val="页脚 Char"/>
    <w:basedOn w:val="29"/>
    <w:link w:val="18"/>
    <w:qFormat/>
    <w:uiPriority w:val="99"/>
    <w:rPr>
      <w:kern w:val="2"/>
      <w:sz w:val="18"/>
    </w:rPr>
  </w:style>
  <w:style w:type="character" w:customStyle="1" w:styleId="53">
    <w:name w:val="标题 1 Char"/>
    <w:basedOn w:val="29"/>
    <w:link w:val="4"/>
    <w:qFormat/>
    <w:uiPriority w:val="0"/>
    <w:rPr>
      <w:rFonts w:hint="eastAsia" w:ascii="宋体" w:hAnsi="宋体" w:eastAsia="宋体" w:cs="宋体"/>
      <w:b/>
      <w:kern w:val="2"/>
      <w:sz w:val="36"/>
    </w:rPr>
  </w:style>
  <w:style w:type="character" w:customStyle="1" w:styleId="54">
    <w:name w:val="正文文本缩进 Char"/>
    <w:basedOn w:val="29"/>
    <w:link w:val="13"/>
    <w:qFormat/>
    <w:uiPriority w:val="0"/>
    <w:rPr>
      <w:rFonts w:hint="eastAsia" w:ascii="仿宋_GB2312" w:hAnsi="Arial" w:eastAsia="仿宋_GB2312" w:cs="仿宋_GB2312"/>
      <w:sz w:val="32"/>
      <w:szCs w:val="32"/>
    </w:rPr>
  </w:style>
  <w:style w:type="character" w:customStyle="1" w:styleId="55">
    <w:name w:val="日期 Char"/>
    <w:basedOn w:val="29"/>
    <w:link w:val="15"/>
    <w:qFormat/>
    <w:uiPriority w:val="0"/>
    <w:rPr>
      <w:kern w:val="2"/>
      <w:sz w:val="21"/>
    </w:rPr>
  </w:style>
  <w:style w:type="character" w:customStyle="1" w:styleId="56">
    <w:name w:val="标题 2 Char"/>
    <w:basedOn w:val="29"/>
    <w:link w:val="5"/>
    <w:qFormat/>
    <w:uiPriority w:val="0"/>
    <w:rPr>
      <w:rFonts w:hint="eastAsia" w:ascii="楷体_GB2312" w:eastAsia="楷体_GB2312" w:cs="楷体_GB2312"/>
      <w:b/>
      <w:kern w:val="2"/>
      <w:sz w:val="28"/>
      <w:szCs w:val="28"/>
    </w:rPr>
  </w:style>
  <w:style w:type="character" w:customStyle="1" w:styleId="57">
    <w:name w:val="标题 4 Char"/>
    <w:basedOn w:val="29"/>
    <w:link w:val="7"/>
    <w:qFormat/>
    <w:uiPriority w:val="0"/>
    <w:rPr>
      <w:rFonts w:hint="default" w:ascii="Cambria" w:hAnsi="Cambria" w:eastAsia="Cambria" w:cs="Cambria"/>
      <w:b/>
      <w:kern w:val="2"/>
      <w:sz w:val="28"/>
      <w:szCs w:val="28"/>
      <w:lang w:val="zh-CN"/>
    </w:rPr>
  </w:style>
  <w:style w:type="character" w:customStyle="1" w:styleId="58">
    <w:name w:val="font71"/>
    <w:basedOn w:val="29"/>
    <w:qFormat/>
    <w:uiPriority w:val="0"/>
    <w:rPr>
      <w:rFonts w:hint="eastAsia" w:ascii="宋体" w:hAnsi="宋体" w:eastAsia="宋体" w:cs="宋体"/>
      <w:color w:val="000000"/>
      <w:sz w:val="22"/>
      <w:szCs w:val="22"/>
      <w:u w:val="none"/>
    </w:rPr>
  </w:style>
  <w:style w:type="character" w:customStyle="1" w:styleId="59">
    <w:name w:val="批注文字 Char"/>
    <w:basedOn w:val="29"/>
    <w:link w:val="12"/>
    <w:qFormat/>
    <w:uiPriority w:val="0"/>
    <w:rPr>
      <w:rFonts w:hint="default" w:ascii="Calibri" w:hAnsi="Calibri" w:eastAsia="PMingLiU" w:cs="Calibri"/>
      <w:sz w:val="24"/>
      <w:lang w:eastAsia="zh-TW"/>
    </w:rPr>
  </w:style>
  <w:style w:type="character" w:customStyle="1" w:styleId="60">
    <w:name w:val="标题 Char"/>
    <w:basedOn w:val="29"/>
    <w:link w:val="25"/>
    <w:qFormat/>
    <w:uiPriority w:val="0"/>
    <w:rPr>
      <w:rFonts w:hint="default" w:ascii="Cambria" w:hAnsi="Cambria" w:eastAsia="Cambria" w:cs="Cambria"/>
      <w:b/>
      <w:kern w:val="2"/>
      <w:sz w:val="32"/>
      <w:szCs w:val="32"/>
    </w:rPr>
  </w:style>
  <w:style w:type="character" w:customStyle="1" w:styleId="61">
    <w:name w:val="正文文本缩进 2 Char"/>
    <w:basedOn w:val="29"/>
    <w:link w:val="16"/>
    <w:qFormat/>
    <w:uiPriority w:val="0"/>
    <w:rPr>
      <w:rFonts w:hint="eastAsia" w:ascii="宋体" w:hAnsi="宋体" w:eastAsia="宋体" w:cs="宋体"/>
      <w:kern w:val="2"/>
      <w:sz w:val="24"/>
      <w:szCs w:val="24"/>
    </w:rPr>
  </w:style>
  <w:style w:type="table" w:customStyle="1" w:styleId="62">
    <w:name w:val="网格型1"/>
    <w:basedOn w:val="2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paragraph" w:customStyle="1" w:styleId="63">
    <w:name w:val="_Style 1"/>
    <w:basedOn w:val="1"/>
    <w:qFormat/>
    <w:uiPriority w:val="0"/>
    <w:pPr>
      <w:ind w:firstLine="420" w:firstLineChars="200"/>
    </w:pPr>
    <w:rPr>
      <w:kern w:val="0"/>
      <w:sz w:val="20"/>
    </w:rPr>
  </w:style>
  <w:style w:type="paragraph" w:styleId="64">
    <w:name w:val="List Paragraph"/>
    <w:basedOn w:val="1"/>
    <w:qFormat/>
    <w:uiPriority w:val="34"/>
    <w:pPr>
      <w:ind w:left="362" w:firstLine="480"/>
    </w:pPr>
    <w:rPr>
      <w:rFonts w:ascii="宋体" w:hAnsi="宋体" w:cs="宋体"/>
      <w:lang w:val="zh-CN" w:bidi="zh-CN"/>
    </w:rPr>
  </w:style>
  <w:style w:type="paragraph" w:customStyle="1" w:styleId="65">
    <w:name w:val="Table Paragraph"/>
    <w:basedOn w:val="1"/>
    <w:qFormat/>
    <w:uiPriority w:val="1"/>
    <w:rPr>
      <w:rFonts w:ascii="宋体" w:hAnsi="宋体" w:cs="宋体"/>
      <w:lang w:val="zh-CN" w:bidi="zh-CN"/>
    </w:rPr>
  </w:style>
  <w:style w:type="paragraph" w:customStyle="1" w:styleId="66">
    <w:name w:val="样式 宋体 五号 行距: 单倍行距"/>
    <w:basedOn w:val="1"/>
    <w:qFormat/>
    <w:uiPriority w:val="0"/>
    <w:rPr>
      <w:rFonts w:ascii="宋体" w:hAnsi="宋体" w:cs="宋体"/>
      <w:sz w:val="21"/>
    </w:rPr>
  </w:style>
  <w:style w:type="paragraph" w:customStyle="1" w:styleId="67">
    <w:name w:val="纯文本2"/>
    <w:basedOn w:val="1"/>
    <w:qFormat/>
    <w:uiPriority w:val="99"/>
    <w:pPr>
      <w:widowControl/>
      <w:adjustRightInd w:val="0"/>
      <w:jc w:val="left"/>
      <w:textAlignment w:val="baseline"/>
    </w:pPr>
    <w:rPr>
      <w:rFonts w:ascii="宋体" w:hAnsi="Courier New" w:eastAsia="楷体_GB2312"/>
      <w:kern w:val="0"/>
      <w:sz w:val="26"/>
    </w:rPr>
  </w:style>
  <w:style w:type="character" w:customStyle="1" w:styleId="68">
    <w:name w:val="批注框文本 Char"/>
    <w:basedOn w:val="29"/>
    <w:link w:val="17"/>
    <w:qFormat/>
    <w:uiPriority w:val="0"/>
    <w:rPr>
      <w:rFonts w:ascii="Times New Roman" w:hAnsi="Times New Roman"/>
      <w:kern w:val="2"/>
      <w:sz w:val="18"/>
      <w:szCs w:val="18"/>
    </w:rPr>
  </w:style>
  <w:style w:type="paragraph" w:customStyle="1" w:styleId="69">
    <w:name w:val="正文_0"/>
    <w:qFormat/>
    <w:uiPriority w:val="0"/>
    <w:pPr>
      <w:widowControl w:val="0"/>
      <w:jc w:val="both"/>
    </w:pPr>
    <w:rPr>
      <w:rFonts w:ascii="Calibri" w:hAnsi="Calibri" w:eastAsia="宋体" w:cs="Times New Roman"/>
      <w:kern w:val="2"/>
      <w:sz w:val="21"/>
      <w:szCs w:val="22"/>
      <w:lang w:val="en-US" w:eastAsia="zh-CN" w:bidi="ar-SA"/>
    </w:rPr>
  </w:style>
  <w:style w:type="character" w:customStyle="1" w:styleId="70">
    <w:name w:val="页码1"/>
    <w:basedOn w:val="29"/>
    <w:qFormat/>
    <w:uiPriority w:val="0"/>
  </w:style>
  <w:style w:type="character" w:customStyle="1" w:styleId="71">
    <w:name w:val="正文缩进 Char"/>
    <w:link w:val="9"/>
    <w:qFormat/>
    <w:uiPriority w:val="0"/>
    <w:rPr>
      <w:rFonts w:asciiTheme="minorHAnsi" w:hAnsiTheme="minorHAnsi" w:eastAsiaTheme="minorEastAsia" w:cstheme="minorBidi"/>
      <w:kern w:val="2"/>
      <w:sz w:val="24"/>
      <w:szCs w:val="22"/>
    </w:rPr>
  </w:style>
  <w:style w:type="character" w:customStyle="1" w:styleId="72">
    <w:name w:val="正文文本 (3)_"/>
    <w:link w:val="73"/>
    <w:qFormat/>
    <w:uiPriority w:val="0"/>
    <w:rPr>
      <w:rFonts w:ascii="宋体" w:hAnsi="宋体" w:cs="宋体"/>
      <w:b/>
      <w:bCs/>
      <w:sz w:val="28"/>
      <w:szCs w:val="28"/>
      <w:shd w:val="clear" w:color="auto" w:fill="FFFFFF"/>
    </w:rPr>
  </w:style>
  <w:style w:type="paragraph" w:customStyle="1" w:styleId="73">
    <w:name w:val="正文文本 (3)"/>
    <w:basedOn w:val="1"/>
    <w:link w:val="72"/>
    <w:qFormat/>
    <w:uiPriority w:val="0"/>
    <w:pPr>
      <w:shd w:val="clear" w:color="auto" w:fill="FFFFFF"/>
      <w:spacing w:before="1320" w:after="2040" w:line="0" w:lineRule="atLeast"/>
      <w:jc w:val="center"/>
    </w:pPr>
    <w:rPr>
      <w:rFonts w:ascii="宋体" w:hAnsi="宋体" w:cs="宋体"/>
      <w:b/>
      <w:bCs/>
      <w:kern w:val="0"/>
      <w:szCs w:val="28"/>
    </w:rPr>
  </w:style>
  <w:style w:type="character" w:customStyle="1" w:styleId="74">
    <w:name w:val="正文文本 (2)_"/>
    <w:link w:val="75"/>
    <w:qFormat/>
    <w:uiPriority w:val="0"/>
    <w:rPr>
      <w:rFonts w:ascii="宋体" w:hAnsi="宋体" w:cs="宋体"/>
      <w:sz w:val="26"/>
      <w:szCs w:val="26"/>
      <w:shd w:val="clear" w:color="auto" w:fill="FFFFFF"/>
    </w:rPr>
  </w:style>
  <w:style w:type="paragraph" w:customStyle="1" w:styleId="75">
    <w:name w:val="正文文本 (2)"/>
    <w:basedOn w:val="1"/>
    <w:link w:val="74"/>
    <w:qFormat/>
    <w:uiPriority w:val="0"/>
    <w:pPr>
      <w:shd w:val="clear" w:color="auto" w:fill="FFFFFF"/>
      <w:spacing w:before="1320" w:after="1320" w:line="0" w:lineRule="atLeast"/>
      <w:jc w:val="center"/>
    </w:pPr>
    <w:rPr>
      <w:rFonts w:ascii="宋体" w:hAnsi="宋体" w:cs="宋体"/>
      <w:kern w:val="0"/>
      <w:sz w:val="26"/>
      <w:szCs w:val="26"/>
    </w:rPr>
  </w:style>
  <w:style w:type="character" w:customStyle="1" w:styleId="76">
    <w:name w:val="副标题 Char"/>
    <w:link w:val="20"/>
    <w:qFormat/>
    <w:uiPriority w:val="0"/>
    <w:rPr>
      <w:rFonts w:ascii="Cambria" w:hAnsi="Cambria"/>
      <w:b/>
      <w:bCs/>
      <w:kern w:val="28"/>
      <w:sz w:val="24"/>
      <w:szCs w:val="32"/>
    </w:rPr>
  </w:style>
  <w:style w:type="character" w:customStyle="1" w:styleId="77">
    <w:name w:val="副标题 Char1"/>
    <w:basedOn w:val="29"/>
    <w:qFormat/>
    <w:uiPriority w:val="0"/>
    <w:rPr>
      <w:rFonts w:asciiTheme="majorHAnsi" w:hAnsiTheme="majorHAnsi" w:cstheme="majorBidi"/>
      <w:b/>
      <w:bCs/>
      <w:kern w:val="28"/>
      <w:sz w:val="32"/>
      <w:szCs w:val="32"/>
    </w:rPr>
  </w:style>
  <w:style w:type="paragraph" w:customStyle="1" w:styleId="78">
    <w:name w:val="纯文本1"/>
    <w:basedOn w:val="1"/>
    <w:link w:val="79"/>
    <w:qFormat/>
    <w:uiPriority w:val="0"/>
    <w:pPr>
      <w:widowControl/>
      <w:adjustRightInd w:val="0"/>
      <w:jc w:val="left"/>
      <w:textAlignment w:val="baseline"/>
    </w:pPr>
    <w:rPr>
      <w:rFonts w:ascii="宋体" w:hAnsi="Courier New" w:eastAsia="楷体_GB2312"/>
      <w:kern w:val="0"/>
      <w:sz w:val="26"/>
    </w:rPr>
  </w:style>
  <w:style w:type="character" w:customStyle="1" w:styleId="79">
    <w:name w:val="Plain Text Char"/>
    <w:link w:val="78"/>
    <w:qFormat/>
    <w:uiPriority w:val="0"/>
    <w:rPr>
      <w:rFonts w:ascii="宋体" w:hAnsi="Courier New" w:eastAsia="楷体_GB2312"/>
      <w:sz w:val="26"/>
    </w:rPr>
  </w:style>
  <w:style w:type="paragraph" w:customStyle="1" w:styleId="80">
    <w:name w:val="纯文本3"/>
    <w:basedOn w:val="1"/>
    <w:qFormat/>
    <w:uiPriority w:val="0"/>
    <w:pPr>
      <w:adjustRightInd w:val="0"/>
      <w:textAlignment w:val="baseline"/>
    </w:pPr>
    <w:rPr>
      <w:rFonts w:ascii="宋体" w:hAnsi="Courier New" w:eastAsia="楷体_GB2312"/>
    </w:rPr>
  </w:style>
  <w:style w:type="table" w:customStyle="1" w:styleId="81">
    <w:name w:val="Table Normal"/>
    <w:unhideWhenUsed/>
    <w:qFormat/>
    <w:uiPriority w:val="0"/>
    <w:tblPr>
      <w:tblCellMar>
        <w:top w:w="0" w:type="dxa"/>
        <w:left w:w="0" w:type="dxa"/>
        <w:bottom w:w="0" w:type="dxa"/>
        <w:right w:w="0" w:type="dxa"/>
      </w:tblCellMar>
    </w:tblPr>
  </w:style>
  <w:style w:type="paragraph" w:customStyle="1" w:styleId="82">
    <w:name w:val="纯文本31"/>
    <w:basedOn w:val="1"/>
    <w:qFormat/>
    <w:uiPriority w:val="0"/>
    <w:pPr>
      <w:adjustRightInd w:val="0"/>
      <w:textAlignment w:val="baseline"/>
    </w:pPr>
    <w:rPr>
      <w:rFonts w:ascii="宋体" w:hAnsi="Courier New" w:eastAsia="楷体_GB2312"/>
    </w:rPr>
  </w:style>
  <w:style w:type="character" w:customStyle="1" w:styleId="83">
    <w:name w:val="font01"/>
    <w:basedOn w:val="29"/>
    <w:qFormat/>
    <w:uiPriority w:val="0"/>
    <w:rPr>
      <w:rFonts w:hint="eastAsia" w:ascii="宋体" w:hAnsi="宋体" w:eastAsia="宋体" w:cs="宋体"/>
      <w:color w:val="000000"/>
      <w:sz w:val="22"/>
      <w:szCs w:val="22"/>
      <w:u w:val="none"/>
    </w:rPr>
  </w:style>
  <w:style w:type="paragraph" w:customStyle="1" w:styleId="84">
    <w:name w:val="纯文本4"/>
    <w:basedOn w:val="1"/>
    <w:qFormat/>
    <w:uiPriority w:val="0"/>
    <w:pPr>
      <w:adjustRightInd w:val="0"/>
      <w:textAlignment w:val="baseline"/>
    </w:pPr>
    <w:rPr>
      <w:rFonts w:ascii="宋体" w:hAnsi="Courier New" w:eastAsia="楷体_GB2312"/>
    </w:rPr>
  </w:style>
  <w:style w:type="character" w:customStyle="1" w:styleId="85">
    <w:name w:val="font11"/>
    <w:basedOn w:val="29"/>
    <w:qFormat/>
    <w:uiPriority w:val="0"/>
    <w:rPr>
      <w:rFonts w:hint="eastAsia" w:ascii="宋体" w:hAnsi="宋体" w:eastAsia="宋体" w:cs="宋体"/>
      <w:color w:val="000000"/>
      <w:sz w:val="22"/>
      <w:szCs w:val="22"/>
      <w:u w:val="none"/>
    </w:rPr>
  </w:style>
  <w:style w:type="character" w:customStyle="1" w:styleId="86">
    <w:name w:val="font31"/>
    <w:basedOn w:val="29"/>
    <w:qFormat/>
    <w:uiPriority w:val="0"/>
    <w:rPr>
      <w:rFonts w:hint="eastAsia" w:ascii="宋体" w:hAnsi="宋体" w:eastAsia="宋体" w:cs="宋体"/>
      <w:b/>
      <w:color w:val="000000"/>
      <w:sz w:val="22"/>
      <w:szCs w:val="22"/>
      <w:u w:val="none"/>
    </w:rPr>
  </w:style>
  <w:style w:type="paragraph" w:customStyle="1" w:styleId="87">
    <w:name w:val="图例"/>
    <w:basedOn w:val="1"/>
    <w:qFormat/>
    <w:uiPriority w:val="0"/>
    <w:pPr>
      <w:spacing w:before="120" w:after="120" w:line="360" w:lineRule="auto"/>
      <w:jc w:val="center"/>
    </w:pPr>
    <w:rPr>
      <w:rFonts w:eastAsia="仿宋_GB2312"/>
      <w:b/>
      <w:sz w:val="24"/>
    </w:rPr>
  </w:style>
  <w:style w:type="paragraph" w:customStyle="1" w:styleId="88">
    <w:name w:val="Default"/>
    <w:qFormat/>
    <w:uiPriority w:val="0"/>
    <w:pPr>
      <w:widowControl w:val="0"/>
      <w:autoSpaceDE w:val="0"/>
      <w:autoSpaceDN w:val="0"/>
      <w:adjustRightInd w:val="0"/>
    </w:pPr>
    <w:rPr>
      <w:rFonts w:ascii="Times New Roman" w:hAnsi="Times New Roman" w:eastAsia="宋体" w:cs="Times New Roman"/>
      <w:color w:val="000000"/>
      <w:sz w:val="24"/>
      <w:lang w:val="en-US" w:eastAsia="zh-CN" w:bidi="ar-SA"/>
    </w:rPr>
  </w:style>
  <w:style w:type="character" w:customStyle="1" w:styleId="89">
    <w:name w:val="NormalCharacter"/>
    <w:semiHidden/>
    <w:qFormat/>
    <w:uiPriority w:val="0"/>
  </w:style>
  <w:style w:type="character" w:customStyle="1" w:styleId="90">
    <w:name w:val="正文文本缩进 3 Char"/>
    <w:basedOn w:val="29"/>
    <w:link w:val="22"/>
    <w:qFormat/>
    <w:uiPriority w:val="0"/>
    <w:rPr>
      <w:rFonts w:ascii="Calibri" w:hAnsi="Calibri"/>
      <w:kern w:val="2"/>
      <w:sz w:val="16"/>
      <w:szCs w:val="16"/>
    </w:rPr>
  </w:style>
  <w:style w:type="character" w:customStyle="1" w:styleId="91">
    <w:name w:val="正文首行缩进 Char"/>
    <w:basedOn w:val="50"/>
    <w:link w:val="2"/>
    <w:qFormat/>
    <w:uiPriority w:val="0"/>
    <w:rPr>
      <w:rFonts w:hint="eastAsia" w:ascii="楷体_GB2312" w:hAnsi="Arial" w:eastAsia="楷体_GB2312" w:cs="楷体_GB2312"/>
      <w:kern w:val="2"/>
      <w:sz w:val="28"/>
    </w:rPr>
  </w:style>
  <w:style w:type="paragraph" w:customStyle="1" w:styleId="92">
    <w:name w:val="成文日期"/>
    <w:basedOn w:val="1"/>
    <w:qFormat/>
    <w:uiPriority w:val="0"/>
    <w:pPr>
      <w:spacing w:line="570" w:lineRule="exact"/>
      <w:ind w:right="400" w:rightChars="400" w:firstLine="200" w:firstLineChars="200"/>
      <w:jc w:val="right"/>
    </w:pPr>
    <w:rPr>
      <w:rFonts w:ascii="仿宋_GB2312" w:eastAsia="仿宋_GB2312"/>
      <w:sz w:val="32"/>
    </w:rPr>
  </w:style>
  <w:style w:type="character" w:customStyle="1" w:styleId="93">
    <w:name w:val="正文首行缩进 Char1"/>
    <w:basedOn w:val="29"/>
    <w:qFormat/>
    <w:uiPriority w:val="99"/>
    <w:rPr>
      <w:rFonts w:ascii="Calibri" w:hAnsi="Calibri"/>
      <w:kern w:val="2"/>
      <w:sz w:val="21"/>
      <w:szCs w:val="22"/>
    </w:rPr>
  </w:style>
  <w:style w:type="character" w:customStyle="1" w:styleId="94">
    <w:name w:val="font41"/>
    <w:basedOn w:val="29"/>
    <w:qFormat/>
    <w:uiPriority w:val="0"/>
    <w:rPr>
      <w:rFonts w:hint="eastAsia" w:ascii="宋体" w:hAnsi="宋体" w:eastAsia="宋体" w:cs="宋体"/>
      <w:color w:val="000000"/>
      <w:sz w:val="22"/>
      <w:szCs w:val="22"/>
      <w:u w:val="none"/>
    </w:rPr>
  </w:style>
  <w:style w:type="character" w:customStyle="1" w:styleId="95">
    <w:name w:val="font51"/>
    <w:basedOn w:val="29"/>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Micorosoft</Company>
  <Pages>45</Pages>
  <Words>26691</Words>
  <Characters>27681</Characters>
  <Lines>218</Lines>
  <Paragraphs>61</Paragraphs>
  <TotalTime>0</TotalTime>
  <ScaleCrop>false</ScaleCrop>
  <LinksUpToDate>false</LinksUpToDate>
  <CharactersWithSpaces>28556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2022-09-06T10:06:00Z</dcterms:created>
  <dc:creator>Administrator</dc:creator>
  <cp:lastModifiedBy>李</cp:lastModifiedBy>
  <cp:lastPrinted>2024-07-16T15:08:00Z</cp:lastPrinted>
  <dcterms:modified xsi:type="dcterms:W3CDTF">2024-10-31T02:43:21Z</dcterms:modified>
  <cp:revision>189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D9D195C2CE3D4F2C9642ED3972E42E7B</vt:lpwstr>
  </property>
  <property fmtid="{D5CDD505-2E9C-101B-9397-08002B2CF9AE}" pid="4" name="commondata">
    <vt:lpwstr>eyJoZGlkIjoiODdhZDQ1MWE2Y2Q4M2NlYjY0ODliNzBjNDY4OGEzY2QifQ==</vt:lpwstr>
  </property>
</Properties>
</file>