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numId w:val="0"/>
        </w:numPr>
        <w:bidi w:val="0"/>
        <w:ind w:leftChars="0"/>
        <w:jc w:val="center"/>
        <w:rPr>
          <w:rStyle w:val="75"/>
          <w:rFonts w:hint="eastAsia"/>
          <w:b/>
          <w:bCs/>
          <w:highlight w:val="none"/>
          <w:lang w:val="en-US" w:eastAsia="zh-CN" w:bidi="ar-SA"/>
        </w:rPr>
      </w:pPr>
      <w:bookmarkStart w:id="0" w:name="_Toc13052"/>
      <w:bookmarkStart w:id="7" w:name="_GoBack"/>
      <w:r>
        <w:rPr>
          <w:rStyle w:val="75"/>
          <w:rFonts w:hint="eastAsia"/>
          <w:b/>
          <w:bCs/>
          <w:highlight w:val="none"/>
          <w:lang w:val="en-US" w:eastAsia="zh-CN" w:bidi="ar-SA"/>
        </w:rPr>
        <w:t>第一章  磋商邀请</w:t>
      </w:r>
      <w:bookmarkEnd w:id="0"/>
    </w:p>
    <w:bookmarkEnd w:id="7"/>
    <w:p>
      <w:pPr>
        <w:pStyle w:val="14"/>
        <w:bidi w:val="0"/>
        <w:rPr>
          <w:rFonts w:hint="eastAsia"/>
          <w:highlight w:val="none"/>
          <w:lang w:val="en-US" w:eastAsia="zh-CN"/>
        </w:rPr>
      </w:pPr>
      <w:r>
        <w:rPr>
          <w:rFonts w:hint="eastAsia"/>
          <w:highlight w:val="none"/>
          <w:lang w:val="en-US" w:eastAsia="zh-CN"/>
        </w:rPr>
        <w:t>四川亿腾招标代理有限公司受巴中市巴州区小型水库运行保护中心委托，拟对巴中市巴州区铜包水库（梁永）、插旗水库水毁修复项目采用竞争性磋商方式进行采购，特邀请符合本次采购要求的供应商参加本项目的竞争性磋商。</w:t>
      </w:r>
    </w:p>
    <w:p>
      <w:pPr>
        <w:pStyle w:val="14"/>
        <w:bidi w:val="0"/>
        <w:rPr>
          <w:rFonts w:hint="eastAsia"/>
          <w:b/>
          <w:bCs/>
          <w:highlight w:val="none"/>
        </w:rPr>
      </w:pPr>
      <w:r>
        <w:rPr>
          <w:rFonts w:hint="eastAsia"/>
          <w:b/>
          <w:bCs/>
          <w:highlight w:val="none"/>
        </w:rPr>
        <w:t>一、采购项目基本情况</w:t>
      </w:r>
    </w:p>
    <w:p>
      <w:pPr>
        <w:pStyle w:val="14"/>
        <w:bidi w:val="0"/>
        <w:rPr>
          <w:highlight w:val="none"/>
        </w:rPr>
      </w:pPr>
      <w:r>
        <w:rPr>
          <w:highlight w:val="none"/>
        </w:rPr>
        <w:t>1.</w:t>
      </w:r>
      <w:r>
        <w:rPr>
          <w:rFonts w:hint="eastAsia"/>
          <w:highlight w:val="none"/>
        </w:rPr>
        <w:t>项目编号：</w:t>
      </w:r>
      <w:r>
        <w:rPr>
          <w:rFonts w:hint="eastAsia"/>
          <w:highlight w:val="none"/>
          <w:lang w:eastAsia="zh-CN"/>
        </w:rPr>
        <w:t>YT-202301128号</w:t>
      </w:r>
      <w:r>
        <w:rPr>
          <w:rFonts w:hint="eastAsia"/>
          <w:highlight w:val="none"/>
        </w:rPr>
        <w:t>。</w:t>
      </w:r>
    </w:p>
    <w:p>
      <w:pPr>
        <w:pStyle w:val="14"/>
        <w:bidi w:val="0"/>
        <w:rPr>
          <w:highlight w:val="none"/>
        </w:rPr>
      </w:pPr>
      <w:r>
        <w:rPr>
          <w:highlight w:val="none"/>
        </w:rPr>
        <w:t>2.</w:t>
      </w:r>
      <w:r>
        <w:rPr>
          <w:rFonts w:hint="eastAsia"/>
          <w:highlight w:val="none"/>
        </w:rPr>
        <w:t>采购项目名称：</w:t>
      </w:r>
      <w:r>
        <w:rPr>
          <w:rFonts w:hint="eastAsia"/>
          <w:highlight w:val="none"/>
          <w:lang w:val="en-US" w:eastAsia="zh-CN"/>
        </w:rPr>
        <w:t>巴中市巴州区铜包水库（梁永）、插旗水库水毁修复项目</w:t>
      </w:r>
      <w:r>
        <w:rPr>
          <w:rFonts w:hint="eastAsia"/>
          <w:highlight w:val="none"/>
        </w:rPr>
        <w:t>。</w:t>
      </w:r>
    </w:p>
    <w:p>
      <w:pPr>
        <w:pStyle w:val="14"/>
        <w:bidi w:val="0"/>
        <w:rPr>
          <w:rFonts w:hint="eastAsia" w:ascii="仿宋_GB2312" w:hAnsi="仿宋_GB2312" w:eastAsia="仿宋_GB2312" w:cs="仿宋_GB2312"/>
          <w:sz w:val="24"/>
          <w:szCs w:val="24"/>
          <w:highlight w:val="none"/>
        </w:rPr>
      </w:pPr>
      <w:r>
        <w:rPr>
          <w:rFonts w:hint="eastAsia"/>
          <w:b/>
          <w:bCs/>
          <w:highlight w:val="none"/>
        </w:rPr>
        <w:t>二、资金</w:t>
      </w:r>
      <w:bookmarkStart w:id="1" w:name="PO_资金性质_1"/>
      <w:r>
        <w:rPr>
          <w:rFonts w:hint="eastAsia" w:ascii="仿宋_GB2312" w:hAnsi="仿宋_GB2312" w:eastAsia="仿宋_GB2312" w:cs="仿宋_GB2312"/>
          <w:b/>
          <w:bCs/>
          <w:sz w:val="24"/>
          <w:szCs w:val="24"/>
          <w:highlight w:val="none"/>
          <w:lang w:val="en-US" w:eastAsia="zh-CN"/>
        </w:rPr>
        <w:t>金额：</w:t>
      </w:r>
      <w:r>
        <w:rPr>
          <w:rFonts w:hint="eastAsia" w:ascii="仿宋_GB2312" w:hAnsi="仿宋_GB2312" w:cs="仿宋_GB2312"/>
          <w:b w:val="0"/>
          <w:bCs w:val="0"/>
          <w:sz w:val="24"/>
          <w:szCs w:val="24"/>
          <w:highlight w:val="none"/>
          <w:lang w:val="en-US" w:eastAsia="zh-CN"/>
        </w:rPr>
        <w:t>23.27万</w:t>
      </w:r>
      <w:r>
        <w:rPr>
          <w:rFonts w:hint="eastAsia" w:ascii="仿宋_GB2312" w:hAnsi="仿宋_GB2312" w:eastAsia="仿宋_GB2312" w:cs="仿宋_GB2312"/>
          <w:b w:val="0"/>
          <w:bCs w:val="0"/>
          <w:sz w:val="24"/>
          <w:szCs w:val="24"/>
          <w:highlight w:val="none"/>
          <w:lang w:val="en-US" w:eastAsia="zh-CN"/>
        </w:rPr>
        <w:t>元</w:t>
      </w:r>
      <w:r>
        <w:rPr>
          <w:rFonts w:hint="eastAsia" w:ascii="仿宋_GB2312" w:hAnsi="仿宋_GB2312" w:eastAsia="仿宋_GB2312" w:cs="仿宋_GB2312"/>
          <w:b w:val="0"/>
          <w:bCs w:val="0"/>
          <w:sz w:val="24"/>
          <w:szCs w:val="24"/>
          <w:highlight w:val="none"/>
          <w:lang w:val="zh-CN"/>
        </w:rPr>
        <w:t>。</w:t>
      </w:r>
      <w:bookmarkEnd w:id="1"/>
    </w:p>
    <w:p>
      <w:pPr>
        <w:pStyle w:val="14"/>
        <w:bidi w:val="0"/>
        <w:rPr>
          <w:rFonts w:hint="eastAsia"/>
          <w:b/>
          <w:bCs/>
          <w:highlight w:val="none"/>
        </w:rPr>
      </w:pPr>
      <w:r>
        <w:rPr>
          <w:rFonts w:hint="eastAsia"/>
          <w:b/>
          <w:bCs/>
          <w:highlight w:val="none"/>
        </w:rPr>
        <w:t>三、采购项目简介</w:t>
      </w:r>
      <w:bookmarkStart w:id="2" w:name="PO_默认文件内容_2"/>
      <w:r>
        <w:rPr>
          <w:rFonts w:hint="eastAsia"/>
          <w:b/>
          <w:bCs/>
          <w:highlight w:val="none"/>
          <w:lang w:eastAsia="zh-CN"/>
        </w:rPr>
        <w:t>：</w:t>
      </w:r>
      <w:r>
        <w:rPr>
          <w:rFonts w:hint="eastAsia" w:ascii="仿宋_GB2312" w:hAnsi="仿宋_GB2312" w:eastAsia="仿宋_GB2312" w:cs="仿宋_GB2312"/>
          <w:spacing w:val="-4"/>
          <w:sz w:val="24"/>
          <w:szCs w:val="24"/>
          <w:highlight w:val="none"/>
          <w:lang w:val="en-US" w:eastAsia="zh-CN"/>
        </w:rPr>
        <w:t>详见磋商文件第四章</w:t>
      </w:r>
      <w:bookmarkEnd w:id="2"/>
      <w:r>
        <w:rPr>
          <w:rFonts w:hint="eastAsia" w:ascii="仿宋_GB2312" w:hAnsi="仿宋_GB2312" w:cs="仿宋_GB2312"/>
          <w:spacing w:val="-4"/>
          <w:sz w:val="24"/>
          <w:szCs w:val="24"/>
          <w:highlight w:val="none"/>
          <w:lang w:val="en-US" w:eastAsia="zh-CN"/>
        </w:rPr>
        <w:t>。</w:t>
      </w:r>
    </w:p>
    <w:p>
      <w:pPr>
        <w:pStyle w:val="14"/>
        <w:bidi w:val="0"/>
        <w:rPr>
          <w:rFonts w:hint="eastAsia"/>
          <w:b/>
          <w:bCs/>
          <w:highlight w:val="none"/>
        </w:rPr>
      </w:pPr>
      <w:r>
        <w:rPr>
          <w:rFonts w:hint="eastAsia"/>
          <w:b/>
          <w:bCs/>
          <w:highlight w:val="none"/>
        </w:rPr>
        <w:t>四、定向采购情况</w:t>
      </w:r>
    </w:p>
    <w:p>
      <w:pPr>
        <w:pStyle w:val="14"/>
        <w:bidi w:val="0"/>
        <w:rPr>
          <w:rFonts w:hint="eastAsia"/>
          <w:highlight w:val="none"/>
        </w:rPr>
      </w:pPr>
      <w:r>
        <w:rPr>
          <w:rFonts w:hint="eastAsia"/>
          <w:highlight w:val="none"/>
        </w:rPr>
        <w:t>本项目</w:t>
      </w:r>
      <w:r>
        <w:rPr>
          <w:rFonts w:hint="eastAsia"/>
          <w:highlight w:val="none"/>
          <w:lang w:val="zh-CN"/>
        </w:rPr>
        <w:t>专门面向中小企业采购。</w:t>
      </w:r>
    </w:p>
    <w:p>
      <w:pPr>
        <w:pStyle w:val="14"/>
        <w:bidi w:val="0"/>
        <w:rPr>
          <w:rFonts w:hint="eastAsia"/>
          <w:b/>
          <w:bCs/>
          <w:highlight w:val="none"/>
        </w:rPr>
      </w:pPr>
      <w:bookmarkStart w:id="3" w:name="PO_默认文件内容_3"/>
      <w:r>
        <w:rPr>
          <w:rFonts w:hint="eastAsia"/>
          <w:b/>
          <w:bCs/>
          <w:highlight w:val="none"/>
        </w:rPr>
        <w:t>五、邀请供应商</w:t>
      </w:r>
    </w:p>
    <w:p>
      <w:pPr>
        <w:pStyle w:val="14"/>
        <w:bidi w:val="0"/>
        <w:rPr>
          <w:highlight w:val="none"/>
        </w:rPr>
      </w:pPr>
      <w:r>
        <w:rPr>
          <w:rFonts w:hint="eastAsia"/>
          <w:sz w:val="24"/>
          <w:szCs w:val="24"/>
          <w:highlight w:val="none"/>
        </w:rPr>
        <w:t>本次竞争性</w:t>
      </w:r>
      <w:r>
        <w:rPr>
          <w:rFonts w:hint="eastAsia"/>
          <w:sz w:val="24"/>
          <w:szCs w:val="24"/>
          <w:highlight w:val="none"/>
          <w:lang w:eastAsia="zh-CN"/>
        </w:rPr>
        <w:t>磋商</w:t>
      </w:r>
      <w:r>
        <w:rPr>
          <w:rFonts w:hint="eastAsia"/>
          <w:sz w:val="24"/>
          <w:szCs w:val="24"/>
          <w:highlight w:val="none"/>
        </w:rPr>
        <w:t>邀请</w:t>
      </w:r>
      <w:r>
        <w:rPr>
          <w:rFonts w:hint="eastAsia" w:ascii="仿宋_GB2312" w:hAnsi="仿宋_GB2312" w:eastAsia="仿宋_GB2312" w:cs="仿宋_GB2312"/>
          <w:color w:val="auto"/>
          <w:highlight w:val="none"/>
        </w:rPr>
        <w:t>在</w:t>
      </w:r>
      <w:r>
        <w:rPr>
          <w:rFonts w:hint="eastAsia" w:ascii="仿宋_GB2312" w:hAnsi="仿宋_GB2312" w:cs="仿宋_GB2312"/>
          <w:color w:val="auto"/>
          <w:highlight w:val="none"/>
          <w:lang w:eastAsia="zh-CN"/>
        </w:rPr>
        <w:t>中国招标网</w:t>
      </w:r>
      <w:r>
        <w:rPr>
          <w:rFonts w:hint="eastAsia" w:ascii="仿宋_GB2312" w:hAnsi="仿宋_GB2312" w:eastAsia="仿宋_GB2312" w:cs="仿宋_GB2312"/>
          <w:color w:val="auto"/>
          <w:highlight w:val="none"/>
        </w:rPr>
        <w:t>上以公告形式发布</w:t>
      </w:r>
      <w:r>
        <w:rPr>
          <w:rFonts w:hint="eastAsia" w:ascii="仿宋_GB2312" w:hAnsi="仿宋_GB2312" w:eastAsia="仿宋_GB2312" w:cs="仿宋_GB2312"/>
          <w:sz w:val="24"/>
          <w:szCs w:val="24"/>
          <w:highlight w:val="none"/>
        </w:rPr>
        <w:t>。</w:t>
      </w:r>
    </w:p>
    <w:bookmarkEnd w:id="3"/>
    <w:p>
      <w:pPr>
        <w:pStyle w:val="14"/>
        <w:bidi w:val="0"/>
        <w:rPr>
          <w:rFonts w:hint="eastAsia"/>
          <w:b/>
          <w:bCs/>
          <w:highlight w:val="none"/>
        </w:rPr>
      </w:pPr>
      <w:r>
        <w:rPr>
          <w:rFonts w:hint="eastAsia"/>
          <w:b/>
          <w:bCs/>
          <w:highlight w:val="none"/>
        </w:rPr>
        <w:t>六、供应商参加本次政府采购活动应具备下列条件</w:t>
      </w:r>
    </w:p>
    <w:p>
      <w:pPr>
        <w:keepNext w:val="0"/>
        <w:keepLines w:val="0"/>
        <w:pageBreakBefore w:val="0"/>
        <w:widowControl w:val="0"/>
        <w:kinsoku/>
        <w:wordWrap w:val="0"/>
        <w:overflowPunct/>
        <w:topLinePunct w:val="0"/>
        <w:autoSpaceDE/>
        <w:autoSpaceDN/>
        <w:bidi w:val="0"/>
        <w:adjustRightInd/>
        <w:snapToGrid/>
        <w:spacing w:line="360" w:lineRule="auto"/>
        <w:ind w:right="0" w:rightChars="0"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（一）《中华人民共和国政府采购法》第二十二条规定的条件：</w:t>
      </w:r>
    </w:p>
    <w:p>
      <w:pPr>
        <w:keepNext w:val="0"/>
        <w:keepLines w:val="0"/>
        <w:pageBreakBefore w:val="0"/>
        <w:widowControl w:val="0"/>
        <w:kinsoku/>
        <w:wordWrap w:val="0"/>
        <w:overflowPunct/>
        <w:topLinePunct w:val="0"/>
        <w:autoSpaceDE/>
        <w:autoSpaceDN/>
        <w:bidi w:val="0"/>
        <w:adjustRightInd/>
        <w:snapToGrid/>
        <w:spacing w:line="360" w:lineRule="auto"/>
        <w:ind w:right="0" w:rightChars="0"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1.具有独立承担民事责任的能力；</w:t>
      </w:r>
    </w:p>
    <w:p>
      <w:pPr>
        <w:keepNext w:val="0"/>
        <w:keepLines w:val="0"/>
        <w:pageBreakBefore w:val="0"/>
        <w:widowControl w:val="0"/>
        <w:kinsoku/>
        <w:wordWrap w:val="0"/>
        <w:overflowPunct/>
        <w:topLinePunct w:val="0"/>
        <w:autoSpaceDE/>
        <w:autoSpaceDN/>
        <w:bidi w:val="0"/>
        <w:adjustRightInd/>
        <w:snapToGrid/>
        <w:spacing w:line="360" w:lineRule="auto"/>
        <w:ind w:right="0" w:rightChars="0"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2.具有良好的商业信誉和健全的财务会计制度；</w:t>
      </w:r>
    </w:p>
    <w:p>
      <w:pPr>
        <w:keepNext w:val="0"/>
        <w:keepLines w:val="0"/>
        <w:pageBreakBefore w:val="0"/>
        <w:widowControl w:val="0"/>
        <w:kinsoku/>
        <w:wordWrap w:val="0"/>
        <w:overflowPunct/>
        <w:topLinePunct w:val="0"/>
        <w:autoSpaceDE/>
        <w:autoSpaceDN/>
        <w:bidi w:val="0"/>
        <w:adjustRightInd/>
        <w:snapToGrid/>
        <w:spacing w:line="360" w:lineRule="auto"/>
        <w:ind w:right="0" w:rightChars="0"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3.具有履行合同所必须的设备和专业技术能力；</w:t>
      </w:r>
    </w:p>
    <w:p>
      <w:pPr>
        <w:keepNext w:val="0"/>
        <w:keepLines w:val="0"/>
        <w:pageBreakBefore w:val="0"/>
        <w:widowControl w:val="0"/>
        <w:kinsoku/>
        <w:wordWrap w:val="0"/>
        <w:overflowPunct/>
        <w:topLinePunct w:val="0"/>
        <w:autoSpaceDE/>
        <w:autoSpaceDN/>
        <w:bidi w:val="0"/>
        <w:adjustRightInd/>
        <w:snapToGrid/>
        <w:spacing w:line="360" w:lineRule="auto"/>
        <w:ind w:right="0" w:rightChars="0"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4.具有依法缴纳税收和社会保障资金的良好记录；</w:t>
      </w:r>
    </w:p>
    <w:p>
      <w:pPr>
        <w:keepNext w:val="0"/>
        <w:keepLines w:val="0"/>
        <w:pageBreakBefore w:val="0"/>
        <w:widowControl w:val="0"/>
        <w:kinsoku/>
        <w:wordWrap w:val="0"/>
        <w:overflowPunct/>
        <w:topLinePunct w:val="0"/>
        <w:autoSpaceDE/>
        <w:autoSpaceDN/>
        <w:bidi w:val="0"/>
        <w:adjustRightInd/>
        <w:snapToGrid/>
        <w:spacing w:line="360" w:lineRule="auto"/>
        <w:ind w:right="0" w:rightChars="0"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5.参加本次政府采购活动前三年内，在经营活动中没有重大违法记录；</w:t>
      </w:r>
    </w:p>
    <w:p>
      <w:pPr>
        <w:keepNext w:val="0"/>
        <w:keepLines w:val="0"/>
        <w:pageBreakBefore w:val="0"/>
        <w:widowControl w:val="0"/>
        <w:kinsoku/>
        <w:wordWrap w:val="0"/>
        <w:overflowPunct/>
        <w:topLinePunct w:val="0"/>
        <w:autoSpaceDE/>
        <w:autoSpaceDN/>
        <w:bidi w:val="0"/>
        <w:adjustRightInd/>
        <w:snapToGrid/>
        <w:spacing w:line="360" w:lineRule="auto"/>
        <w:ind w:right="0" w:rightChars="0"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6.法律、行政法规规定的其他条件；</w:t>
      </w:r>
    </w:p>
    <w:p>
      <w:pPr>
        <w:keepNext w:val="0"/>
        <w:keepLines w:val="0"/>
        <w:pageBreakBefore w:val="0"/>
        <w:widowControl w:val="0"/>
        <w:kinsoku/>
        <w:wordWrap w:val="0"/>
        <w:overflowPunct/>
        <w:topLinePunct w:val="0"/>
        <w:autoSpaceDE/>
        <w:autoSpaceDN/>
        <w:bidi w:val="0"/>
        <w:adjustRightInd/>
        <w:snapToGrid/>
        <w:spacing w:line="360" w:lineRule="auto"/>
        <w:ind w:right="0" w:rightChars="0"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7.采购人根据采购项目提出的特殊条件。</w:t>
      </w:r>
    </w:p>
    <w:p>
      <w:pPr>
        <w:keepNext w:val="0"/>
        <w:keepLines w:val="0"/>
        <w:pageBreakBefore w:val="0"/>
        <w:widowControl w:val="0"/>
        <w:kinsoku/>
        <w:wordWrap w:val="0"/>
        <w:overflowPunct/>
        <w:topLinePunct w:val="0"/>
        <w:autoSpaceDE/>
        <w:autoSpaceDN/>
        <w:bidi w:val="0"/>
        <w:adjustRightInd/>
        <w:snapToGrid/>
        <w:spacing w:line="360" w:lineRule="auto"/>
        <w:ind w:right="0" w:rightChars="0" w:firstLine="480" w:firstLineChars="200"/>
        <w:textAlignment w:val="auto"/>
        <w:rPr>
          <w:rFonts w:hint="default" w:ascii="仿宋_GB2312" w:hAnsi="仿宋_GB2312" w:eastAsia="仿宋_GB2312" w:cs="仿宋_GB2312"/>
          <w:sz w:val="24"/>
          <w:szCs w:val="24"/>
          <w:highlight w:val="none"/>
          <w:lang w:val="en-US" w:eastAsia="zh-CN"/>
        </w:rPr>
      </w:pPr>
      <w:r>
        <w:rPr>
          <w:rFonts w:hint="default" w:ascii="仿宋_GB2312" w:hAnsi="仿宋_GB2312" w:eastAsia="仿宋_GB2312" w:cs="仿宋_GB2312"/>
          <w:sz w:val="24"/>
          <w:szCs w:val="24"/>
          <w:highlight w:val="none"/>
          <w:lang w:val="en-US" w:eastAsia="zh-CN"/>
        </w:rPr>
        <w:t>（1）具备</w:t>
      </w:r>
      <w:r>
        <w:rPr>
          <w:rFonts w:hint="eastAsia" w:ascii="仿宋_GB2312" w:hAnsi="仿宋_GB2312" w:cs="仿宋_GB2312"/>
          <w:sz w:val="24"/>
          <w:szCs w:val="24"/>
          <w:highlight w:val="none"/>
          <w:lang w:val="en-US" w:eastAsia="zh-CN"/>
        </w:rPr>
        <w:t>水利水电工程施工总承包叁级及以上资质</w:t>
      </w:r>
      <w:r>
        <w:rPr>
          <w:rFonts w:hint="default" w:ascii="仿宋_GB2312" w:hAnsi="仿宋_GB2312" w:eastAsia="仿宋_GB2312" w:cs="仿宋_GB2312"/>
          <w:sz w:val="24"/>
          <w:szCs w:val="24"/>
          <w:highlight w:val="none"/>
          <w:lang w:val="en-US" w:eastAsia="zh-CN"/>
        </w:rPr>
        <w:t>；</w:t>
      </w:r>
    </w:p>
    <w:p>
      <w:pPr>
        <w:keepNext w:val="0"/>
        <w:keepLines w:val="0"/>
        <w:pageBreakBefore w:val="0"/>
        <w:widowControl w:val="0"/>
        <w:kinsoku/>
        <w:wordWrap w:val="0"/>
        <w:overflowPunct/>
        <w:topLinePunct w:val="0"/>
        <w:autoSpaceDE/>
        <w:autoSpaceDN/>
        <w:bidi w:val="0"/>
        <w:adjustRightInd/>
        <w:snapToGrid/>
        <w:spacing w:line="360" w:lineRule="auto"/>
        <w:ind w:right="0" w:rightChars="0" w:firstLine="480" w:firstLineChars="200"/>
        <w:textAlignment w:val="auto"/>
        <w:rPr>
          <w:rFonts w:hint="default" w:ascii="仿宋_GB2312" w:hAnsi="仿宋_GB2312" w:eastAsia="仿宋_GB2312" w:cs="仿宋_GB2312"/>
          <w:sz w:val="24"/>
          <w:szCs w:val="24"/>
          <w:highlight w:val="none"/>
          <w:lang w:val="en-US" w:eastAsia="zh-CN"/>
        </w:rPr>
      </w:pPr>
      <w:r>
        <w:rPr>
          <w:rFonts w:hint="default" w:ascii="仿宋_GB2312" w:hAnsi="仿宋_GB2312" w:eastAsia="仿宋_GB2312" w:cs="仿宋_GB2312"/>
          <w:sz w:val="24"/>
          <w:szCs w:val="24"/>
          <w:highlight w:val="none"/>
          <w:lang w:val="en-US" w:eastAsia="zh-CN"/>
        </w:rPr>
        <w:t>（2）具备有效的《安全生产许可证》；</w:t>
      </w:r>
    </w:p>
    <w:p>
      <w:pPr>
        <w:keepNext w:val="0"/>
        <w:keepLines w:val="0"/>
        <w:pageBreakBefore w:val="0"/>
        <w:widowControl/>
        <w:suppressLineNumbers w:val="0"/>
        <w:kinsoku/>
        <w:wordWrap w:val="0"/>
        <w:overflowPunct/>
        <w:topLinePunct w:val="0"/>
        <w:autoSpaceDE/>
        <w:autoSpaceDN/>
        <w:bidi w:val="0"/>
        <w:adjustRightInd w:val="0"/>
        <w:snapToGrid w:val="0"/>
        <w:ind w:firstLine="480" w:firstLineChars="200"/>
        <w:jc w:val="both"/>
        <w:textAlignment w:val="auto"/>
        <w:rPr>
          <w:rFonts w:hint="eastAsia" w:ascii="仿宋_GB2312" w:hAnsi="仿宋_GB2312" w:eastAsia="仿宋_GB2312" w:cs="仿宋_GB2312"/>
          <w:color w:val="000000"/>
          <w:kern w:val="0"/>
          <w:sz w:val="24"/>
          <w:szCs w:val="24"/>
          <w:highlight w:val="none"/>
          <w:lang w:val="en-US" w:eastAsia="zh-CN" w:bidi="ar"/>
        </w:rPr>
      </w:pPr>
      <w:r>
        <w:rPr>
          <w:rFonts w:hint="default" w:ascii="仿宋_GB2312" w:hAnsi="仿宋_GB2312" w:eastAsia="仿宋_GB2312" w:cs="仿宋_GB2312"/>
          <w:sz w:val="24"/>
          <w:szCs w:val="24"/>
          <w:highlight w:val="none"/>
          <w:lang w:val="en-US" w:eastAsia="zh-CN"/>
        </w:rPr>
        <w:t>（3）</w:t>
      </w:r>
      <w:r>
        <w:rPr>
          <w:rFonts w:hint="eastAsia" w:ascii="仿宋_GB2312" w:hAnsi="仿宋_GB2312" w:cs="仿宋_GB2312"/>
          <w:sz w:val="24"/>
          <w:szCs w:val="24"/>
          <w:highlight w:val="none"/>
          <w:lang w:val="en-US" w:eastAsia="zh-CN"/>
        </w:rPr>
        <w:t>项目经理具备二级及以上注册建造师（专业：水利水电类）、有效的安全生产考核合格证（B 证），技术负责人具备水利水电类专业中级及以上技术职称</w:t>
      </w:r>
      <w:r>
        <w:rPr>
          <w:rFonts w:hint="default" w:ascii="仿宋_GB2312" w:hAnsi="仿宋_GB2312" w:eastAsia="仿宋_GB2312" w:cs="仿宋_GB2312"/>
          <w:sz w:val="24"/>
          <w:szCs w:val="24"/>
          <w:highlight w:val="none"/>
          <w:lang w:val="en-US" w:eastAsia="zh-CN"/>
        </w:rPr>
        <w:t>。</w:t>
      </w:r>
    </w:p>
    <w:p>
      <w:pPr>
        <w:keepNext w:val="0"/>
        <w:keepLines w:val="0"/>
        <w:pageBreakBefore w:val="0"/>
        <w:widowControl/>
        <w:suppressLineNumbers w:val="0"/>
        <w:kinsoku/>
        <w:wordWrap w:val="0"/>
        <w:overflowPunct/>
        <w:topLinePunct w:val="0"/>
        <w:autoSpaceDE/>
        <w:autoSpaceDN/>
        <w:bidi w:val="0"/>
        <w:adjustRightInd w:val="0"/>
        <w:snapToGrid w:val="0"/>
        <w:ind w:firstLine="480" w:firstLineChars="200"/>
        <w:jc w:val="both"/>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bidi="ar"/>
        </w:rPr>
        <w:t>（4）</w:t>
      </w:r>
      <w:r>
        <w:rPr>
          <w:rFonts w:hint="eastAsia" w:ascii="仿宋_GB2312" w:hAnsi="仿宋_GB2312" w:cs="仿宋_GB2312"/>
          <w:color w:val="000000"/>
          <w:kern w:val="0"/>
          <w:sz w:val="24"/>
          <w:szCs w:val="24"/>
          <w:highlight w:val="none"/>
          <w:lang w:val="en-US" w:eastAsia="zh-CN" w:bidi="ar"/>
        </w:rPr>
        <w:t>省外企业应具备《四川省省外建筑企业入川承揽业务验证登记证》或带二维码的《四川省省外施工、监理入川承揽业务信息录入证》或具有的入川登记备案的相关证明材料，省内企业可不提供</w:t>
      </w:r>
      <w:r>
        <w:rPr>
          <w:rFonts w:hint="eastAsia" w:ascii="仿宋_GB2312" w:hAnsi="仿宋_GB2312" w:eastAsia="仿宋_GB2312" w:cs="仿宋_GB2312"/>
          <w:color w:val="000000"/>
          <w:kern w:val="0"/>
          <w:sz w:val="24"/>
          <w:szCs w:val="24"/>
          <w:highlight w:val="none"/>
          <w:lang w:val="en-US" w:eastAsia="zh-CN" w:bidi="ar"/>
        </w:rPr>
        <w:t>；</w:t>
      </w:r>
    </w:p>
    <w:p>
      <w:pPr>
        <w:ind w:firstLine="480"/>
        <w:rPr>
          <w:rFonts w:ascii="仿宋_GB2312" w:hAnsi="仿宋_GB2312" w:cs="仿宋_GB2312"/>
          <w:szCs w:val="24"/>
          <w:highlight w:val="none"/>
        </w:rPr>
      </w:pPr>
      <w:r>
        <w:rPr>
          <w:rFonts w:hint="eastAsia" w:ascii="仿宋_GB2312" w:hAnsi="仿宋_GB2312" w:cs="仿宋_GB2312"/>
          <w:szCs w:val="24"/>
          <w:highlight w:val="none"/>
        </w:rPr>
        <w:t>8.本项目不允许联合体参加。</w:t>
      </w:r>
    </w:p>
    <w:p>
      <w:pPr>
        <w:widowControl/>
        <w:adjustRightInd w:val="0"/>
        <w:snapToGrid w:val="0"/>
        <w:ind w:firstLine="480"/>
        <w:rPr>
          <w:rFonts w:ascii="仿宋_GB2312" w:hAnsi="仿宋_GB2312" w:cs="仿宋_GB2312"/>
          <w:szCs w:val="24"/>
          <w:highlight w:val="none"/>
        </w:rPr>
      </w:pPr>
      <w:r>
        <w:rPr>
          <w:rFonts w:hint="eastAsia" w:ascii="仿宋_GB2312" w:hAnsi="仿宋_GB2312" w:cs="仿宋_GB2312"/>
          <w:szCs w:val="24"/>
          <w:highlight w:val="none"/>
        </w:rPr>
        <w:t>9.本项目专门面对中小微企业采购，非中小微企业参与的将作无效处理。</w:t>
      </w:r>
    </w:p>
    <w:p>
      <w:pPr>
        <w:pStyle w:val="14"/>
        <w:bidi w:val="0"/>
        <w:rPr>
          <w:rFonts w:hint="eastAsia"/>
          <w:b/>
          <w:bCs/>
          <w:highlight w:val="none"/>
        </w:rPr>
      </w:pPr>
      <w:r>
        <w:rPr>
          <w:rFonts w:hint="eastAsia"/>
          <w:b/>
          <w:bCs/>
          <w:highlight w:val="none"/>
        </w:rPr>
        <w:t>七、禁止参加本次采购活动的供应商</w:t>
      </w:r>
    </w:p>
    <w:p>
      <w:pPr>
        <w:pStyle w:val="14"/>
        <w:bidi w:val="0"/>
        <w:rPr>
          <w:highlight w:val="none"/>
        </w:rPr>
      </w:pPr>
      <w:bookmarkStart w:id="4" w:name="PO_默认文件内容_4"/>
      <w:r>
        <w:rPr>
          <w:rFonts w:hint="eastAsia"/>
          <w:highlight w:val="none"/>
        </w:rPr>
        <w:t>根据《关于在政府采购活动中查询及使用信用记录有关问题的通知》（财库〔</w:t>
      </w:r>
      <w:r>
        <w:rPr>
          <w:highlight w:val="none"/>
        </w:rPr>
        <w:t>2016</w:t>
      </w:r>
      <w:r>
        <w:rPr>
          <w:rFonts w:hint="eastAsia"/>
          <w:highlight w:val="none"/>
        </w:rPr>
        <w:t>〕</w:t>
      </w:r>
      <w:r>
        <w:rPr>
          <w:highlight w:val="none"/>
        </w:rPr>
        <w:t>125</w:t>
      </w:r>
      <w:r>
        <w:rPr>
          <w:rFonts w:hint="eastAsia"/>
          <w:highlight w:val="none"/>
        </w:rPr>
        <w:t>号）的要求，采购人</w:t>
      </w:r>
      <w:r>
        <w:rPr>
          <w:highlight w:val="none"/>
        </w:rPr>
        <w:t>/</w:t>
      </w:r>
      <w:r>
        <w:rPr>
          <w:rFonts w:hint="eastAsia"/>
          <w:highlight w:val="none"/>
        </w:rPr>
        <w:t>采购代理机构将通过“信用中国”网站（</w:t>
      </w:r>
      <w:r>
        <w:rPr>
          <w:highlight w:val="none"/>
        </w:rPr>
        <w:t>www.creditchina.gov.cn</w:t>
      </w:r>
      <w:r>
        <w:rPr>
          <w:rFonts w:hint="eastAsia"/>
          <w:highlight w:val="none"/>
        </w:rPr>
        <w:t>）、“中国政府采购网”网站（</w:t>
      </w:r>
      <w:r>
        <w:rPr>
          <w:highlight w:val="none"/>
        </w:rPr>
        <w:t>www.ccgp.gov.cn</w:t>
      </w:r>
      <w:r>
        <w:rPr>
          <w:rFonts w:hint="eastAsia"/>
          <w:highlight w:val="none"/>
        </w:rPr>
        <w:t>）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bookmarkEnd w:id="4"/>
    <w:p>
      <w:pPr>
        <w:pStyle w:val="14"/>
        <w:bidi w:val="0"/>
        <w:rPr>
          <w:rFonts w:hint="eastAsia"/>
          <w:b/>
          <w:bCs/>
          <w:highlight w:val="none"/>
        </w:rPr>
      </w:pPr>
      <w:r>
        <w:rPr>
          <w:rFonts w:hint="eastAsia"/>
          <w:b/>
          <w:bCs/>
          <w:highlight w:val="none"/>
        </w:rPr>
        <w:t>八、采购文件获取方式、时间、地点：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7" w:firstLineChars="203"/>
        <w:textAlignment w:val="auto"/>
        <w:rPr>
          <w:rFonts w:hint="eastAsia" w:ascii="仿宋_GB2312" w:hAnsi="仿宋_GB2312" w:eastAsia="仿宋_GB2312" w:cs="仿宋_GB2312"/>
          <w:sz w:val="24"/>
          <w:szCs w:val="24"/>
          <w:highlight w:val="none"/>
        </w:rPr>
      </w:pPr>
      <w:r>
        <w:rPr>
          <w:rFonts w:hint="eastAsia" w:ascii="仿宋_GB2312" w:hAnsi="仿宋_GB2312" w:cs="仿宋_GB2312"/>
          <w:sz w:val="24"/>
          <w:szCs w:val="24"/>
          <w:highlight w:val="none"/>
          <w:lang w:val="en-US" w:eastAsia="zh-CN"/>
        </w:rPr>
        <w:t>1.</w:t>
      </w:r>
      <w:r>
        <w:rPr>
          <w:rFonts w:hint="eastAsia" w:ascii="仿宋_GB2312" w:hAnsi="仿宋_GB2312" w:eastAsia="仿宋_GB2312" w:cs="仿宋_GB2312"/>
          <w:sz w:val="24"/>
          <w:szCs w:val="24"/>
          <w:highlight w:val="none"/>
        </w:rPr>
        <w:t>磋商文件自</w:t>
      </w:r>
      <w:r>
        <w:rPr>
          <w:rFonts w:hint="eastAsia" w:ascii="仿宋_GB2312" w:hAnsi="仿宋_GB2312" w:cs="仿宋_GB2312"/>
          <w:sz w:val="24"/>
          <w:szCs w:val="24"/>
          <w:highlight w:val="none"/>
          <w:lang w:val="en-US" w:eastAsia="zh-CN"/>
        </w:rPr>
        <w:t>2023</w:t>
      </w:r>
      <w:r>
        <w:rPr>
          <w:rFonts w:hint="eastAsia" w:ascii="仿宋_GB2312" w:hAnsi="仿宋_GB2312" w:eastAsia="仿宋_GB2312" w:cs="仿宋_GB2312"/>
          <w:sz w:val="24"/>
          <w:szCs w:val="24"/>
          <w:highlight w:val="none"/>
        </w:rPr>
        <w:t>年</w:t>
      </w:r>
      <w:r>
        <w:rPr>
          <w:rFonts w:hint="eastAsia" w:ascii="仿宋_GB2312" w:hAnsi="仿宋_GB2312" w:cs="仿宋_GB2312"/>
          <w:sz w:val="24"/>
          <w:szCs w:val="24"/>
          <w:highlight w:val="none"/>
          <w:lang w:val="en-US" w:eastAsia="zh-CN"/>
        </w:rPr>
        <w:t>12</w:t>
      </w:r>
      <w:r>
        <w:rPr>
          <w:rFonts w:hint="eastAsia" w:ascii="仿宋_GB2312" w:hAnsi="仿宋_GB2312" w:eastAsia="仿宋_GB2312" w:cs="仿宋_GB2312"/>
          <w:sz w:val="24"/>
          <w:szCs w:val="24"/>
          <w:highlight w:val="none"/>
        </w:rPr>
        <w:t>月</w:t>
      </w:r>
      <w:r>
        <w:rPr>
          <w:rFonts w:hint="eastAsia" w:ascii="仿宋_GB2312" w:hAnsi="仿宋_GB2312" w:cs="仿宋_GB2312"/>
          <w:sz w:val="24"/>
          <w:szCs w:val="24"/>
          <w:highlight w:val="none"/>
          <w:lang w:val="en-US" w:eastAsia="zh-CN"/>
        </w:rPr>
        <w:t>1</w:t>
      </w:r>
      <w:r>
        <w:rPr>
          <w:rFonts w:hint="eastAsia" w:ascii="仿宋_GB2312" w:hAnsi="仿宋_GB2312" w:eastAsia="仿宋_GB2312" w:cs="仿宋_GB2312"/>
          <w:sz w:val="24"/>
          <w:szCs w:val="24"/>
          <w:highlight w:val="none"/>
        </w:rPr>
        <w:t>日至</w:t>
      </w:r>
      <w:r>
        <w:rPr>
          <w:rFonts w:hint="eastAsia" w:ascii="仿宋_GB2312" w:hAnsi="仿宋_GB2312" w:cs="仿宋_GB2312"/>
          <w:sz w:val="24"/>
          <w:szCs w:val="24"/>
          <w:highlight w:val="none"/>
          <w:lang w:eastAsia="zh-CN"/>
        </w:rPr>
        <w:t>2023</w:t>
      </w:r>
      <w:r>
        <w:rPr>
          <w:rFonts w:hint="eastAsia" w:ascii="仿宋_GB2312" w:hAnsi="仿宋_GB2312" w:eastAsia="仿宋_GB2312" w:cs="仿宋_GB2312"/>
          <w:sz w:val="24"/>
          <w:szCs w:val="24"/>
          <w:highlight w:val="none"/>
        </w:rPr>
        <w:t>年</w:t>
      </w:r>
      <w:r>
        <w:rPr>
          <w:rFonts w:hint="eastAsia" w:ascii="仿宋_GB2312" w:hAnsi="仿宋_GB2312" w:cs="仿宋_GB2312"/>
          <w:sz w:val="24"/>
          <w:szCs w:val="24"/>
          <w:highlight w:val="none"/>
          <w:lang w:val="en-US" w:eastAsia="zh-CN"/>
        </w:rPr>
        <w:t>12</w:t>
      </w:r>
      <w:r>
        <w:rPr>
          <w:rFonts w:hint="eastAsia" w:ascii="仿宋_GB2312" w:hAnsi="仿宋_GB2312" w:eastAsia="仿宋_GB2312" w:cs="仿宋_GB2312"/>
          <w:sz w:val="24"/>
          <w:szCs w:val="24"/>
          <w:highlight w:val="none"/>
        </w:rPr>
        <w:t>月</w:t>
      </w:r>
      <w:r>
        <w:rPr>
          <w:rFonts w:hint="eastAsia" w:ascii="仿宋_GB2312" w:hAnsi="仿宋_GB2312" w:cs="仿宋_GB2312"/>
          <w:sz w:val="24"/>
          <w:szCs w:val="24"/>
          <w:highlight w:val="none"/>
          <w:lang w:val="en-US" w:eastAsia="zh-CN"/>
        </w:rPr>
        <w:t>7</w:t>
      </w:r>
      <w:r>
        <w:rPr>
          <w:rFonts w:hint="eastAsia" w:ascii="仿宋_GB2312" w:hAnsi="仿宋_GB2312" w:eastAsia="仿宋_GB2312" w:cs="仿宋_GB2312"/>
          <w:sz w:val="24"/>
          <w:szCs w:val="24"/>
          <w:highlight w:val="none"/>
        </w:rPr>
        <w:t>日09:00- 17:00（北京时间，法定节假日除外）在</w:t>
      </w:r>
      <w:r>
        <w:rPr>
          <w:rFonts w:hint="eastAsia" w:ascii="仿宋_GB2312" w:hAnsi="仿宋_GB2312" w:cs="仿宋_GB2312"/>
          <w:sz w:val="24"/>
          <w:szCs w:val="24"/>
          <w:highlight w:val="none"/>
          <w:lang w:eastAsia="zh-CN"/>
        </w:rPr>
        <w:t>四川省巴中市巴州区江北大道1号21楼或网上</w:t>
      </w:r>
      <w:r>
        <w:rPr>
          <w:rFonts w:hint="eastAsia" w:ascii="仿宋_GB2312" w:hAnsi="仿宋_GB2312" w:eastAsia="仿宋_GB2312" w:cs="仿宋_GB2312"/>
          <w:sz w:val="24"/>
          <w:szCs w:val="24"/>
          <w:highlight w:val="none"/>
        </w:rPr>
        <w:t>获取。</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7" w:firstLineChars="203"/>
        <w:textAlignment w:val="auto"/>
        <w:rPr>
          <w:rFonts w:hint="eastAsia" w:ascii="仿宋_GB2312" w:hAnsi="仿宋_GB2312" w:eastAsia="仿宋_GB2312" w:cs="仿宋_GB2312"/>
          <w:b w:val="0"/>
          <w:bCs w:val="0"/>
          <w:sz w:val="24"/>
          <w:szCs w:val="24"/>
          <w:highlight w:val="none"/>
        </w:rPr>
      </w:pPr>
      <w:r>
        <w:rPr>
          <w:rFonts w:hint="eastAsia" w:ascii="仿宋_GB2312" w:hAnsi="仿宋_GB2312" w:cs="仿宋_GB2312"/>
          <w:sz w:val="24"/>
          <w:szCs w:val="24"/>
          <w:highlight w:val="none"/>
          <w:lang w:val="en-US" w:eastAsia="zh-CN"/>
        </w:rPr>
        <w:t>2.</w:t>
      </w:r>
      <w:r>
        <w:rPr>
          <w:rFonts w:hint="eastAsia" w:ascii="仿宋_GB2312" w:hAnsi="仿宋_GB2312" w:cs="仿宋_GB2312"/>
          <w:sz w:val="24"/>
          <w:szCs w:val="24"/>
          <w:highlight w:val="none"/>
          <w:lang w:eastAsia="zh-CN"/>
        </w:rPr>
        <w:t>本次</w:t>
      </w:r>
      <w:r>
        <w:rPr>
          <w:rFonts w:hint="eastAsia" w:ascii="仿宋_GB2312" w:hAnsi="仿宋_GB2312" w:eastAsia="仿宋_GB2312" w:cs="仿宋_GB2312"/>
          <w:b w:val="0"/>
          <w:bCs w:val="0"/>
          <w:sz w:val="24"/>
          <w:szCs w:val="24"/>
          <w:highlight w:val="none"/>
        </w:rPr>
        <w:t>磋商文件有偿获取，售价</w:t>
      </w:r>
      <w:r>
        <w:rPr>
          <w:rFonts w:hint="eastAsia" w:ascii="仿宋_GB2312" w:hAnsi="仿宋_GB2312" w:cs="仿宋_GB2312"/>
          <w:b w:val="0"/>
          <w:bCs w:val="0"/>
          <w:sz w:val="24"/>
          <w:szCs w:val="24"/>
          <w:highlight w:val="none"/>
          <w:lang w:val="en-US" w:eastAsia="zh-CN"/>
        </w:rPr>
        <w:t>3</w:t>
      </w:r>
      <w:r>
        <w:rPr>
          <w:rFonts w:hint="eastAsia" w:ascii="仿宋_GB2312" w:hAnsi="仿宋_GB2312" w:eastAsia="仿宋_GB2312" w:cs="仿宋_GB2312"/>
          <w:b w:val="0"/>
          <w:bCs w:val="0"/>
          <w:sz w:val="24"/>
          <w:szCs w:val="24"/>
          <w:highlight w:val="none"/>
          <w:lang w:val="en-US" w:eastAsia="zh-CN"/>
        </w:rPr>
        <w:t>0</w:t>
      </w:r>
      <w:r>
        <w:rPr>
          <w:rFonts w:hint="eastAsia" w:ascii="仿宋_GB2312" w:hAnsi="仿宋_GB2312" w:eastAsia="仿宋_GB2312" w:cs="仿宋_GB2312"/>
          <w:b w:val="0"/>
          <w:bCs w:val="0"/>
          <w:sz w:val="24"/>
          <w:szCs w:val="24"/>
          <w:highlight w:val="none"/>
        </w:rPr>
        <w:t>0元</w:t>
      </w:r>
      <w:r>
        <w:rPr>
          <w:rFonts w:hint="eastAsia" w:ascii="仿宋_GB2312" w:hAnsi="仿宋_GB2312" w:eastAsia="仿宋_GB2312" w:cs="仿宋_GB2312"/>
          <w:b w:val="0"/>
          <w:bCs w:val="0"/>
          <w:sz w:val="24"/>
          <w:szCs w:val="24"/>
          <w:highlight w:val="none"/>
          <w:lang w:val="en-US" w:eastAsia="zh-CN"/>
        </w:rPr>
        <w:t>/份</w:t>
      </w:r>
      <w:r>
        <w:rPr>
          <w:rFonts w:hint="eastAsia" w:ascii="仿宋_GB2312" w:hAnsi="仿宋_GB2312" w:eastAsia="仿宋_GB2312" w:cs="仿宋_GB2312"/>
          <w:b w:val="0"/>
          <w:bCs w:val="0"/>
          <w:sz w:val="24"/>
          <w:szCs w:val="24"/>
          <w:highlight w:val="none"/>
        </w:rPr>
        <w:t>。</w:t>
      </w:r>
      <w:r>
        <w:rPr>
          <w:rFonts w:hint="eastAsia" w:ascii="仿宋_GB2312" w:hAnsi="仿宋_GB2312" w:eastAsia="仿宋_GB2312" w:cs="仿宋_GB2312"/>
          <w:b w:val="0"/>
          <w:bCs w:val="0"/>
          <w:sz w:val="24"/>
          <w:szCs w:val="24"/>
          <w:highlight w:val="none"/>
          <w:lang w:eastAsia="zh-CN"/>
        </w:rPr>
        <w:t>（磋商文件</w:t>
      </w:r>
      <w:r>
        <w:rPr>
          <w:rFonts w:hint="eastAsia" w:ascii="仿宋_GB2312" w:hAnsi="仿宋_GB2312" w:eastAsia="仿宋_GB2312" w:cs="仿宋_GB2312"/>
          <w:b w:val="0"/>
          <w:bCs w:val="0"/>
          <w:sz w:val="24"/>
          <w:szCs w:val="24"/>
          <w:highlight w:val="none"/>
        </w:rPr>
        <w:t>提供后不退，磋商资格不能转让</w:t>
      </w:r>
      <w:r>
        <w:rPr>
          <w:rFonts w:hint="eastAsia" w:ascii="仿宋_GB2312" w:hAnsi="仿宋_GB2312" w:eastAsia="仿宋_GB2312" w:cs="仿宋_GB2312"/>
          <w:b w:val="0"/>
          <w:bCs w:val="0"/>
          <w:sz w:val="24"/>
          <w:szCs w:val="24"/>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360" w:lineRule="auto"/>
        <w:ind w:right="0" w:rightChars="0" w:firstLine="487" w:firstLineChars="203"/>
        <w:textAlignment w:val="auto"/>
        <w:rPr>
          <w:rFonts w:hint="eastAsia" w:ascii="仿宋_GB2312" w:hAnsi="仿宋_GB2312" w:eastAsia="仿宋_GB2312" w:cs="仿宋_GB2312"/>
          <w:color w:val="000000"/>
          <w:kern w:val="0"/>
          <w:sz w:val="24"/>
          <w:szCs w:val="24"/>
          <w:highlight w:val="none"/>
          <w:u w:val="none"/>
          <w:lang w:val="en-US" w:eastAsia="zh-CN" w:bidi="ar"/>
        </w:rPr>
      </w:pPr>
      <w:r>
        <w:rPr>
          <w:rFonts w:hint="eastAsia" w:ascii="仿宋_GB2312" w:hAnsi="仿宋_GB2312" w:eastAsia="仿宋_GB2312" w:cs="仿宋_GB2312"/>
          <w:color w:val="000000"/>
          <w:kern w:val="0"/>
          <w:sz w:val="24"/>
          <w:szCs w:val="24"/>
          <w:highlight w:val="none"/>
          <w:u w:val="none"/>
          <w:lang w:val="en-US" w:eastAsia="zh-CN" w:bidi="ar"/>
        </w:rPr>
        <w:t>3.获取磋商文件时，供应商为法人或者其他组织的，供应商应提供单位加盖公章的介绍信和经办人身份证明的复印件（介绍信应注明：</w:t>
      </w:r>
      <w:r>
        <w:rPr>
          <w:rFonts w:hint="eastAsia" w:ascii="仿宋_GB2312" w:hAnsi="仿宋_GB2312" w:eastAsia="仿宋_GB2312" w:cs="仿宋_GB2312"/>
          <w:color w:val="000000"/>
          <w:kern w:val="0"/>
          <w:sz w:val="24"/>
          <w:szCs w:val="24"/>
          <w:highlight w:val="none"/>
          <w:u w:val="none"/>
          <w:lang w:val="en-US" w:eastAsia="zh-CN" w:bidi="ar"/>
        </w:rPr>
        <w:fldChar w:fldCharType="begin"/>
      </w:r>
      <w:r>
        <w:rPr>
          <w:rFonts w:hint="eastAsia" w:ascii="仿宋_GB2312" w:hAnsi="仿宋_GB2312" w:eastAsia="仿宋_GB2312" w:cs="仿宋_GB2312"/>
          <w:color w:val="000000"/>
          <w:kern w:val="0"/>
          <w:sz w:val="24"/>
          <w:szCs w:val="24"/>
          <w:highlight w:val="none"/>
          <w:u w:val="none"/>
          <w:lang w:val="en-US" w:eastAsia="zh-CN" w:bidi="ar"/>
        </w:rPr>
        <w:instrText xml:space="preserve"> HYPERLINK "mailto:采购项目名称、采购项目编号、联系人、移动电话、电子邮箱）、报名登记表；供应商为自然人的，只需提供本人身份证明和报名登记表。供应商网上报名的须将上述资料以扫描件形式发送至邮箱2219327453@qq.com（发送邮箱时，注明项目名称及公司名称），报名登记表和报名资料原件供应商在开标当日递交至我公司，否则不予接收响应文件。" </w:instrText>
      </w:r>
      <w:r>
        <w:rPr>
          <w:rFonts w:hint="eastAsia" w:ascii="仿宋_GB2312" w:hAnsi="仿宋_GB2312" w:eastAsia="仿宋_GB2312" w:cs="仿宋_GB2312"/>
          <w:color w:val="000000"/>
          <w:kern w:val="0"/>
          <w:sz w:val="24"/>
          <w:szCs w:val="24"/>
          <w:highlight w:val="none"/>
          <w:u w:val="none"/>
          <w:lang w:val="en-US" w:eastAsia="zh-CN" w:bidi="ar"/>
        </w:rPr>
        <w:fldChar w:fldCharType="separate"/>
      </w:r>
      <w:r>
        <w:rPr>
          <w:rFonts w:hint="eastAsia" w:ascii="仿宋_GB2312" w:hAnsi="仿宋_GB2312" w:eastAsia="仿宋_GB2312" w:cs="仿宋_GB2312"/>
          <w:color w:val="000000"/>
          <w:kern w:val="0"/>
          <w:sz w:val="24"/>
          <w:szCs w:val="24"/>
          <w:highlight w:val="none"/>
          <w:u w:val="none"/>
          <w:lang w:val="en-US" w:eastAsia="zh-CN" w:bidi="ar"/>
        </w:rPr>
        <w:t>采购项目名称、采购项目编号、联系人、移动电话、电子邮箱）；供应商为自然人的，只需提供本人身份证明。供应商网上报名的须将上述资料以扫描件形式发送至邮箱</w:t>
      </w:r>
      <w:r>
        <w:rPr>
          <w:rFonts w:hint="eastAsia" w:ascii="宋体" w:hAnsi="宋体" w:eastAsia="宋体" w:cs="宋体"/>
          <w:color w:val="000000"/>
          <w:kern w:val="0"/>
          <w:sz w:val="24"/>
          <w:szCs w:val="24"/>
          <w:highlight w:val="none"/>
          <w:u w:val="none"/>
          <w:lang w:val="en-US" w:eastAsia="zh-CN" w:bidi="ar"/>
        </w:rPr>
        <w:t>ziliaozhuanyong666@163.com</w:t>
      </w:r>
      <w:r>
        <w:rPr>
          <w:rFonts w:hint="eastAsia" w:ascii="仿宋_GB2312" w:hAnsi="仿宋_GB2312" w:eastAsia="仿宋_GB2312" w:cs="仿宋_GB2312"/>
          <w:color w:val="000000"/>
          <w:kern w:val="0"/>
          <w:sz w:val="24"/>
          <w:szCs w:val="24"/>
          <w:highlight w:val="none"/>
          <w:u w:val="none"/>
          <w:lang w:val="en-US" w:eastAsia="zh-CN" w:bidi="ar"/>
        </w:rPr>
        <w:t>（发送邮箱时，注明项目名称及公司名称），报名资料原件供应商在开标当日递交至我公司，否则不予接收响应文件。</w:t>
      </w:r>
      <w:r>
        <w:rPr>
          <w:rFonts w:hint="eastAsia" w:ascii="仿宋_GB2312" w:hAnsi="仿宋_GB2312" w:eastAsia="仿宋_GB2312" w:cs="仿宋_GB2312"/>
          <w:color w:val="000000"/>
          <w:kern w:val="0"/>
          <w:sz w:val="24"/>
          <w:szCs w:val="24"/>
          <w:highlight w:val="none"/>
          <w:u w:val="none"/>
          <w:lang w:val="en-US" w:eastAsia="zh-CN" w:bidi="ar"/>
        </w:rPr>
        <w:fldChar w:fldCharType="end"/>
      </w:r>
    </w:p>
    <w:p>
      <w:pPr>
        <w:keepNext w:val="0"/>
        <w:keepLines w:val="0"/>
        <w:pageBreakBefore w:val="0"/>
        <w:widowControl w:val="0"/>
        <w:kinsoku/>
        <w:wordWrap w:val="0"/>
        <w:overflowPunct/>
        <w:topLinePunct w:val="0"/>
        <w:autoSpaceDE/>
        <w:autoSpaceDN/>
        <w:bidi w:val="0"/>
        <w:adjustRightInd/>
        <w:snapToGrid/>
        <w:spacing w:line="360" w:lineRule="auto"/>
        <w:ind w:right="0" w:rightChars="0" w:firstLine="487" w:firstLineChars="203"/>
        <w:textAlignment w:val="auto"/>
        <w:rPr>
          <w:rFonts w:hint="eastAsia" w:ascii="仿宋_GB2312" w:hAnsi="仿宋_GB2312" w:eastAsia="仿宋_GB2312" w:cs="仿宋_GB2312"/>
          <w:color w:val="000000"/>
          <w:kern w:val="0"/>
          <w:sz w:val="24"/>
          <w:szCs w:val="24"/>
          <w:highlight w:val="none"/>
          <w:u w:val="none"/>
          <w:lang w:val="en-US" w:eastAsia="zh-CN" w:bidi="ar"/>
        </w:rPr>
      </w:pPr>
      <w:r>
        <w:rPr>
          <w:rFonts w:hint="eastAsia" w:ascii="仿宋_GB2312" w:hAnsi="仿宋_GB2312" w:eastAsia="仿宋_GB2312" w:cs="仿宋_GB2312"/>
          <w:color w:val="000000"/>
          <w:kern w:val="0"/>
          <w:sz w:val="24"/>
          <w:szCs w:val="24"/>
          <w:highlight w:val="none"/>
          <w:u w:val="none"/>
          <w:lang w:val="en-US" w:eastAsia="zh-CN" w:bidi="ar"/>
        </w:rPr>
        <w:t>4.供应商采用网上获取采购文件的，转账时请备注项目名称或项目编号及公司名称，因自身填写错误报名无效的，招标代理机构概不负责。（备注不全的可简写）</w:t>
      </w:r>
    </w:p>
    <w:p>
      <w:pPr>
        <w:pStyle w:val="14"/>
        <w:bidi w:val="0"/>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附图1</w:t>
      </w:r>
    </w:p>
    <w:p>
      <w:pPr>
        <w:pStyle w:val="14"/>
        <w:bidi w:val="0"/>
        <w:rPr>
          <w:rFonts w:hint="eastAsia" w:ascii="仿宋_GB2312" w:hAnsi="仿宋_GB2312" w:eastAsia="仿宋_GB2312" w:cs="仿宋_GB2312"/>
          <w:b/>
          <w:bCs/>
          <w:sz w:val="24"/>
          <w:szCs w:val="24"/>
          <w:highlight w:val="none"/>
          <w:lang w:val="en-US" w:eastAsia="zh-CN"/>
        </w:rPr>
      </w:pPr>
      <w:r>
        <w:rPr>
          <w:rFonts w:hint="eastAsia" w:ascii="宋体" w:hAnsi="宋体" w:eastAsia="宋体" w:cs="宋体"/>
          <w:b/>
          <w:bCs/>
          <w:kern w:val="0"/>
          <w:sz w:val="24"/>
          <w:szCs w:val="24"/>
          <w:highlight w:val="none"/>
          <w:lang w:eastAsia="zh-CN" w:bidi="ar"/>
        </w:rPr>
        <w:drawing>
          <wp:inline distT="0" distB="0" distL="114300" distR="114300">
            <wp:extent cx="934085" cy="942975"/>
            <wp:effectExtent l="0" t="0" r="18415" b="9525"/>
            <wp:docPr id="6" name="图片 1" descr="316652d73c0179074bd3b96a240d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316652d73c0179074bd3b96a240de22"/>
                    <pic:cNvPicPr>
                      <a:picLocks noChangeAspect="1"/>
                    </pic:cNvPicPr>
                  </pic:nvPicPr>
                  <pic:blipFill>
                    <a:blip r:embed="rId6"/>
                    <a:srcRect l="27284" t="24574" r="27696" b="42096"/>
                    <a:stretch>
                      <a:fillRect/>
                    </a:stretch>
                  </pic:blipFill>
                  <pic:spPr>
                    <a:xfrm>
                      <a:off x="0" y="0"/>
                      <a:ext cx="934085" cy="942975"/>
                    </a:xfrm>
                    <a:prstGeom prst="rect">
                      <a:avLst/>
                    </a:prstGeom>
                    <a:noFill/>
                    <a:ln>
                      <a:noFill/>
                    </a:ln>
                  </pic:spPr>
                </pic:pic>
              </a:graphicData>
            </a:graphic>
          </wp:inline>
        </w:drawing>
      </w:r>
    </w:p>
    <w:p>
      <w:pPr>
        <w:pStyle w:val="14"/>
        <w:bidi w:val="0"/>
        <w:rPr>
          <w:rFonts w:hint="eastAsia"/>
          <w:b/>
          <w:bCs/>
          <w:highlight w:val="none"/>
          <w:lang w:val="en-US" w:eastAsia="zh-CN"/>
        </w:rPr>
      </w:pPr>
    </w:p>
    <w:p>
      <w:pPr>
        <w:pStyle w:val="14"/>
        <w:bidi w:val="0"/>
        <w:rPr>
          <w:rFonts w:hint="eastAsia"/>
          <w:b/>
          <w:bCs/>
          <w:highlight w:val="none"/>
          <w:lang w:val="en-US" w:eastAsia="zh-CN"/>
        </w:rPr>
      </w:pPr>
      <w:r>
        <w:rPr>
          <w:rFonts w:hint="eastAsia"/>
          <w:b/>
          <w:bCs/>
          <w:highlight w:val="none"/>
          <w:lang w:val="en-US" w:eastAsia="zh-CN"/>
        </w:rPr>
        <w:t>九、递交响应文件截止时间：</w:t>
      </w:r>
    </w:p>
    <w:p>
      <w:pPr>
        <w:pStyle w:val="14"/>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递交响应文件截止时间：</w:t>
      </w:r>
      <w:r>
        <w:rPr>
          <w:rFonts w:hint="eastAsia" w:ascii="仿宋_GB2312" w:hAnsi="仿宋_GB2312" w:cs="仿宋_GB2312"/>
          <w:highlight w:val="none"/>
          <w:lang w:eastAsia="zh-CN"/>
        </w:rPr>
        <w:t>2023</w:t>
      </w:r>
      <w:r>
        <w:rPr>
          <w:rFonts w:hint="eastAsia" w:ascii="仿宋_GB2312" w:hAnsi="仿宋_GB2312" w:eastAsia="仿宋_GB2312" w:cs="仿宋_GB2312"/>
          <w:highlight w:val="none"/>
        </w:rPr>
        <w:t>年</w:t>
      </w:r>
      <w:r>
        <w:rPr>
          <w:rFonts w:hint="eastAsia" w:ascii="仿宋_GB2312" w:hAnsi="仿宋_GB2312" w:cs="仿宋_GB2312"/>
          <w:highlight w:val="none"/>
          <w:lang w:val="en-US" w:eastAsia="zh-CN"/>
        </w:rPr>
        <w:t>12</w:t>
      </w:r>
      <w:r>
        <w:rPr>
          <w:rFonts w:hint="eastAsia" w:ascii="仿宋_GB2312" w:hAnsi="仿宋_GB2312" w:eastAsia="仿宋_GB2312" w:cs="仿宋_GB2312"/>
          <w:highlight w:val="none"/>
        </w:rPr>
        <w:t>月</w:t>
      </w:r>
      <w:r>
        <w:rPr>
          <w:rFonts w:hint="eastAsia" w:ascii="仿宋_GB2312" w:hAnsi="仿宋_GB2312" w:cs="仿宋_GB2312"/>
          <w:highlight w:val="none"/>
          <w:lang w:val="en-US" w:eastAsia="zh-CN"/>
        </w:rPr>
        <w:t>12</w:t>
      </w:r>
      <w:r>
        <w:rPr>
          <w:rFonts w:hint="eastAsia" w:ascii="仿宋_GB2312" w:hAnsi="仿宋_GB2312" w:eastAsia="仿宋_GB2312" w:cs="仿宋_GB2312"/>
          <w:highlight w:val="none"/>
        </w:rPr>
        <w:t>日</w:t>
      </w:r>
      <w:r>
        <w:rPr>
          <w:rFonts w:hint="eastAsia" w:ascii="仿宋_GB2312" w:hAnsi="仿宋_GB2312" w:cs="仿宋_GB2312"/>
          <w:highlight w:val="none"/>
          <w:lang w:val="en-US" w:eastAsia="zh-CN"/>
        </w:rPr>
        <w:t>9</w:t>
      </w:r>
      <w:r>
        <w:rPr>
          <w:rFonts w:hint="eastAsia" w:ascii="仿宋_GB2312" w:hAnsi="仿宋_GB2312" w:eastAsia="仿宋_GB2312" w:cs="仿宋_GB2312"/>
          <w:highlight w:val="none"/>
          <w:lang w:eastAsia="zh-CN"/>
        </w:rPr>
        <w:t>：</w:t>
      </w:r>
      <w:r>
        <w:rPr>
          <w:rFonts w:hint="eastAsia" w:ascii="仿宋_GB2312" w:hAnsi="仿宋_GB2312" w:cs="仿宋_GB2312"/>
          <w:highlight w:val="none"/>
          <w:lang w:val="en-US" w:eastAsia="zh-CN"/>
        </w:rPr>
        <w:t>3</w:t>
      </w:r>
      <w:r>
        <w:rPr>
          <w:rFonts w:hint="eastAsia" w:ascii="仿宋_GB2312" w:hAnsi="仿宋_GB2312" w:eastAsia="仿宋_GB2312" w:cs="仿宋_GB2312"/>
          <w:highlight w:val="none"/>
        </w:rPr>
        <w:t>0前（北京时间）；</w:t>
      </w:r>
    </w:p>
    <w:p>
      <w:pPr>
        <w:pStyle w:val="14"/>
        <w:bidi w:val="0"/>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cs="仿宋_GB2312"/>
          <w:highlight w:val="none"/>
          <w:lang w:eastAsia="zh-CN"/>
        </w:rPr>
        <w:t>开标</w:t>
      </w:r>
      <w:r>
        <w:rPr>
          <w:rFonts w:hint="eastAsia" w:ascii="仿宋_GB2312" w:hAnsi="仿宋_GB2312" w:eastAsia="仿宋_GB2312" w:cs="仿宋_GB2312"/>
          <w:highlight w:val="none"/>
        </w:rPr>
        <w:t>时间：</w:t>
      </w:r>
      <w:bookmarkStart w:id="5" w:name="PO_默认文件内容_29"/>
      <w:r>
        <w:rPr>
          <w:rFonts w:hint="eastAsia" w:ascii="仿宋_GB2312" w:hAnsi="仿宋_GB2312" w:cs="仿宋_GB2312"/>
          <w:highlight w:val="none"/>
          <w:lang w:eastAsia="zh-CN"/>
        </w:rPr>
        <w:t>2023</w:t>
      </w:r>
      <w:r>
        <w:rPr>
          <w:rFonts w:hint="eastAsia" w:ascii="仿宋_GB2312" w:hAnsi="仿宋_GB2312" w:eastAsia="仿宋_GB2312" w:cs="仿宋_GB2312"/>
          <w:highlight w:val="none"/>
        </w:rPr>
        <w:t>年</w:t>
      </w:r>
      <w:r>
        <w:rPr>
          <w:rFonts w:hint="eastAsia" w:ascii="仿宋_GB2312" w:hAnsi="仿宋_GB2312" w:cs="仿宋_GB2312"/>
          <w:highlight w:val="none"/>
          <w:lang w:val="en-US" w:eastAsia="zh-CN"/>
        </w:rPr>
        <w:t>12</w:t>
      </w:r>
      <w:r>
        <w:rPr>
          <w:rFonts w:hint="eastAsia" w:ascii="仿宋_GB2312" w:hAnsi="仿宋_GB2312" w:eastAsia="仿宋_GB2312" w:cs="仿宋_GB2312"/>
          <w:highlight w:val="none"/>
        </w:rPr>
        <w:t>月</w:t>
      </w:r>
      <w:r>
        <w:rPr>
          <w:rFonts w:hint="eastAsia" w:ascii="仿宋_GB2312" w:hAnsi="仿宋_GB2312" w:cs="仿宋_GB2312"/>
          <w:highlight w:val="none"/>
          <w:lang w:val="en-US" w:eastAsia="zh-CN"/>
        </w:rPr>
        <w:t>12</w:t>
      </w:r>
      <w:r>
        <w:rPr>
          <w:rFonts w:hint="eastAsia" w:ascii="仿宋_GB2312" w:hAnsi="仿宋_GB2312" w:eastAsia="仿宋_GB2312" w:cs="仿宋_GB2312"/>
          <w:highlight w:val="none"/>
        </w:rPr>
        <w:t>日</w:t>
      </w:r>
      <w:r>
        <w:rPr>
          <w:rFonts w:hint="eastAsia" w:ascii="仿宋_GB2312" w:hAnsi="仿宋_GB2312" w:cs="仿宋_GB2312"/>
          <w:highlight w:val="none"/>
          <w:lang w:val="en-US" w:eastAsia="zh-CN"/>
        </w:rPr>
        <w:t>9</w:t>
      </w:r>
      <w:r>
        <w:rPr>
          <w:rFonts w:hint="eastAsia" w:ascii="仿宋_GB2312" w:hAnsi="仿宋_GB2312" w:eastAsia="仿宋_GB2312" w:cs="仿宋_GB2312"/>
          <w:highlight w:val="none"/>
          <w:lang w:eastAsia="zh-CN"/>
        </w:rPr>
        <w:t>：</w:t>
      </w:r>
      <w:r>
        <w:rPr>
          <w:rFonts w:hint="eastAsia" w:ascii="仿宋_GB2312" w:hAnsi="仿宋_GB2312" w:cs="仿宋_GB2312"/>
          <w:highlight w:val="none"/>
          <w:lang w:val="en-US" w:eastAsia="zh-CN"/>
        </w:rPr>
        <w:t>30</w:t>
      </w:r>
      <w:r>
        <w:rPr>
          <w:rFonts w:hint="eastAsia" w:ascii="仿宋_GB2312" w:hAnsi="仿宋_GB2312" w:eastAsia="仿宋_GB2312" w:cs="仿宋_GB2312"/>
          <w:highlight w:val="none"/>
        </w:rPr>
        <w:t>（北京时间）</w:t>
      </w:r>
      <w:bookmarkEnd w:id="5"/>
      <w:r>
        <w:rPr>
          <w:rFonts w:hint="eastAsia" w:ascii="仿宋_GB2312" w:hAnsi="仿宋_GB2312" w:eastAsia="仿宋_GB2312" w:cs="仿宋_GB2312"/>
          <w:highlight w:val="none"/>
          <w:lang w:eastAsia="zh-CN"/>
        </w:rPr>
        <w:t>。</w:t>
      </w:r>
    </w:p>
    <w:p>
      <w:pPr>
        <w:pStyle w:val="14"/>
        <w:bidi w:val="0"/>
        <w:rPr>
          <w:rFonts w:hint="eastAsia" w:ascii="仿宋_GB2312" w:hAnsi="仿宋_GB2312" w:eastAsia="仿宋_GB2312" w:cs="仿宋_GB2312"/>
          <w:highlight w:val="none"/>
          <w:lang w:val="en-US" w:eastAsia="zh-CN"/>
        </w:rPr>
      </w:pPr>
      <w:r>
        <w:rPr>
          <w:rFonts w:hint="eastAsia"/>
          <w:b/>
          <w:bCs/>
          <w:highlight w:val="none"/>
          <w:lang w:val="en-US" w:eastAsia="zh-CN"/>
        </w:rPr>
        <w:t>十、递交响应文件地点：</w:t>
      </w:r>
      <w:bookmarkStart w:id="6" w:name="PO_默认文件内容_7"/>
      <w:r>
        <w:rPr>
          <w:rFonts w:hint="eastAsia" w:ascii="仿宋_GB2312" w:hAnsi="仿宋_GB2312" w:cs="仿宋_GB2312"/>
          <w:highlight w:val="none"/>
          <w:lang w:val="en-US" w:eastAsia="zh-CN"/>
        </w:rPr>
        <w:t>四川省巴中市巴州区江北大道1号21楼</w:t>
      </w:r>
      <w:r>
        <w:rPr>
          <w:rFonts w:hint="eastAsia" w:ascii="仿宋_GB2312" w:hAnsi="仿宋_GB2312" w:eastAsia="仿宋_GB2312" w:cs="仿宋_GB2312"/>
          <w:highlight w:val="none"/>
          <w:lang w:val="en-US" w:eastAsia="zh-CN"/>
        </w:rPr>
        <w:t>。</w:t>
      </w:r>
      <w:bookmarkEnd w:id="6"/>
    </w:p>
    <w:p>
      <w:pPr>
        <w:pStyle w:val="14"/>
        <w:bidi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响应文件必须在递交响应文件截止时间前送达磋商地点。逾期送达或没有密封的响应文件恕不接收。本次采购不接收邮寄的响应文件。</w:t>
      </w:r>
    </w:p>
    <w:p>
      <w:pPr>
        <w:pStyle w:val="14"/>
        <w:bidi w:val="0"/>
        <w:rPr>
          <w:rFonts w:hint="eastAsia" w:ascii="仿宋_GB2312" w:hAnsi="仿宋_GB2312" w:eastAsia="仿宋_GB2312" w:cs="仿宋_GB2312"/>
          <w:sz w:val="24"/>
          <w:szCs w:val="24"/>
          <w:highlight w:val="none"/>
        </w:rPr>
      </w:pPr>
      <w:r>
        <w:rPr>
          <w:rFonts w:hint="eastAsia"/>
          <w:b/>
          <w:bCs/>
          <w:highlight w:val="none"/>
          <w:lang w:eastAsia="zh-CN"/>
        </w:rPr>
        <w:t>十一、</w:t>
      </w:r>
      <w:r>
        <w:rPr>
          <w:rFonts w:hint="eastAsia"/>
          <w:b/>
          <w:bCs/>
          <w:highlight w:val="none"/>
        </w:rPr>
        <w:t>响应文件开启时间</w:t>
      </w:r>
      <w:r>
        <w:rPr>
          <w:rFonts w:hint="eastAsia"/>
          <w:b/>
          <w:bCs/>
          <w:highlight w:val="none"/>
          <w:lang w:eastAsia="zh-CN"/>
        </w:rPr>
        <w:t>：</w:t>
      </w:r>
      <w:r>
        <w:rPr>
          <w:rFonts w:hint="eastAsia" w:ascii="仿宋_GB2312" w:hAnsi="仿宋_GB2312" w:cs="仿宋_GB2312"/>
          <w:highlight w:val="none"/>
          <w:lang w:eastAsia="zh-CN"/>
        </w:rPr>
        <w:t>2023</w:t>
      </w:r>
      <w:r>
        <w:rPr>
          <w:rFonts w:hint="eastAsia" w:ascii="仿宋_GB2312" w:hAnsi="仿宋_GB2312" w:eastAsia="仿宋_GB2312" w:cs="仿宋_GB2312"/>
          <w:highlight w:val="none"/>
        </w:rPr>
        <w:t>年</w:t>
      </w:r>
      <w:r>
        <w:rPr>
          <w:rFonts w:hint="eastAsia" w:ascii="仿宋_GB2312" w:hAnsi="仿宋_GB2312" w:cs="仿宋_GB2312"/>
          <w:highlight w:val="none"/>
          <w:lang w:val="en-US" w:eastAsia="zh-CN"/>
        </w:rPr>
        <w:t>12</w:t>
      </w:r>
      <w:r>
        <w:rPr>
          <w:rFonts w:hint="eastAsia" w:ascii="仿宋_GB2312" w:hAnsi="仿宋_GB2312" w:eastAsia="仿宋_GB2312" w:cs="仿宋_GB2312"/>
          <w:highlight w:val="none"/>
        </w:rPr>
        <w:t>月</w:t>
      </w:r>
      <w:r>
        <w:rPr>
          <w:rFonts w:hint="eastAsia" w:ascii="仿宋_GB2312" w:hAnsi="仿宋_GB2312" w:cs="仿宋_GB2312"/>
          <w:highlight w:val="none"/>
          <w:lang w:val="en-US" w:eastAsia="zh-CN"/>
        </w:rPr>
        <w:t>12</w:t>
      </w:r>
      <w:r>
        <w:rPr>
          <w:rFonts w:hint="eastAsia" w:ascii="仿宋_GB2312" w:hAnsi="仿宋_GB2312" w:eastAsia="仿宋_GB2312" w:cs="仿宋_GB2312"/>
          <w:highlight w:val="none"/>
        </w:rPr>
        <w:t>日</w:t>
      </w:r>
      <w:r>
        <w:rPr>
          <w:rFonts w:hint="eastAsia" w:ascii="仿宋_GB2312" w:hAnsi="仿宋_GB2312" w:cs="仿宋_GB2312"/>
          <w:highlight w:val="none"/>
          <w:lang w:val="en-US" w:eastAsia="zh-CN"/>
        </w:rPr>
        <w:t>9</w:t>
      </w:r>
      <w:r>
        <w:rPr>
          <w:rFonts w:hint="eastAsia" w:ascii="仿宋_GB2312" w:hAnsi="仿宋_GB2312" w:eastAsia="仿宋_GB2312" w:cs="仿宋_GB2312"/>
          <w:highlight w:val="none"/>
          <w:lang w:eastAsia="zh-CN"/>
        </w:rPr>
        <w:t>：</w:t>
      </w:r>
      <w:r>
        <w:rPr>
          <w:rFonts w:hint="eastAsia" w:ascii="仿宋_GB2312" w:hAnsi="仿宋_GB2312" w:cs="仿宋_GB2312"/>
          <w:highlight w:val="none"/>
          <w:lang w:val="en-US" w:eastAsia="zh-CN"/>
        </w:rPr>
        <w:t>30</w:t>
      </w:r>
      <w:r>
        <w:rPr>
          <w:rFonts w:hint="eastAsia" w:ascii="仿宋_GB2312" w:hAnsi="仿宋_GB2312" w:eastAsia="仿宋_GB2312" w:cs="仿宋_GB2312"/>
          <w:sz w:val="24"/>
          <w:szCs w:val="24"/>
          <w:highlight w:val="none"/>
        </w:rPr>
        <w:t>（北京时间）在磋商地点开启。</w:t>
      </w:r>
    </w:p>
    <w:p>
      <w:pPr>
        <w:pStyle w:val="14"/>
        <w:bidi w:val="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b/>
          <w:bCs/>
          <w:sz w:val="24"/>
          <w:szCs w:val="24"/>
          <w:highlight w:val="none"/>
        </w:rPr>
        <w:t>十二、磋商地点：</w:t>
      </w:r>
      <w:r>
        <w:rPr>
          <w:rFonts w:hint="eastAsia" w:ascii="仿宋_GB2312" w:hAnsi="仿宋_GB2312" w:cs="仿宋_GB2312"/>
          <w:sz w:val="24"/>
          <w:szCs w:val="24"/>
          <w:highlight w:val="none"/>
          <w:lang w:eastAsia="zh-CN"/>
        </w:rPr>
        <w:t>四川省巴中市巴州区江北大道1号21楼。</w:t>
      </w:r>
    </w:p>
    <w:p>
      <w:pPr>
        <w:pStyle w:val="14"/>
        <w:bidi w:val="0"/>
        <w:rPr>
          <w:rFonts w:hint="eastAsia"/>
          <w:b/>
          <w:bCs/>
          <w:highlight w:val="none"/>
          <w:lang w:val="en-US" w:eastAsia="zh-CN"/>
        </w:rPr>
      </w:pPr>
      <w:r>
        <w:rPr>
          <w:rFonts w:hint="eastAsia"/>
          <w:b/>
          <w:bCs/>
          <w:highlight w:val="none"/>
          <w:lang w:val="en-US" w:eastAsia="zh-CN"/>
        </w:rPr>
        <w:t>十三、联系方式</w:t>
      </w:r>
    </w:p>
    <w:p>
      <w:pPr>
        <w:pStyle w:val="14"/>
        <w:bidi w:val="0"/>
        <w:rPr>
          <w:rFonts w:hint="eastAsia"/>
          <w:highlight w:val="none"/>
          <w:lang w:eastAsia="zh-CN"/>
        </w:rPr>
      </w:pPr>
      <w:r>
        <w:rPr>
          <w:rFonts w:hint="eastAsia"/>
          <w:highlight w:val="none"/>
        </w:rPr>
        <w:t>采</w:t>
      </w:r>
      <w:r>
        <w:rPr>
          <w:rFonts w:hint="eastAsia"/>
          <w:highlight w:val="none"/>
          <w:lang w:val="en-US" w:eastAsia="zh-CN"/>
        </w:rPr>
        <w:t xml:space="preserve"> </w:t>
      </w:r>
      <w:r>
        <w:rPr>
          <w:rFonts w:hint="eastAsia"/>
          <w:highlight w:val="none"/>
        </w:rPr>
        <w:t>购</w:t>
      </w:r>
      <w:r>
        <w:rPr>
          <w:rFonts w:hint="eastAsia"/>
          <w:highlight w:val="none"/>
          <w:lang w:val="en-US" w:eastAsia="zh-CN"/>
        </w:rPr>
        <w:t xml:space="preserve"> </w:t>
      </w:r>
      <w:r>
        <w:rPr>
          <w:rFonts w:hint="eastAsia"/>
          <w:highlight w:val="none"/>
        </w:rPr>
        <w:t>人：</w:t>
      </w:r>
      <w:r>
        <w:rPr>
          <w:rFonts w:hint="eastAsia"/>
          <w:highlight w:val="none"/>
          <w:lang w:val="en-US" w:eastAsia="zh-CN"/>
        </w:rPr>
        <w:t>巴中市巴州区小型水库运行保护中心</w:t>
      </w:r>
    </w:p>
    <w:p>
      <w:pPr>
        <w:pStyle w:val="14"/>
        <w:bidi w:val="0"/>
        <w:rPr>
          <w:rFonts w:hint="default" w:ascii="仿宋_GB2312" w:hAnsi="仿宋_GB2312" w:eastAsia="仿宋_GB2312" w:cs="仿宋_GB2312"/>
          <w:highlight w:val="none"/>
          <w:lang w:val="en-US"/>
        </w:rPr>
      </w:pPr>
      <w:r>
        <w:rPr>
          <w:rFonts w:hint="eastAsia" w:ascii="仿宋_GB2312" w:hAnsi="仿宋_GB2312" w:eastAsia="仿宋_GB2312" w:cs="仿宋_GB2312"/>
          <w:highlight w:val="none"/>
        </w:rPr>
        <w:t>通讯地址：</w:t>
      </w:r>
      <w:r>
        <w:rPr>
          <w:rFonts w:hint="eastAsia" w:ascii="仿宋_GB2312" w:hAnsi="仿宋_GB2312" w:cs="仿宋_GB2312"/>
          <w:highlight w:val="none"/>
          <w:lang w:val="en-US" w:eastAsia="zh-CN"/>
        </w:rPr>
        <w:t>巴中市巴州区通佛路118号</w:t>
      </w:r>
    </w:p>
    <w:p>
      <w:pPr>
        <w:pStyle w:val="14"/>
        <w:bidi w:val="0"/>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rPr>
        <w:t>联 系 人：</w:t>
      </w:r>
      <w:r>
        <w:rPr>
          <w:rFonts w:hint="eastAsia" w:ascii="仿宋_GB2312" w:hAnsi="仿宋_GB2312" w:cs="仿宋_GB2312"/>
          <w:highlight w:val="none"/>
          <w:lang w:val="en-US" w:eastAsia="zh-CN"/>
        </w:rPr>
        <w:t>张</w:t>
      </w:r>
      <w:r>
        <w:rPr>
          <w:rFonts w:hint="eastAsia" w:ascii="仿宋_GB2312" w:hAnsi="仿宋_GB2312" w:eastAsia="仿宋_GB2312" w:cs="仿宋_GB2312"/>
          <w:highlight w:val="none"/>
        </w:rPr>
        <w:t>老师</w:t>
      </w:r>
      <w:r>
        <w:rPr>
          <w:rFonts w:hint="eastAsia" w:ascii="仿宋_GB2312" w:hAnsi="仿宋_GB2312" w:eastAsia="仿宋_GB2312" w:cs="仿宋_GB2312"/>
          <w:highlight w:val="none"/>
          <w:lang w:val="en-US" w:eastAsia="zh-CN"/>
        </w:rPr>
        <w:t xml:space="preserve">   </w:t>
      </w:r>
      <w:r>
        <w:rPr>
          <w:rFonts w:hint="eastAsia" w:ascii="仿宋_GB2312" w:hAnsi="仿宋_GB2312" w:cs="仿宋_GB2312"/>
          <w:highlight w:val="none"/>
          <w:lang w:val="en-US" w:eastAsia="zh-CN"/>
        </w:rPr>
        <w:t xml:space="preserve">     </w:t>
      </w:r>
      <w:r>
        <w:rPr>
          <w:rFonts w:hint="eastAsia" w:ascii="仿宋_GB2312" w:hAnsi="仿宋_GB2312" w:eastAsia="仿宋_GB2312" w:cs="仿宋_GB2312"/>
          <w:highlight w:val="none"/>
          <w:lang w:val="en-US" w:eastAsia="zh-CN"/>
        </w:rPr>
        <w:t xml:space="preserve"> 联系电话：</w:t>
      </w:r>
      <w:r>
        <w:rPr>
          <w:rFonts w:hint="eastAsia" w:ascii="仿宋_GB2312" w:hAnsi="仿宋_GB2312" w:cs="仿宋_GB2312"/>
          <w:highlight w:val="none"/>
          <w:lang w:val="en-US" w:eastAsia="zh-CN"/>
        </w:rPr>
        <w:t>13778797670</w:t>
      </w:r>
    </w:p>
    <w:p>
      <w:pPr>
        <w:pStyle w:val="14"/>
        <w:bidi w:val="0"/>
        <w:rPr>
          <w:rFonts w:hint="eastAsia" w:ascii="仿宋_GB2312" w:hAnsi="仿宋_GB2312" w:eastAsia="仿宋_GB2312" w:cs="仿宋_GB2312"/>
          <w:highlight w:val="none"/>
          <w:lang w:val="en-US" w:eastAsia="zh-CN"/>
        </w:rPr>
      </w:pPr>
    </w:p>
    <w:p>
      <w:pPr>
        <w:pStyle w:val="14"/>
        <w:bidi w:val="0"/>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rPr>
        <w:t>采购代理机构：</w:t>
      </w:r>
      <w:r>
        <w:rPr>
          <w:rFonts w:hint="eastAsia" w:ascii="仿宋_GB2312" w:hAnsi="仿宋_GB2312" w:cs="仿宋_GB2312"/>
          <w:highlight w:val="none"/>
          <w:lang w:eastAsia="zh-CN"/>
        </w:rPr>
        <w:t>四川亿腾招标代理有限公司</w:t>
      </w:r>
    </w:p>
    <w:p>
      <w:pPr>
        <w:pStyle w:val="14"/>
        <w:bidi w:val="0"/>
        <w:rPr>
          <w:rFonts w:hint="eastAsia" w:ascii="仿宋_GB2312" w:hAnsi="仿宋_GB2312" w:cs="仿宋_GB2312"/>
          <w:highlight w:val="none"/>
          <w:lang w:eastAsia="zh-CN"/>
        </w:rPr>
      </w:pPr>
      <w:r>
        <w:rPr>
          <w:rFonts w:hint="eastAsia" w:ascii="仿宋_GB2312" w:hAnsi="仿宋_GB2312" w:cs="仿宋_GB2312"/>
          <w:highlight w:val="none"/>
          <w:lang w:eastAsia="zh-CN"/>
        </w:rPr>
        <w:t xml:space="preserve">通讯地址：四川省巴中市巴州区江北大道1号21楼 </w:t>
      </w:r>
    </w:p>
    <w:p>
      <w:pPr>
        <w:pStyle w:val="14"/>
        <w:bidi w:val="0"/>
        <w:rPr>
          <w:rFonts w:hint="eastAsia" w:ascii="仿宋_GB2312" w:hAnsi="仿宋_GB2312" w:cs="仿宋_GB2312"/>
          <w:highlight w:val="none"/>
          <w:lang w:val="en-US" w:eastAsia="zh-CN"/>
        </w:rPr>
      </w:pPr>
      <w:r>
        <w:rPr>
          <w:rFonts w:hint="eastAsia" w:ascii="仿宋_GB2312" w:hAnsi="仿宋_GB2312" w:cs="仿宋_GB2312"/>
          <w:highlight w:val="none"/>
          <w:lang w:eastAsia="zh-CN"/>
        </w:rPr>
        <w:t>联 系 人：赵老师</w:t>
      </w:r>
      <w:r>
        <w:rPr>
          <w:rFonts w:hint="eastAsia" w:ascii="仿宋_GB2312" w:hAnsi="仿宋_GB2312" w:cs="仿宋_GB2312"/>
          <w:highlight w:val="none"/>
          <w:lang w:val="en-US" w:eastAsia="zh-CN"/>
        </w:rPr>
        <w:t xml:space="preserve">        </w:t>
      </w:r>
      <w:r>
        <w:rPr>
          <w:rFonts w:hint="eastAsia" w:ascii="仿宋_GB2312" w:hAnsi="仿宋_GB2312" w:cs="仿宋_GB2312"/>
          <w:highlight w:val="none"/>
          <w:lang w:eastAsia="zh-CN"/>
        </w:rPr>
        <w:t>联系电话：17340120833</w:t>
      </w:r>
    </w:p>
    <w:p>
      <w:pPr>
        <w:bidi w:val="0"/>
        <w:jc w:val="right"/>
        <w:rPr>
          <w:rFonts w:hint="eastAsia"/>
          <w:highlight w:val="none"/>
          <w:lang w:val="en-US" w:eastAsia="zh-CN"/>
        </w:rPr>
      </w:pPr>
      <w:r>
        <w:rPr>
          <w:rFonts w:hint="eastAsia"/>
          <w:highlight w:val="none"/>
          <w:lang w:val="en-US" w:eastAsia="zh-CN"/>
        </w:rPr>
        <w:t>2023年11月</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6F5635"/>
    <w:multiLevelType w:val="singleLevel"/>
    <w:tmpl w:val="836F5635"/>
    <w:lvl w:ilvl="0" w:tentative="0">
      <w:start w:val="1"/>
      <w:numFmt w:val="chineseCounting"/>
      <w:pStyle w:val="4"/>
      <w:suff w:val="nothing"/>
      <w:lvlText w:val="%1、"/>
      <w:lvlJc w:val="left"/>
      <w:pPr>
        <w:ind w:left="0" w:firstLine="420"/>
      </w:pPr>
      <w:rPr>
        <w:rFonts w:hint="eastAsia"/>
      </w:rPr>
    </w:lvl>
  </w:abstractNum>
  <w:abstractNum w:abstractNumId="1">
    <w:nsid w:val="71134821"/>
    <w:multiLevelType w:val="multilevel"/>
    <w:tmpl w:val="71134821"/>
    <w:lvl w:ilvl="0" w:tentative="0">
      <w:start w:val="1"/>
      <w:numFmt w:val="chineseCounting"/>
      <w:suff w:val="nothing"/>
      <w:lvlText w:val="%1、"/>
      <w:lvlJc w:val="left"/>
      <w:pPr>
        <w:ind w:left="0" w:firstLine="0"/>
      </w:pPr>
      <w:rPr>
        <w:rFonts w:hint="eastAsia"/>
      </w:rPr>
    </w:lvl>
    <w:lvl w:ilvl="1" w:tentative="0">
      <w:start w:val="1"/>
      <w:numFmt w:val="chineseCounting"/>
      <w:pStyle w:val="5"/>
      <w:suff w:val="nothing"/>
      <w:lvlText w:val="（%2）"/>
      <w:lvlJc w:val="left"/>
      <w:pPr>
        <w:ind w:left="0" w:firstLine="0"/>
      </w:pPr>
      <w:rPr>
        <w:rFonts w:hint="eastAsia"/>
      </w:rPr>
    </w:lvl>
    <w:lvl w:ilvl="2" w:tentative="0">
      <w:start w:val="1"/>
      <w:numFmt w:val="decimal"/>
      <w:pStyle w:val="6"/>
      <w:suff w:val="nothing"/>
      <w:lvlText w:val="%3．"/>
      <w:lvlJc w:val="left"/>
      <w:pPr>
        <w:ind w:left="0" w:firstLine="400"/>
      </w:pPr>
      <w:rPr>
        <w:rFonts w:hint="eastAsia"/>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pStyle w:val="8"/>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MzZkMDI2OGNiMDc1NDc0ZjA2YmRhOGU5YzAxZTMifQ=="/>
  </w:docVars>
  <w:rsids>
    <w:rsidRoot w:val="36FC19CA"/>
    <w:rsid w:val="00042F9C"/>
    <w:rsid w:val="007646E6"/>
    <w:rsid w:val="009E5EA0"/>
    <w:rsid w:val="009F0ADE"/>
    <w:rsid w:val="00A41184"/>
    <w:rsid w:val="01613241"/>
    <w:rsid w:val="01994C2E"/>
    <w:rsid w:val="01A45240"/>
    <w:rsid w:val="01C278D3"/>
    <w:rsid w:val="02017B58"/>
    <w:rsid w:val="024F7F60"/>
    <w:rsid w:val="02A77116"/>
    <w:rsid w:val="02F86B68"/>
    <w:rsid w:val="04206C76"/>
    <w:rsid w:val="046442CB"/>
    <w:rsid w:val="05250ADF"/>
    <w:rsid w:val="05623B5D"/>
    <w:rsid w:val="05D030FF"/>
    <w:rsid w:val="060E16CF"/>
    <w:rsid w:val="063B1C1A"/>
    <w:rsid w:val="06EB2067"/>
    <w:rsid w:val="0719074B"/>
    <w:rsid w:val="07480127"/>
    <w:rsid w:val="07A75592"/>
    <w:rsid w:val="07BE61B2"/>
    <w:rsid w:val="07F07FA3"/>
    <w:rsid w:val="07F7029D"/>
    <w:rsid w:val="084762C4"/>
    <w:rsid w:val="08564CB9"/>
    <w:rsid w:val="088A346F"/>
    <w:rsid w:val="08D44BE5"/>
    <w:rsid w:val="08F33BED"/>
    <w:rsid w:val="09FD66D9"/>
    <w:rsid w:val="0A416420"/>
    <w:rsid w:val="0B820FD8"/>
    <w:rsid w:val="0BCD088E"/>
    <w:rsid w:val="0C922937"/>
    <w:rsid w:val="0D0253A9"/>
    <w:rsid w:val="0D515AE2"/>
    <w:rsid w:val="0D5D665A"/>
    <w:rsid w:val="0D7274AB"/>
    <w:rsid w:val="0DC33306"/>
    <w:rsid w:val="0E7A30C6"/>
    <w:rsid w:val="0E897118"/>
    <w:rsid w:val="0F413198"/>
    <w:rsid w:val="10281086"/>
    <w:rsid w:val="10844541"/>
    <w:rsid w:val="10B72B18"/>
    <w:rsid w:val="10CB1539"/>
    <w:rsid w:val="11DE3EE0"/>
    <w:rsid w:val="11FD10B2"/>
    <w:rsid w:val="128200C1"/>
    <w:rsid w:val="12D20FED"/>
    <w:rsid w:val="13C056FE"/>
    <w:rsid w:val="14212297"/>
    <w:rsid w:val="14287AB8"/>
    <w:rsid w:val="149A14C1"/>
    <w:rsid w:val="153542FD"/>
    <w:rsid w:val="15456BC9"/>
    <w:rsid w:val="159D39C7"/>
    <w:rsid w:val="162B5C80"/>
    <w:rsid w:val="162F13BB"/>
    <w:rsid w:val="16A83787"/>
    <w:rsid w:val="17067369"/>
    <w:rsid w:val="17A87D4E"/>
    <w:rsid w:val="17AA6BDF"/>
    <w:rsid w:val="17B65676"/>
    <w:rsid w:val="18245132"/>
    <w:rsid w:val="18A961F9"/>
    <w:rsid w:val="1A857A12"/>
    <w:rsid w:val="1AA2738A"/>
    <w:rsid w:val="1B061518"/>
    <w:rsid w:val="1B2A6CE5"/>
    <w:rsid w:val="1B3A1C1A"/>
    <w:rsid w:val="1C422BD3"/>
    <w:rsid w:val="1CB61DAB"/>
    <w:rsid w:val="1CD079CB"/>
    <w:rsid w:val="1CF76192"/>
    <w:rsid w:val="1D274763"/>
    <w:rsid w:val="1D2E7D2D"/>
    <w:rsid w:val="1D5368AC"/>
    <w:rsid w:val="1D9E7C25"/>
    <w:rsid w:val="1EAD44D9"/>
    <w:rsid w:val="1EE12DE6"/>
    <w:rsid w:val="20820B43"/>
    <w:rsid w:val="20D23DB3"/>
    <w:rsid w:val="21081CB5"/>
    <w:rsid w:val="2150792F"/>
    <w:rsid w:val="21B3422B"/>
    <w:rsid w:val="21CC3202"/>
    <w:rsid w:val="22AE0DDD"/>
    <w:rsid w:val="22BD17FB"/>
    <w:rsid w:val="22D908D5"/>
    <w:rsid w:val="23E9602A"/>
    <w:rsid w:val="2450741C"/>
    <w:rsid w:val="24574847"/>
    <w:rsid w:val="246D6220"/>
    <w:rsid w:val="24A713B1"/>
    <w:rsid w:val="24B86C56"/>
    <w:rsid w:val="255928EB"/>
    <w:rsid w:val="257A3908"/>
    <w:rsid w:val="261C01FA"/>
    <w:rsid w:val="275505FF"/>
    <w:rsid w:val="27767F8A"/>
    <w:rsid w:val="278B23EE"/>
    <w:rsid w:val="27E930AB"/>
    <w:rsid w:val="280055A1"/>
    <w:rsid w:val="29410B21"/>
    <w:rsid w:val="29514455"/>
    <w:rsid w:val="29575C73"/>
    <w:rsid w:val="298E38FB"/>
    <w:rsid w:val="2A3B7000"/>
    <w:rsid w:val="2A6401B8"/>
    <w:rsid w:val="2AC40C97"/>
    <w:rsid w:val="2AE733C6"/>
    <w:rsid w:val="2B505C44"/>
    <w:rsid w:val="2B937144"/>
    <w:rsid w:val="2BA0145D"/>
    <w:rsid w:val="2C231E47"/>
    <w:rsid w:val="2D513B5D"/>
    <w:rsid w:val="2D7050C6"/>
    <w:rsid w:val="2DC14652"/>
    <w:rsid w:val="2DCF5F35"/>
    <w:rsid w:val="2DFC4B23"/>
    <w:rsid w:val="2E6B53DA"/>
    <w:rsid w:val="2E941FEB"/>
    <w:rsid w:val="2E9B4249"/>
    <w:rsid w:val="2EF20488"/>
    <w:rsid w:val="2F9F3731"/>
    <w:rsid w:val="2FA24B90"/>
    <w:rsid w:val="2FF350E6"/>
    <w:rsid w:val="30286891"/>
    <w:rsid w:val="31064BA2"/>
    <w:rsid w:val="323272AC"/>
    <w:rsid w:val="32A6188A"/>
    <w:rsid w:val="3334695E"/>
    <w:rsid w:val="335D3AD4"/>
    <w:rsid w:val="34053E74"/>
    <w:rsid w:val="34562244"/>
    <w:rsid w:val="346E25E7"/>
    <w:rsid w:val="34B04C09"/>
    <w:rsid w:val="34C97D74"/>
    <w:rsid w:val="34D06B52"/>
    <w:rsid w:val="354B7492"/>
    <w:rsid w:val="355D7341"/>
    <w:rsid w:val="358C6720"/>
    <w:rsid w:val="361242C7"/>
    <w:rsid w:val="36160449"/>
    <w:rsid w:val="36417075"/>
    <w:rsid w:val="366C493A"/>
    <w:rsid w:val="36BE3192"/>
    <w:rsid w:val="36FC19CA"/>
    <w:rsid w:val="37133D87"/>
    <w:rsid w:val="372E5004"/>
    <w:rsid w:val="375303E0"/>
    <w:rsid w:val="378B0211"/>
    <w:rsid w:val="37C640CA"/>
    <w:rsid w:val="37F24D66"/>
    <w:rsid w:val="38034772"/>
    <w:rsid w:val="38206066"/>
    <w:rsid w:val="38247A5A"/>
    <w:rsid w:val="38BC456E"/>
    <w:rsid w:val="38D70592"/>
    <w:rsid w:val="3A2940F7"/>
    <w:rsid w:val="3A3C7249"/>
    <w:rsid w:val="3B986F4A"/>
    <w:rsid w:val="3C4340D1"/>
    <w:rsid w:val="3CF90B2E"/>
    <w:rsid w:val="3D332398"/>
    <w:rsid w:val="3E6E552A"/>
    <w:rsid w:val="3E706F72"/>
    <w:rsid w:val="3E801785"/>
    <w:rsid w:val="3EDE02C2"/>
    <w:rsid w:val="3F233925"/>
    <w:rsid w:val="40463C67"/>
    <w:rsid w:val="40481BF5"/>
    <w:rsid w:val="406364B0"/>
    <w:rsid w:val="40A75943"/>
    <w:rsid w:val="40E12FDD"/>
    <w:rsid w:val="410F00FB"/>
    <w:rsid w:val="4112055B"/>
    <w:rsid w:val="418332B1"/>
    <w:rsid w:val="41C86CFD"/>
    <w:rsid w:val="429E24FE"/>
    <w:rsid w:val="433807AA"/>
    <w:rsid w:val="43A26A8E"/>
    <w:rsid w:val="43F72B79"/>
    <w:rsid w:val="44222311"/>
    <w:rsid w:val="44377CBA"/>
    <w:rsid w:val="447231F1"/>
    <w:rsid w:val="45080E8A"/>
    <w:rsid w:val="455B0481"/>
    <w:rsid w:val="462A4554"/>
    <w:rsid w:val="46C9712E"/>
    <w:rsid w:val="476B0CF4"/>
    <w:rsid w:val="4819542C"/>
    <w:rsid w:val="48367040"/>
    <w:rsid w:val="495A6762"/>
    <w:rsid w:val="497D70A6"/>
    <w:rsid w:val="498838EE"/>
    <w:rsid w:val="4A54394D"/>
    <w:rsid w:val="4AEB774D"/>
    <w:rsid w:val="4AF018C8"/>
    <w:rsid w:val="4B7233D1"/>
    <w:rsid w:val="4DE726A0"/>
    <w:rsid w:val="4DF739E6"/>
    <w:rsid w:val="4E0857D1"/>
    <w:rsid w:val="4E1F75E9"/>
    <w:rsid w:val="4E543DDE"/>
    <w:rsid w:val="4ED33865"/>
    <w:rsid w:val="4F1F2F47"/>
    <w:rsid w:val="4F8861B9"/>
    <w:rsid w:val="4FA90110"/>
    <w:rsid w:val="4FB04F43"/>
    <w:rsid w:val="501451B6"/>
    <w:rsid w:val="50203FF1"/>
    <w:rsid w:val="5090489D"/>
    <w:rsid w:val="50F01501"/>
    <w:rsid w:val="51F31C9E"/>
    <w:rsid w:val="5268713C"/>
    <w:rsid w:val="527C4F83"/>
    <w:rsid w:val="536119DE"/>
    <w:rsid w:val="53DE7BA6"/>
    <w:rsid w:val="541A6BAF"/>
    <w:rsid w:val="5466646A"/>
    <w:rsid w:val="549D7E41"/>
    <w:rsid w:val="54BB15CE"/>
    <w:rsid w:val="55402A33"/>
    <w:rsid w:val="557921A5"/>
    <w:rsid w:val="558E78ED"/>
    <w:rsid w:val="55F34C1E"/>
    <w:rsid w:val="562A2C91"/>
    <w:rsid w:val="56D42C23"/>
    <w:rsid w:val="56F225F5"/>
    <w:rsid w:val="57E75E01"/>
    <w:rsid w:val="58A07C26"/>
    <w:rsid w:val="58CB64BD"/>
    <w:rsid w:val="59403D03"/>
    <w:rsid w:val="5955699E"/>
    <w:rsid w:val="596547F0"/>
    <w:rsid w:val="59735434"/>
    <w:rsid w:val="5A6D1A51"/>
    <w:rsid w:val="5AAE68C9"/>
    <w:rsid w:val="5B8147BE"/>
    <w:rsid w:val="5B9C347F"/>
    <w:rsid w:val="5C4C447D"/>
    <w:rsid w:val="5C6D319F"/>
    <w:rsid w:val="5D0668AF"/>
    <w:rsid w:val="5D2E5076"/>
    <w:rsid w:val="5DDE74C3"/>
    <w:rsid w:val="5E9332D8"/>
    <w:rsid w:val="5F7D5020"/>
    <w:rsid w:val="5FBD4927"/>
    <w:rsid w:val="5FD81790"/>
    <w:rsid w:val="5FFD7183"/>
    <w:rsid w:val="616B7B35"/>
    <w:rsid w:val="61C02E50"/>
    <w:rsid w:val="62400F9F"/>
    <w:rsid w:val="62A32974"/>
    <w:rsid w:val="62A465C7"/>
    <w:rsid w:val="63A0514C"/>
    <w:rsid w:val="64772ADA"/>
    <w:rsid w:val="64845C90"/>
    <w:rsid w:val="64937ECC"/>
    <w:rsid w:val="659B26BD"/>
    <w:rsid w:val="66136B96"/>
    <w:rsid w:val="67022AB0"/>
    <w:rsid w:val="673F2C72"/>
    <w:rsid w:val="67510C51"/>
    <w:rsid w:val="676A4DBB"/>
    <w:rsid w:val="67B04319"/>
    <w:rsid w:val="692D27EA"/>
    <w:rsid w:val="69B46E54"/>
    <w:rsid w:val="69CC6847"/>
    <w:rsid w:val="6AC67AF8"/>
    <w:rsid w:val="6AD36051"/>
    <w:rsid w:val="6B2F0969"/>
    <w:rsid w:val="6B4638B1"/>
    <w:rsid w:val="6B4D1224"/>
    <w:rsid w:val="6B5F7DE8"/>
    <w:rsid w:val="6C53539B"/>
    <w:rsid w:val="6CB245F6"/>
    <w:rsid w:val="6CD55BE9"/>
    <w:rsid w:val="6D2A4729"/>
    <w:rsid w:val="6D3B59A3"/>
    <w:rsid w:val="6E1F6131"/>
    <w:rsid w:val="6E85429D"/>
    <w:rsid w:val="6EB56FB1"/>
    <w:rsid w:val="6EE80766"/>
    <w:rsid w:val="6EF24379"/>
    <w:rsid w:val="6EF934E5"/>
    <w:rsid w:val="6F6822D7"/>
    <w:rsid w:val="6FF46638"/>
    <w:rsid w:val="7073462F"/>
    <w:rsid w:val="70B82DAA"/>
    <w:rsid w:val="714F15D3"/>
    <w:rsid w:val="720B4411"/>
    <w:rsid w:val="724560BC"/>
    <w:rsid w:val="72625390"/>
    <w:rsid w:val="7264460B"/>
    <w:rsid w:val="72B52F05"/>
    <w:rsid w:val="73560F28"/>
    <w:rsid w:val="735B5238"/>
    <w:rsid w:val="738B7900"/>
    <w:rsid w:val="73916786"/>
    <w:rsid w:val="73BE4236"/>
    <w:rsid w:val="73C12ACD"/>
    <w:rsid w:val="73C31615"/>
    <w:rsid w:val="73C55939"/>
    <w:rsid w:val="73CF40BA"/>
    <w:rsid w:val="7475529A"/>
    <w:rsid w:val="74FA3F36"/>
    <w:rsid w:val="75C15E3F"/>
    <w:rsid w:val="763330AB"/>
    <w:rsid w:val="76424E1E"/>
    <w:rsid w:val="765311AA"/>
    <w:rsid w:val="76CB1469"/>
    <w:rsid w:val="7713586F"/>
    <w:rsid w:val="77CB34F6"/>
    <w:rsid w:val="781265B6"/>
    <w:rsid w:val="78D96E4F"/>
    <w:rsid w:val="79761752"/>
    <w:rsid w:val="79FC4835"/>
    <w:rsid w:val="7AA44683"/>
    <w:rsid w:val="7ABA7F61"/>
    <w:rsid w:val="7B1153C7"/>
    <w:rsid w:val="7B7B3CB6"/>
    <w:rsid w:val="7B867909"/>
    <w:rsid w:val="7C37037E"/>
    <w:rsid w:val="7CE86B1E"/>
    <w:rsid w:val="7D575AAC"/>
    <w:rsid w:val="7D880674"/>
    <w:rsid w:val="7D964715"/>
    <w:rsid w:val="7D98514F"/>
    <w:rsid w:val="7DB31E7E"/>
    <w:rsid w:val="7E0473AC"/>
    <w:rsid w:val="7E082D1B"/>
    <w:rsid w:val="7E2272E3"/>
    <w:rsid w:val="7E48583E"/>
    <w:rsid w:val="7E784D07"/>
    <w:rsid w:val="7EBF106A"/>
    <w:rsid w:val="7F4B6E2B"/>
    <w:rsid w:val="7F8534A7"/>
    <w:rsid w:val="7F8F7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9"/>
    <w:qFormat/>
    <w:uiPriority w:val="0"/>
    <w:pPr>
      <w:widowControl w:val="0"/>
      <w:wordWrap w:val="0"/>
      <w:spacing w:line="360" w:lineRule="auto"/>
      <w:ind w:firstLine="643" w:firstLineChars="200"/>
      <w:jc w:val="left"/>
    </w:pPr>
    <w:rPr>
      <w:rFonts w:ascii="Times New Roman" w:hAnsi="Times New Roman" w:eastAsia="仿宋_GB2312" w:cs="Times New Roman"/>
      <w:kern w:val="2"/>
      <w:sz w:val="24"/>
      <w:szCs w:val="21"/>
      <w:lang w:val="en-US" w:eastAsia="zh-CN" w:bidi="ar-SA"/>
    </w:rPr>
  </w:style>
  <w:style w:type="paragraph" w:styleId="4">
    <w:name w:val="heading 1"/>
    <w:basedOn w:val="1"/>
    <w:next w:val="1"/>
    <w:link w:val="75"/>
    <w:qFormat/>
    <w:uiPriority w:val="0"/>
    <w:pPr>
      <w:numPr>
        <w:ilvl w:val="0"/>
        <w:numId w:val="1"/>
      </w:numPr>
      <w:spacing w:beforeAutospacing="1" w:afterAutospacing="1" w:line="360" w:lineRule="auto"/>
      <w:ind w:firstLine="0" w:firstLineChars="0"/>
      <w:jc w:val="center"/>
      <w:outlineLvl w:val="0"/>
    </w:pPr>
    <w:rPr>
      <w:rFonts w:hint="eastAsia" w:ascii="宋体" w:hAnsi="宋体" w:eastAsia="楷体" w:cs="宋体"/>
      <w:b/>
      <w:bCs/>
      <w:kern w:val="44"/>
      <w:szCs w:val="48"/>
    </w:rPr>
  </w:style>
  <w:style w:type="paragraph" w:styleId="5">
    <w:name w:val="heading 2"/>
    <w:basedOn w:val="1"/>
    <w:next w:val="1"/>
    <w:link w:val="68"/>
    <w:semiHidden/>
    <w:unhideWhenUsed/>
    <w:qFormat/>
    <w:uiPriority w:val="0"/>
    <w:pPr>
      <w:keepNext/>
      <w:keepLines/>
      <w:numPr>
        <w:ilvl w:val="1"/>
        <w:numId w:val="2"/>
      </w:numPr>
      <w:tabs>
        <w:tab w:val="left" w:pos="0"/>
      </w:tabs>
      <w:ind w:left="0" w:firstLine="0" w:firstLineChars="0"/>
      <w:jc w:val="center"/>
      <w:outlineLvl w:val="1"/>
    </w:pPr>
    <w:rPr>
      <w:rFonts w:ascii="Arial" w:hAnsi="Arial" w:eastAsia="楷体" w:cs="宋体"/>
      <w:b/>
      <w:bCs/>
      <w:szCs w:val="32"/>
    </w:rPr>
  </w:style>
  <w:style w:type="paragraph" w:styleId="6">
    <w:name w:val="heading 3"/>
    <w:basedOn w:val="1"/>
    <w:next w:val="1"/>
    <w:link w:val="70"/>
    <w:semiHidden/>
    <w:unhideWhenUsed/>
    <w:qFormat/>
    <w:uiPriority w:val="0"/>
    <w:pPr>
      <w:keepNext/>
      <w:keepLines/>
      <w:numPr>
        <w:ilvl w:val="2"/>
        <w:numId w:val="2"/>
      </w:numPr>
      <w:spacing w:line="360" w:lineRule="auto"/>
      <w:ind w:left="0" w:firstLine="400" w:firstLineChars="0"/>
      <w:jc w:val="left"/>
      <w:outlineLvl w:val="2"/>
    </w:pPr>
    <w:rPr>
      <w:rFonts w:ascii="宋体" w:hAnsi="宋体" w:cs="宋体"/>
      <w:b/>
      <w:bCs/>
      <w:szCs w:val="28"/>
    </w:rPr>
  </w:style>
  <w:style w:type="paragraph" w:styleId="7">
    <w:name w:val="heading 4"/>
    <w:basedOn w:val="1"/>
    <w:next w:val="1"/>
    <w:semiHidden/>
    <w:unhideWhenUsed/>
    <w:qFormat/>
    <w:uiPriority w:val="0"/>
    <w:pPr>
      <w:keepNext/>
      <w:keepLines/>
      <w:numPr>
        <w:ilvl w:val="3"/>
        <w:numId w:val="2"/>
      </w:numPr>
      <w:spacing w:beforeLines="0" w:beforeAutospacing="0" w:afterLines="0" w:afterAutospacing="0" w:line="372" w:lineRule="auto"/>
      <w:ind w:firstLine="402" w:firstLineChars="0"/>
      <w:outlineLvl w:val="3"/>
    </w:pPr>
    <w:rPr>
      <w:rFonts w:ascii="Arial" w:hAnsi="Arial" w:eastAsia="黑体"/>
      <w:b/>
      <w:sz w:val="28"/>
    </w:rPr>
  </w:style>
  <w:style w:type="paragraph" w:styleId="8">
    <w:name w:val="heading 5"/>
    <w:basedOn w:val="1"/>
    <w:next w:val="1"/>
    <w:semiHidden/>
    <w:unhideWhenUsed/>
    <w:qFormat/>
    <w:uiPriority w:val="0"/>
    <w:pPr>
      <w:keepNext/>
      <w:keepLines/>
      <w:numPr>
        <w:ilvl w:val="4"/>
        <w:numId w:val="2"/>
      </w:numPr>
      <w:spacing w:before="280" w:beforeLines="0" w:beforeAutospacing="0" w:after="290" w:afterLines="0" w:afterAutospacing="0" w:line="372" w:lineRule="auto"/>
      <w:ind w:firstLine="402" w:firstLineChars="0"/>
      <w:outlineLvl w:val="4"/>
    </w:pPr>
    <w:rPr>
      <w:b/>
      <w:sz w:val="28"/>
    </w:rPr>
  </w:style>
  <w:style w:type="paragraph" w:styleId="9">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firstLine="402" w:firstLineChars="0"/>
      <w:outlineLvl w:val="6"/>
    </w:pPr>
    <w:rPr>
      <w:b/>
      <w:sz w:val="24"/>
    </w:rPr>
  </w:style>
  <w:style w:type="paragraph" w:styleId="11">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7">
    <w:name w:val="Default Paragraph Font"/>
    <w:link w:val="28"/>
    <w:semiHidden/>
    <w:qFormat/>
    <w:uiPriority w:val="0"/>
  </w:style>
  <w:style w:type="table" w:default="1" w:styleId="26">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420"/>
    </w:pPr>
  </w:style>
  <w:style w:type="paragraph" w:customStyle="1" w:styleId="3">
    <w:name w:val="Body Text Indent1"/>
    <w:basedOn w:val="1"/>
    <w:qFormat/>
    <w:uiPriority w:val="0"/>
    <w:pPr>
      <w:ind w:left="420" w:leftChars="200"/>
    </w:pPr>
  </w:style>
  <w:style w:type="paragraph" w:styleId="13">
    <w:name w:val="table of authorities"/>
    <w:basedOn w:val="1"/>
    <w:next w:val="1"/>
    <w:unhideWhenUsed/>
    <w:qFormat/>
    <w:uiPriority w:val="99"/>
    <w:pPr>
      <w:ind w:left="420" w:leftChars="200"/>
    </w:pPr>
    <w:rPr>
      <w:rFonts w:ascii="Calibri" w:hAnsi="Calibri" w:eastAsia="宋体" w:cs="Times New Roman"/>
    </w:rPr>
  </w:style>
  <w:style w:type="paragraph" w:styleId="14">
    <w:name w:val="Normal Indent"/>
    <w:basedOn w:val="1"/>
    <w:next w:val="13"/>
    <w:link w:val="74"/>
    <w:qFormat/>
    <w:uiPriority w:val="0"/>
    <w:pPr>
      <w:tabs>
        <w:tab w:val="left" w:pos="420"/>
      </w:tabs>
      <w:ind w:firstLine="420" w:firstLineChars="200"/>
    </w:pPr>
    <w:rPr>
      <w:rFonts w:eastAsia="楷体"/>
    </w:rPr>
  </w:style>
  <w:style w:type="paragraph" w:styleId="15">
    <w:name w:val="Document Map"/>
    <w:basedOn w:val="1"/>
    <w:semiHidden/>
    <w:qFormat/>
    <w:uiPriority w:val="0"/>
    <w:pPr>
      <w:shd w:val="clear" w:color="auto" w:fill="000080"/>
    </w:pPr>
  </w:style>
  <w:style w:type="paragraph" w:styleId="16">
    <w:name w:val="Body Text"/>
    <w:basedOn w:val="1"/>
    <w:next w:val="1"/>
    <w:qFormat/>
    <w:uiPriority w:val="0"/>
    <w:pPr>
      <w:spacing w:after="120" w:line="360" w:lineRule="auto"/>
      <w:ind w:firstLine="643" w:firstLineChars="200"/>
      <w:jc w:val="left"/>
    </w:pPr>
    <w:rPr>
      <w:rFonts w:ascii="Calibri" w:hAnsi="Calibri"/>
      <w:sz w:val="32"/>
      <w:szCs w:val="22"/>
    </w:rPr>
  </w:style>
  <w:style w:type="paragraph" w:styleId="17">
    <w:name w:val="Body Text Indent"/>
    <w:basedOn w:val="1"/>
    <w:qFormat/>
    <w:uiPriority w:val="0"/>
    <w:pPr>
      <w:spacing w:after="120" w:afterLines="0" w:afterAutospacing="0"/>
      <w:ind w:left="420" w:leftChars="200"/>
    </w:pPr>
  </w:style>
  <w:style w:type="paragraph" w:styleId="18">
    <w:name w:val="Plain Text"/>
    <w:basedOn w:val="1"/>
    <w:next w:val="1"/>
    <w:qFormat/>
    <w:uiPriority w:val="0"/>
    <w:pPr>
      <w:suppressAutoHyphens w:val="0"/>
      <w:spacing w:line="240" w:lineRule="auto"/>
      <w:ind w:firstLine="0" w:firstLineChars="0"/>
      <w:jc w:val="left"/>
    </w:pPr>
    <w:rPr>
      <w:kern w:val="2"/>
      <w:sz w:val="21"/>
      <w:szCs w:val="21"/>
    </w:rPr>
  </w:style>
  <w:style w:type="paragraph" w:styleId="1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style>
  <w:style w:type="paragraph" w:styleId="21">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22">
    <w:name w:val="toc 2"/>
    <w:basedOn w:val="1"/>
    <w:next w:val="1"/>
    <w:qFormat/>
    <w:uiPriority w:val="0"/>
    <w:pPr>
      <w:ind w:left="420" w:leftChars="200"/>
    </w:pPr>
  </w:style>
  <w:style w:type="paragraph" w:styleId="2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24">
    <w:name w:val="Body Text First Indent"/>
    <w:basedOn w:val="16"/>
    <w:next w:val="1"/>
    <w:unhideWhenUsed/>
    <w:qFormat/>
    <w:uiPriority w:val="99"/>
    <w:pPr>
      <w:ind w:firstLine="420" w:firstLineChars="100"/>
    </w:pPr>
  </w:style>
  <w:style w:type="paragraph" w:styleId="25">
    <w:name w:val="Body Text First Indent 2"/>
    <w:basedOn w:val="17"/>
    <w:qFormat/>
    <w:uiPriority w:val="0"/>
    <w:pPr>
      <w:ind w:firstLine="420" w:firstLineChars="200"/>
    </w:pPr>
  </w:style>
  <w:style w:type="paragraph" w:customStyle="1" w:styleId="28">
    <w:name w:val=" Char1121411"/>
    <w:basedOn w:val="15"/>
    <w:link w:val="27"/>
    <w:qFormat/>
    <w:uiPriority w:val="0"/>
    <w:rPr>
      <w:szCs w:val="24"/>
    </w:rPr>
  </w:style>
  <w:style w:type="paragraph" w:customStyle="1" w:styleId="29">
    <w:name w:val=" Char112121"/>
    <w:basedOn w:val="15"/>
    <w:link w:val="27"/>
    <w:qFormat/>
    <w:uiPriority w:val="0"/>
    <w:rPr>
      <w:szCs w:val="24"/>
    </w:rPr>
  </w:style>
  <w:style w:type="paragraph" w:customStyle="1" w:styleId="30">
    <w:name w:val=" Char11214134"/>
    <w:basedOn w:val="15"/>
    <w:link w:val="27"/>
    <w:qFormat/>
    <w:uiPriority w:val="0"/>
    <w:rPr>
      <w:szCs w:val="24"/>
    </w:rPr>
  </w:style>
  <w:style w:type="paragraph" w:customStyle="1" w:styleId="31">
    <w:name w:val=" Char11214133"/>
    <w:basedOn w:val="15"/>
    <w:link w:val="27"/>
    <w:qFormat/>
    <w:uiPriority w:val="0"/>
    <w:rPr>
      <w:szCs w:val="24"/>
    </w:rPr>
  </w:style>
  <w:style w:type="paragraph" w:customStyle="1" w:styleId="32">
    <w:name w:val=" Char1121413"/>
    <w:basedOn w:val="15"/>
    <w:link w:val="27"/>
    <w:qFormat/>
    <w:uiPriority w:val="0"/>
    <w:rPr>
      <w:szCs w:val="24"/>
    </w:rPr>
  </w:style>
  <w:style w:type="paragraph" w:customStyle="1" w:styleId="33">
    <w:name w:val="样式311"/>
    <w:basedOn w:val="18"/>
    <w:next w:val="1"/>
    <w:qFormat/>
    <w:uiPriority w:val="99"/>
    <w:pPr>
      <w:spacing w:line="0" w:lineRule="atLeast"/>
      <w:outlineLvl w:val="0"/>
    </w:pPr>
    <w:rPr>
      <w:sz w:val="28"/>
    </w:rPr>
  </w:style>
  <w:style w:type="paragraph" w:customStyle="1" w:styleId="34">
    <w:name w:val=" Char11214132"/>
    <w:basedOn w:val="15"/>
    <w:link w:val="27"/>
    <w:qFormat/>
    <w:uiPriority w:val="0"/>
    <w:rPr>
      <w:szCs w:val="24"/>
    </w:rPr>
  </w:style>
  <w:style w:type="paragraph" w:customStyle="1" w:styleId="35">
    <w:name w:val="样式3"/>
    <w:basedOn w:val="18"/>
    <w:next w:val="1"/>
    <w:qFormat/>
    <w:uiPriority w:val="99"/>
    <w:pPr>
      <w:spacing w:line="0" w:lineRule="atLeast"/>
      <w:outlineLvl w:val="0"/>
    </w:pPr>
    <w:rPr>
      <w:sz w:val="28"/>
    </w:rPr>
  </w:style>
  <w:style w:type="paragraph" w:customStyle="1" w:styleId="36">
    <w:name w:val=" Char11214131"/>
    <w:basedOn w:val="15"/>
    <w:link w:val="27"/>
    <w:qFormat/>
    <w:uiPriority w:val="0"/>
    <w:rPr>
      <w:szCs w:val="24"/>
    </w:rPr>
  </w:style>
  <w:style w:type="paragraph" w:customStyle="1" w:styleId="37">
    <w:name w:val=" Char112141"/>
    <w:basedOn w:val="15"/>
    <w:link w:val="27"/>
    <w:qFormat/>
    <w:uiPriority w:val="0"/>
    <w:rPr>
      <w:szCs w:val="24"/>
    </w:rPr>
  </w:style>
  <w:style w:type="paragraph" w:customStyle="1" w:styleId="38">
    <w:name w:val=" Char1121414"/>
    <w:basedOn w:val="15"/>
    <w:link w:val="27"/>
    <w:qFormat/>
    <w:uiPriority w:val="0"/>
    <w:rPr>
      <w:szCs w:val="24"/>
    </w:rPr>
  </w:style>
  <w:style w:type="paragraph" w:customStyle="1" w:styleId="39">
    <w:name w:val=" Char1121115"/>
    <w:basedOn w:val="15"/>
    <w:link w:val="27"/>
    <w:qFormat/>
    <w:uiPriority w:val="0"/>
    <w:pPr>
      <w:tabs>
        <w:tab w:val="left" w:pos="0"/>
      </w:tabs>
    </w:pPr>
    <w:rPr>
      <w:szCs w:val="24"/>
    </w:rPr>
  </w:style>
  <w:style w:type="paragraph" w:customStyle="1" w:styleId="40">
    <w:name w:val=" Char112131"/>
    <w:basedOn w:val="15"/>
    <w:link w:val="27"/>
    <w:qFormat/>
    <w:uiPriority w:val="0"/>
    <w:pPr>
      <w:tabs>
        <w:tab w:val="left" w:pos="0"/>
      </w:tabs>
    </w:pPr>
    <w:rPr>
      <w:szCs w:val="24"/>
    </w:rPr>
  </w:style>
  <w:style w:type="paragraph" w:customStyle="1" w:styleId="41">
    <w:name w:val=" Char1121111"/>
    <w:basedOn w:val="15"/>
    <w:link w:val="27"/>
    <w:qFormat/>
    <w:uiPriority w:val="0"/>
    <w:rPr>
      <w:szCs w:val="24"/>
    </w:rPr>
  </w:style>
  <w:style w:type="paragraph" w:customStyle="1" w:styleId="42">
    <w:name w:val=" Char11211113"/>
    <w:basedOn w:val="15"/>
    <w:link w:val="27"/>
    <w:qFormat/>
    <w:uiPriority w:val="0"/>
    <w:rPr>
      <w:szCs w:val="24"/>
    </w:rPr>
  </w:style>
  <w:style w:type="paragraph" w:customStyle="1" w:styleId="43">
    <w:name w:val=" Char11211112"/>
    <w:basedOn w:val="15"/>
    <w:link w:val="27"/>
    <w:qFormat/>
    <w:uiPriority w:val="0"/>
    <w:rPr>
      <w:szCs w:val="24"/>
    </w:rPr>
  </w:style>
  <w:style w:type="paragraph" w:customStyle="1" w:styleId="44">
    <w:name w:val=" Char112111222"/>
    <w:basedOn w:val="15"/>
    <w:link w:val="27"/>
    <w:qFormat/>
    <w:uiPriority w:val="0"/>
    <w:rPr>
      <w:szCs w:val="24"/>
    </w:rPr>
  </w:style>
  <w:style w:type="paragraph" w:customStyle="1" w:styleId="45">
    <w:name w:val=" Char112111111"/>
    <w:basedOn w:val="15"/>
    <w:link w:val="27"/>
    <w:qFormat/>
    <w:uiPriority w:val="0"/>
    <w:rPr>
      <w:szCs w:val="24"/>
    </w:rPr>
  </w:style>
  <w:style w:type="paragraph" w:customStyle="1" w:styleId="46">
    <w:name w:val=" Char11211111"/>
    <w:basedOn w:val="15"/>
    <w:link w:val="27"/>
    <w:qFormat/>
    <w:uiPriority w:val="0"/>
    <w:rPr>
      <w:szCs w:val="24"/>
    </w:rPr>
  </w:style>
  <w:style w:type="paragraph" w:customStyle="1" w:styleId="47">
    <w:name w:val=" Char11211131"/>
    <w:basedOn w:val="15"/>
    <w:link w:val="27"/>
    <w:qFormat/>
    <w:uiPriority w:val="0"/>
    <w:rPr>
      <w:szCs w:val="24"/>
    </w:rPr>
  </w:style>
  <w:style w:type="paragraph" w:customStyle="1" w:styleId="48">
    <w:name w:val=" Char1121113"/>
    <w:basedOn w:val="15"/>
    <w:link w:val="27"/>
    <w:qFormat/>
    <w:uiPriority w:val="0"/>
    <w:rPr>
      <w:szCs w:val="24"/>
    </w:rPr>
  </w:style>
  <w:style w:type="paragraph" w:customStyle="1" w:styleId="49">
    <w:name w:val=" Char112111221"/>
    <w:basedOn w:val="15"/>
    <w:link w:val="27"/>
    <w:qFormat/>
    <w:uiPriority w:val="0"/>
    <w:rPr>
      <w:szCs w:val="24"/>
    </w:rPr>
  </w:style>
  <w:style w:type="paragraph" w:customStyle="1" w:styleId="50">
    <w:name w:val=" Char11211122"/>
    <w:basedOn w:val="15"/>
    <w:link w:val="27"/>
    <w:qFormat/>
    <w:uiPriority w:val="0"/>
    <w:rPr>
      <w:szCs w:val="24"/>
    </w:rPr>
  </w:style>
  <w:style w:type="paragraph" w:customStyle="1" w:styleId="51">
    <w:name w:val=" Char1121112"/>
    <w:basedOn w:val="15"/>
    <w:link w:val="27"/>
    <w:qFormat/>
    <w:uiPriority w:val="0"/>
    <w:rPr>
      <w:szCs w:val="24"/>
    </w:rPr>
  </w:style>
  <w:style w:type="paragraph" w:customStyle="1" w:styleId="52">
    <w:name w:val=" Char11211121"/>
    <w:basedOn w:val="15"/>
    <w:link w:val="27"/>
    <w:qFormat/>
    <w:uiPriority w:val="0"/>
    <w:rPr>
      <w:szCs w:val="24"/>
    </w:rPr>
  </w:style>
  <w:style w:type="paragraph" w:customStyle="1" w:styleId="53">
    <w:name w:val=" Char112111"/>
    <w:basedOn w:val="15"/>
    <w:link w:val="27"/>
    <w:qFormat/>
    <w:uiPriority w:val="0"/>
    <w:rPr>
      <w:szCs w:val="24"/>
    </w:rPr>
  </w:style>
  <w:style w:type="paragraph" w:customStyle="1" w:styleId="54">
    <w:name w:val=" Char1121114"/>
    <w:basedOn w:val="15"/>
    <w:link w:val="27"/>
    <w:qFormat/>
    <w:uiPriority w:val="0"/>
    <w:rPr>
      <w:szCs w:val="24"/>
    </w:rPr>
  </w:style>
  <w:style w:type="paragraph" w:customStyle="1" w:styleId="55">
    <w:name w:val=" Char1121"/>
    <w:basedOn w:val="15"/>
    <w:link w:val="27"/>
    <w:qFormat/>
    <w:uiPriority w:val="0"/>
    <w:rPr>
      <w:szCs w:val="24"/>
    </w:rPr>
  </w:style>
  <w:style w:type="paragraph" w:customStyle="1" w:styleId="56">
    <w:name w:val=" Char11212"/>
    <w:basedOn w:val="15"/>
    <w:link w:val="27"/>
    <w:qFormat/>
    <w:uiPriority w:val="0"/>
    <w:rPr>
      <w:szCs w:val="24"/>
    </w:rPr>
  </w:style>
  <w:style w:type="paragraph" w:customStyle="1" w:styleId="57">
    <w:name w:val=" Char112122"/>
    <w:basedOn w:val="15"/>
    <w:link w:val="27"/>
    <w:qFormat/>
    <w:uiPriority w:val="0"/>
    <w:rPr>
      <w:szCs w:val="24"/>
    </w:rPr>
  </w:style>
  <w:style w:type="paragraph" w:customStyle="1" w:styleId="58">
    <w:name w:val=" Char11214121"/>
    <w:basedOn w:val="15"/>
    <w:link w:val="27"/>
    <w:qFormat/>
    <w:uiPriority w:val="0"/>
    <w:rPr>
      <w:szCs w:val="24"/>
    </w:rPr>
  </w:style>
  <w:style w:type="paragraph" w:customStyle="1" w:styleId="59">
    <w:name w:val=" Char11214122"/>
    <w:basedOn w:val="15"/>
    <w:link w:val="27"/>
    <w:qFormat/>
    <w:uiPriority w:val="0"/>
    <w:rPr>
      <w:szCs w:val="24"/>
    </w:rPr>
  </w:style>
  <w:style w:type="paragraph" w:customStyle="1" w:styleId="60">
    <w:name w:val=" Char1121412"/>
    <w:basedOn w:val="15"/>
    <w:link w:val="27"/>
    <w:qFormat/>
    <w:uiPriority w:val="0"/>
    <w:rPr>
      <w:szCs w:val="24"/>
    </w:rPr>
  </w:style>
  <w:style w:type="paragraph" w:customStyle="1" w:styleId="61">
    <w:name w:val=" Char11214111"/>
    <w:basedOn w:val="15"/>
    <w:link w:val="27"/>
    <w:qFormat/>
    <w:uiPriority w:val="0"/>
    <w:rPr>
      <w:szCs w:val="24"/>
    </w:rPr>
  </w:style>
  <w:style w:type="character" w:customStyle="1" w:styleId="62">
    <w:name w:val="标题 1 Char"/>
    <w:basedOn w:val="27"/>
    <w:link w:val="4"/>
    <w:qFormat/>
    <w:uiPriority w:val="0"/>
    <w:rPr>
      <w:rFonts w:ascii="宋体" w:hAnsi="宋体" w:eastAsia="楷体" w:cs="宋体"/>
      <w:b/>
      <w:kern w:val="44"/>
      <w:sz w:val="32"/>
      <w:lang w:eastAsia="zh-CN"/>
    </w:rPr>
  </w:style>
  <w:style w:type="paragraph" w:customStyle="1" w:styleId="63">
    <w:name w:val="引用1"/>
    <w:next w:val="1"/>
    <w:qFormat/>
    <w:uiPriority w:val="0"/>
    <w:pPr>
      <w:wordWrap w:val="0"/>
      <w:spacing w:before="200" w:after="160"/>
      <w:ind w:left="864" w:right="864"/>
      <w:jc w:val="center"/>
    </w:pPr>
    <w:rPr>
      <w:rFonts w:ascii="宋体" w:hAnsi="宋体" w:eastAsia="Times New Roman" w:cs="宋体"/>
      <w:i/>
      <w:sz w:val="21"/>
      <w:lang w:val="en-US" w:eastAsia="zh-CN" w:bidi="ar-SA"/>
    </w:rPr>
  </w:style>
  <w:style w:type="paragraph" w:customStyle="1" w:styleId="64">
    <w:name w:val="样式31"/>
    <w:basedOn w:val="18"/>
    <w:next w:val="1"/>
    <w:qFormat/>
    <w:uiPriority w:val="99"/>
    <w:pPr>
      <w:spacing w:line="0" w:lineRule="atLeast"/>
      <w:outlineLvl w:val="0"/>
    </w:pPr>
    <w:rPr>
      <w:sz w:val="28"/>
    </w:rPr>
  </w:style>
  <w:style w:type="paragraph" w:customStyle="1" w:styleId="65">
    <w:name w:val="BodyText"/>
    <w:basedOn w:val="1"/>
    <w:next w:val="66"/>
    <w:qFormat/>
    <w:uiPriority w:val="0"/>
    <w:pPr>
      <w:widowControl/>
      <w:spacing w:after="120" w:line="276" w:lineRule="auto"/>
      <w:jc w:val="left"/>
    </w:pPr>
    <w:rPr>
      <w:rFonts w:ascii="Calibri" w:hAnsi="Calibri" w:eastAsia="Times New Roman"/>
      <w:kern w:val="0"/>
      <w:sz w:val="24"/>
      <w:szCs w:val="22"/>
      <w:lang w:val="en-US" w:eastAsia="en-US" w:bidi="ar-SA"/>
    </w:rPr>
  </w:style>
  <w:style w:type="paragraph" w:customStyle="1" w:styleId="66">
    <w:name w:val="UserStyle_2"/>
    <w:next w:val="1"/>
    <w:qFormat/>
    <w:uiPriority w:val="0"/>
    <w:pPr>
      <w:spacing w:before="200" w:after="160"/>
      <w:ind w:left="864" w:right="864"/>
      <w:jc w:val="center"/>
      <w:textAlignment w:val="baseline"/>
    </w:pPr>
    <w:rPr>
      <w:rFonts w:ascii="Times New Roman" w:hAnsi="Times New Roman" w:eastAsia="宋体" w:cs="Times New Roman"/>
      <w:i/>
      <w:sz w:val="21"/>
      <w:lang w:val="en-US" w:eastAsia="zh-CN" w:bidi="ar-SA"/>
    </w:rPr>
  </w:style>
  <w:style w:type="paragraph" w:customStyle="1" w:styleId="67">
    <w:name w:val="引用112"/>
    <w:next w:val="1"/>
    <w:qFormat/>
    <w:uiPriority w:val="0"/>
    <w:pPr>
      <w:wordWrap w:val="0"/>
      <w:spacing w:before="200" w:after="160"/>
      <w:ind w:left="864" w:right="864"/>
      <w:jc w:val="center"/>
    </w:pPr>
    <w:rPr>
      <w:rFonts w:ascii="宋体" w:hAnsi="宋体" w:eastAsia="Times New Roman" w:cs="宋体"/>
      <w:i/>
      <w:sz w:val="21"/>
      <w:lang w:val="en-US" w:eastAsia="zh-CN" w:bidi="ar-SA"/>
    </w:rPr>
  </w:style>
  <w:style w:type="character" w:customStyle="1" w:styleId="68">
    <w:name w:val="标题 2 Char"/>
    <w:link w:val="5"/>
    <w:qFormat/>
    <w:uiPriority w:val="0"/>
    <w:rPr>
      <w:rFonts w:ascii="Arial" w:hAnsi="Arial" w:eastAsia="楷体" w:cs="宋体"/>
      <w:b/>
      <w:bCs/>
      <w:sz w:val="32"/>
      <w:szCs w:val="32"/>
      <w:lang w:eastAsia="zh-CN"/>
    </w:rPr>
  </w:style>
  <w:style w:type="character" w:customStyle="1" w:styleId="69">
    <w:name w:val="NormalCharacter"/>
    <w:link w:val="1"/>
    <w:qFormat/>
    <w:uiPriority w:val="0"/>
    <w:rPr>
      <w:rFonts w:ascii="Arial" w:hAnsi="Arial" w:eastAsia="仿宋" w:cs="宋体"/>
      <w:kern w:val="2"/>
      <w:sz w:val="32"/>
      <w:szCs w:val="24"/>
      <w:lang w:val="en-US" w:eastAsia="zh-CN" w:bidi="ar-SA"/>
    </w:rPr>
  </w:style>
  <w:style w:type="character" w:customStyle="1" w:styleId="70">
    <w:name w:val="标题 3 字符"/>
    <w:basedOn w:val="27"/>
    <w:link w:val="6"/>
    <w:qFormat/>
    <w:uiPriority w:val="9"/>
    <w:rPr>
      <w:rFonts w:ascii="宋体" w:hAnsi="宋体" w:eastAsia="黑体" w:cs="宋体"/>
      <w:b/>
      <w:bCs/>
      <w:color w:val="000000"/>
      <w:kern w:val="0"/>
      <w:szCs w:val="28"/>
    </w:rPr>
  </w:style>
  <w:style w:type="paragraph" w:customStyle="1" w:styleId="71">
    <w:name w:val="样式32"/>
    <w:basedOn w:val="18"/>
    <w:next w:val="1"/>
    <w:qFormat/>
    <w:uiPriority w:val="99"/>
    <w:pPr>
      <w:spacing w:line="0" w:lineRule="atLeast"/>
      <w:outlineLvl w:val="0"/>
    </w:pPr>
    <w:rPr>
      <w:sz w:val="28"/>
    </w:rPr>
  </w:style>
  <w:style w:type="paragraph" w:customStyle="1" w:styleId="72">
    <w:name w:val="引用111"/>
    <w:next w:val="1"/>
    <w:qFormat/>
    <w:uiPriority w:val="0"/>
    <w:pPr>
      <w:wordWrap w:val="0"/>
      <w:spacing w:before="200" w:after="160"/>
      <w:ind w:left="864" w:right="864"/>
      <w:jc w:val="center"/>
    </w:pPr>
    <w:rPr>
      <w:rFonts w:ascii="宋体" w:hAnsi="宋体" w:eastAsia="Times New Roman" w:cs="宋体"/>
      <w:i/>
      <w:sz w:val="21"/>
      <w:lang w:val="en-US" w:eastAsia="zh-CN" w:bidi="ar-SA"/>
    </w:rPr>
  </w:style>
  <w:style w:type="paragraph" w:customStyle="1" w:styleId="73">
    <w:name w:val="引用1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74">
    <w:name w:val="正文（首行缩进两字） Char1"/>
    <w:link w:val="14"/>
    <w:qFormat/>
    <w:uiPriority w:val="0"/>
    <w:rPr>
      <w:rFonts w:ascii="宋体" w:hAnsi="宋体" w:eastAsia="楷体" w:cs="Times New Roman"/>
      <w:kern w:val="2"/>
      <w:sz w:val="24"/>
      <w:szCs w:val="24"/>
      <w:lang w:val="en-US" w:eastAsia="zh-CN" w:bidi="ar-SA"/>
    </w:rPr>
  </w:style>
  <w:style w:type="character" w:customStyle="1" w:styleId="75">
    <w:name w:val="Heading 1 Char"/>
    <w:basedOn w:val="27"/>
    <w:link w:val="4"/>
    <w:qFormat/>
    <w:locked/>
    <w:uiPriority w:val="99"/>
    <w:rPr>
      <w:rFonts w:ascii="Times New Roman" w:hAnsi="Times New Roman" w:eastAsia="黑体" w:cs="Times New Roman"/>
      <w:b/>
      <w:bCs/>
      <w:kern w:val="44"/>
      <w:sz w:val="30"/>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2023-11-30T07:52:00Z</dcterms:created>
  <dc:creator>哈哈哈</dc:creator>
  <cp:lastModifiedBy>哈哈哈</cp:lastModifiedBy>
  <dcterms:modified xsi:type="dcterms:W3CDTF">2023-11-30T07:52:55Z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C4C761FD66A94DACA20286A391BC812F_11</vt:lpwstr>
  </property>
</Properties>
</file>