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ascii="宋体" w:hAnsi="宋体"/>
          <w:b/>
          <w:sz w:val="30"/>
          <w:szCs w:val="30"/>
        </w:rPr>
      </w:pPr>
      <w:bookmarkStart w:id="0" w:name="OLE_LINK4"/>
      <w:bookmarkStart w:id="1" w:name="OLE_LINK5"/>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jc w:val="center"/>
        <w:rPr>
          <w:rFonts w:ascii="宋体" w:hAnsi="宋体"/>
          <w:sz w:val="72"/>
          <w:szCs w:val="72"/>
        </w:rPr>
      </w:pPr>
      <w:bookmarkStart w:id="2" w:name="_Toc301277397"/>
      <w:bookmarkStart w:id="3" w:name="OLE_LINK13"/>
      <w:bookmarkStart w:id="4" w:name="OLE_LINK8"/>
      <w:bookmarkStart w:id="5" w:name="OLE_LINK14"/>
      <w:bookmarkStart w:id="6" w:name="OLE_LINK3"/>
      <w:bookmarkStart w:id="12" w:name="_GoBack"/>
      <w:r>
        <w:rPr>
          <w:rFonts w:hint="eastAsia" w:asciiTheme="minorEastAsia" w:hAnsiTheme="minorEastAsia" w:eastAsiaTheme="minorEastAsia"/>
          <w:b/>
          <w:color w:val="333333"/>
          <w:sz w:val="48"/>
          <w:szCs w:val="48"/>
          <w:shd w:val="clear" w:color="auto" w:fill="FFFFFF"/>
        </w:rPr>
        <w:t>思念食品遂平新基地弱电、基础网络、视频监控、园区消费考勤项目</w:t>
      </w:r>
    </w:p>
    <w:p>
      <w:pPr>
        <w:spacing w:line="360" w:lineRule="auto"/>
        <w:ind w:firstLine="640" w:firstLineChars="177"/>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 xml:space="preserve"> 招标公告</w:t>
      </w:r>
    </w:p>
    <w:p>
      <w:pPr>
        <w:spacing w:line="360" w:lineRule="auto"/>
        <w:ind w:firstLine="371" w:firstLineChars="177"/>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郑州思念食品有限公司招标部根据公司招标的要求，就</w:t>
      </w:r>
      <w:r>
        <w:rPr>
          <w:rFonts w:hint="eastAsia" w:asciiTheme="minorEastAsia" w:hAnsiTheme="minorEastAsia" w:eastAsiaTheme="minorEastAsia"/>
          <w:b/>
          <w:sz w:val="21"/>
          <w:szCs w:val="21"/>
          <w:u w:val="single"/>
          <w:lang w:eastAsia="zh-CN"/>
        </w:rPr>
        <w:t>思念食品遂平新基地弱电、基础网络、视频监控、园区消费考勤项目</w:t>
      </w:r>
      <w:r>
        <w:rPr>
          <w:rFonts w:hint="eastAsia" w:asciiTheme="minorEastAsia" w:hAnsiTheme="minorEastAsia" w:eastAsiaTheme="minorEastAsia"/>
          <w:color w:val="000000"/>
          <w:sz w:val="21"/>
          <w:szCs w:val="21"/>
        </w:rPr>
        <w:t>进行公开招标，现将招标标事宜通知如下：</w:t>
      </w:r>
    </w:p>
    <w:p>
      <w:pPr>
        <w:spacing w:line="360" w:lineRule="auto"/>
        <w:ind w:firstLine="402" w:firstLineChars="200"/>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w:t>
      </w:r>
      <w:r>
        <w:rPr>
          <w:rFonts w:hint="eastAsia" w:asciiTheme="minorEastAsia" w:hAnsiTheme="minorEastAsia" w:eastAsiaTheme="minorEastAsia"/>
          <w:b/>
          <w:szCs w:val="21"/>
        </w:rPr>
        <w:t>招标内容：</w:t>
      </w:r>
      <w:r>
        <w:rPr>
          <w:rFonts w:hint="eastAsia" w:asciiTheme="minorEastAsia" w:hAnsiTheme="minorEastAsia" w:eastAsiaTheme="minorEastAsia"/>
          <w:b/>
          <w:szCs w:val="21"/>
          <w:u w:val="single"/>
          <w:lang w:eastAsia="zh-CN"/>
        </w:rPr>
        <w:t>思念食品遂平新基地弱电、基础网络、视频监控、园区消费考勤项目</w:t>
      </w:r>
      <w:r>
        <w:rPr>
          <w:rFonts w:hint="eastAsia" w:asciiTheme="minorEastAsia" w:hAnsiTheme="minorEastAsia" w:eastAsiaTheme="minorEastAsia"/>
          <w:b/>
          <w:szCs w:val="21"/>
        </w:rPr>
        <w:t>，详见第三章“招标内容及要求”。</w:t>
      </w:r>
    </w:p>
    <w:p>
      <w:pPr>
        <w:spacing w:line="360" w:lineRule="auto"/>
        <w:ind w:firstLine="371" w:firstLineChars="176"/>
        <w:rPr>
          <w:rFonts w:asciiTheme="minorEastAsia" w:hAnsiTheme="minorEastAsia" w:eastAsiaTheme="minorEastAsia"/>
          <w:b/>
          <w:sz w:val="21"/>
          <w:szCs w:val="21"/>
        </w:rPr>
      </w:pPr>
      <w:r>
        <w:rPr>
          <w:rFonts w:hint="eastAsia" w:asciiTheme="minorEastAsia" w:hAnsiTheme="minorEastAsia" w:eastAsiaTheme="minorEastAsia"/>
          <w:b/>
          <w:color w:val="000000"/>
          <w:sz w:val="21"/>
          <w:szCs w:val="21"/>
          <w:highlight w:val="yellow"/>
        </w:rPr>
        <w:t>2.招标公告取得时间：202</w:t>
      </w:r>
      <w:r>
        <w:rPr>
          <w:rFonts w:asciiTheme="minorEastAsia" w:hAnsiTheme="minorEastAsia" w:eastAsiaTheme="minorEastAsia"/>
          <w:b/>
          <w:color w:val="000000"/>
          <w:sz w:val="21"/>
          <w:szCs w:val="21"/>
          <w:highlight w:val="yellow"/>
        </w:rPr>
        <w:t>2</w:t>
      </w:r>
      <w:r>
        <w:rPr>
          <w:rFonts w:hint="eastAsia" w:asciiTheme="minorEastAsia" w:hAnsiTheme="minorEastAsia" w:eastAsiaTheme="minorEastAsia"/>
          <w:b/>
          <w:color w:val="000000"/>
          <w:sz w:val="21"/>
          <w:szCs w:val="21"/>
          <w:highlight w:val="yellow"/>
        </w:rPr>
        <w:t>年</w:t>
      </w:r>
      <w:r>
        <w:rPr>
          <w:rFonts w:hint="eastAsia" w:asciiTheme="minorEastAsia" w:hAnsiTheme="minorEastAsia" w:eastAsiaTheme="minorEastAsia"/>
          <w:b/>
          <w:color w:val="000000"/>
          <w:sz w:val="21"/>
          <w:szCs w:val="21"/>
          <w:highlight w:val="yellow"/>
          <w:lang w:val="en-US" w:eastAsia="zh-CN"/>
        </w:rPr>
        <w:t>6</w:t>
      </w:r>
      <w:r>
        <w:rPr>
          <w:rFonts w:hint="eastAsia"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21</w:t>
      </w:r>
      <w:r>
        <w:rPr>
          <w:rFonts w:hint="eastAsia" w:asciiTheme="minorEastAsia" w:hAnsiTheme="minorEastAsia" w:eastAsiaTheme="minorEastAsia"/>
          <w:b/>
          <w:color w:val="000000"/>
          <w:sz w:val="21"/>
          <w:szCs w:val="21"/>
          <w:highlight w:val="yellow"/>
        </w:rPr>
        <w:t>日</w:t>
      </w:r>
      <w:r>
        <w:rPr>
          <w:rFonts w:asciiTheme="minorEastAsia" w:hAnsiTheme="minorEastAsia" w:eastAsiaTheme="minorEastAsia"/>
          <w:b/>
          <w:color w:val="000000"/>
          <w:sz w:val="21"/>
          <w:szCs w:val="21"/>
          <w:highlight w:val="yellow"/>
        </w:rPr>
        <w:t>—</w:t>
      </w:r>
      <w:r>
        <w:rPr>
          <w:rFonts w:hint="eastAsia" w:asciiTheme="minorEastAsia" w:hAnsiTheme="minorEastAsia" w:eastAsiaTheme="minorEastAsia"/>
          <w:b/>
          <w:color w:val="000000"/>
          <w:sz w:val="21"/>
          <w:szCs w:val="21"/>
          <w:highlight w:val="yellow"/>
        </w:rPr>
        <w:t>202</w:t>
      </w:r>
      <w:r>
        <w:rPr>
          <w:rFonts w:asciiTheme="minorEastAsia" w:hAnsiTheme="minorEastAsia" w:eastAsiaTheme="minorEastAsia"/>
          <w:b/>
          <w:color w:val="000000"/>
          <w:sz w:val="21"/>
          <w:szCs w:val="21"/>
          <w:highlight w:val="yellow"/>
        </w:rPr>
        <w:t>2</w:t>
      </w:r>
      <w:r>
        <w:rPr>
          <w:rFonts w:hint="eastAsia" w:asciiTheme="minorEastAsia" w:hAnsiTheme="minorEastAsia" w:eastAsiaTheme="minorEastAsia"/>
          <w:b/>
          <w:color w:val="000000"/>
          <w:sz w:val="21"/>
          <w:szCs w:val="21"/>
          <w:highlight w:val="yellow"/>
        </w:rPr>
        <w:t>年</w:t>
      </w:r>
      <w:r>
        <w:rPr>
          <w:rFonts w:hint="eastAsia" w:asciiTheme="minorEastAsia" w:hAnsiTheme="minorEastAsia" w:eastAsiaTheme="minorEastAsia"/>
          <w:b/>
          <w:color w:val="000000"/>
          <w:sz w:val="21"/>
          <w:szCs w:val="21"/>
          <w:highlight w:val="yellow"/>
          <w:lang w:val="en-US" w:eastAsia="zh-CN"/>
        </w:rPr>
        <w:t>7</w:t>
      </w:r>
      <w:r>
        <w:rPr>
          <w:rFonts w:hint="eastAsia"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6</w:t>
      </w:r>
      <w:r>
        <w:rPr>
          <w:rFonts w:hint="eastAsia" w:asciiTheme="minorEastAsia" w:hAnsiTheme="minorEastAsia" w:eastAsiaTheme="minorEastAsia"/>
          <w:b/>
          <w:color w:val="000000"/>
          <w:sz w:val="21"/>
          <w:szCs w:val="21"/>
          <w:highlight w:val="yellow"/>
        </w:rPr>
        <w:t>日</w:t>
      </w:r>
      <w:r>
        <w:rPr>
          <w:rFonts w:hint="eastAsia" w:asciiTheme="minorEastAsia" w:hAnsiTheme="minorEastAsia" w:eastAsiaTheme="minorEastAsia"/>
          <w:b/>
          <w:sz w:val="21"/>
          <w:szCs w:val="21"/>
          <w:highlight w:val="yellow"/>
        </w:rPr>
        <w:t>。</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3.报名时请提供电子邮箱拷贝招标文件。</w:t>
      </w:r>
    </w:p>
    <w:p>
      <w:pPr>
        <w:spacing w:line="360" w:lineRule="auto"/>
        <w:ind w:firstLine="420" w:firstLineChars="200"/>
        <w:rPr>
          <w:rFonts w:hint="eastAsia" w:ascii="宋体" w:hAnsi="宋体"/>
          <w:sz w:val="21"/>
          <w:szCs w:val="21"/>
        </w:rPr>
      </w:pPr>
      <w:r>
        <w:rPr>
          <w:rFonts w:hint="eastAsia" w:ascii="宋体" w:hAnsi="宋体"/>
          <w:sz w:val="21"/>
          <w:szCs w:val="21"/>
        </w:rPr>
        <w:t>4.报名资料：法定代表人授权委托书、被委托人身份证、企业营业执照（副本）、企业资质证书（副本），</w:t>
      </w:r>
      <w:r>
        <w:rPr>
          <w:rFonts w:hint="eastAsia" w:ascii="宋体" w:hAnsi="宋体"/>
          <w:sz w:val="21"/>
          <w:szCs w:val="21"/>
          <w:lang w:val="en-US" w:eastAsia="zh-CN"/>
        </w:rPr>
        <w:t>投标单位</w:t>
      </w:r>
      <w:r>
        <w:rPr>
          <w:rFonts w:hint="eastAsia" w:ascii="宋体" w:hAnsi="宋体"/>
          <w:sz w:val="21"/>
          <w:szCs w:val="21"/>
        </w:rPr>
        <w:t>通过电子邮箱发送电子扫描件的形式来进行参与报名。邮箱： wangyiming@synear.com（邮件正文请注明投标联系人及联系电话）</w:t>
      </w:r>
    </w:p>
    <w:p>
      <w:pPr>
        <w:spacing w:line="360" w:lineRule="auto"/>
        <w:ind w:firstLine="376" w:firstLineChars="163"/>
        <w:rPr>
          <w:rFonts w:asciiTheme="minorEastAsia" w:hAnsiTheme="minorEastAsia" w:eastAsiaTheme="minorEastAsia"/>
          <w:spacing w:val="10"/>
          <w:kern w:val="24"/>
          <w:sz w:val="21"/>
          <w:szCs w:val="21"/>
        </w:rPr>
      </w:pPr>
      <w:r>
        <w:rPr>
          <w:rFonts w:hint="eastAsia" w:asciiTheme="minorEastAsia" w:hAnsiTheme="minorEastAsia" w:eastAsiaTheme="minorEastAsia"/>
          <w:b/>
          <w:spacing w:val="10"/>
          <w:kern w:val="24"/>
          <w:sz w:val="21"/>
          <w:szCs w:val="21"/>
          <w:lang w:val="en-US" w:eastAsia="zh-CN"/>
        </w:rPr>
        <w:t>5</w:t>
      </w:r>
      <w:r>
        <w:rPr>
          <w:rFonts w:hint="eastAsia" w:asciiTheme="minorEastAsia" w:hAnsiTheme="minorEastAsia" w:eastAsiaTheme="minorEastAsia"/>
          <w:b/>
          <w:spacing w:val="10"/>
          <w:kern w:val="24"/>
          <w:sz w:val="21"/>
          <w:szCs w:val="21"/>
        </w:rPr>
        <w:t>.投标保证金：</w:t>
      </w:r>
      <w:r>
        <w:rPr>
          <w:rFonts w:hint="eastAsia" w:asciiTheme="minorEastAsia" w:hAnsiTheme="minorEastAsia" w:eastAsiaTheme="minorEastAsia"/>
          <w:spacing w:val="10"/>
          <w:kern w:val="24"/>
          <w:sz w:val="21"/>
          <w:szCs w:val="21"/>
        </w:rPr>
        <w:t>开标前需交纳投标保证金人民币</w:t>
      </w:r>
      <w:r>
        <w:rPr>
          <w:rFonts w:hint="eastAsia" w:asciiTheme="minorEastAsia" w:hAnsiTheme="minorEastAsia" w:eastAsiaTheme="minorEastAsia"/>
          <w:b/>
          <w:spacing w:val="10"/>
          <w:kern w:val="24"/>
          <w:sz w:val="21"/>
          <w:szCs w:val="21"/>
          <w:u w:val="single"/>
        </w:rPr>
        <w:t>50000</w:t>
      </w:r>
      <w:r>
        <w:rPr>
          <w:rFonts w:hint="eastAsia" w:asciiTheme="minorEastAsia" w:hAnsiTheme="minorEastAsia" w:eastAsiaTheme="minorEastAsia"/>
          <w:b/>
          <w:spacing w:val="10"/>
          <w:kern w:val="24"/>
          <w:sz w:val="21"/>
          <w:szCs w:val="21"/>
        </w:rPr>
        <w:t>元</w:t>
      </w:r>
      <w:r>
        <w:rPr>
          <w:rFonts w:hint="eastAsia" w:asciiTheme="minorEastAsia" w:hAnsiTheme="minorEastAsia" w:eastAsiaTheme="minorEastAsia"/>
          <w:spacing w:val="10"/>
          <w:kern w:val="24"/>
          <w:sz w:val="21"/>
          <w:szCs w:val="21"/>
        </w:rPr>
        <w:t>（</w:t>
      </w:r>
      <w:r>
        <w:rPr>
          <w:rFonts w:hint="eastAsia" w:asciiTheme="minorEastAsia" w:hAnsiTheme="minorEastAsia" w:eastAsiaTheme="minorEastAsia"/>
          <w:spacing w:val="10"/>
          <w:kern w:val="24"/>
          <w:sz w:val="21"/>
          <w:szCs w:val="21"/>
          <w:u w:val="single"/>
        </w:rPr>
        <w:t>伍万元整</w:t>
      </w:r>
      <w:r>
        <w:rPr>
          <w:rFonts w:hint="eastAsia" w:asciiTheme="minorEastAsia" w:hAnsiTheme="minorEastAsia" w:eastAsiaTheme="minorEastAsia"/>
          <w:spacing w:val="10"/>
          <w:kern w:val="24"/>
          <w:sz w:val="21"/>
          <w:szCs w:val="21"/>
        </w:rPr>
        <w:t>）。</w:t>
      </w:r>
    </w:p>
    <w:p>
      <w:pPr>
        <w:spacing w:line="360" w:lineRule="auto"/>
        <w:ind w:firstLine="374" w:firstLineChars="163"/>
        <w:rPr>
          <w:rFonts w:asciiTheme="minorEastAsia" w:hAnsiTheme="minorEastAsia" w:eastAsiaTheme="minorEastAsia"/>
          <w:spacing w:val="10"/>
          <w:kern w:val="24"/>
          <w:sz w:val="21"/>
          <w:szCs w:val="21"/>
        </w:rPr>
      </w:pPr>
      <w:r>
        <w:rPr>
          <w:rFonts w:hint="eastAsia" w:asciiTheme="minorEastAsia" w:hAnsiTheme="minorEastAsia" w:eastAsiaTheme="minorEastAsia"/>
          <w:spacing w:val="10"/>
          <w:kern w:val="24"/>
          <w:sz w:val="21"/>
          <w:szCs w:val="21"/>
          <w:lang w:val="en-US" w:eastAsia="zh-CN"/>
        </w:rPr>
        <w:t>6</w:t>
      </w:r>
      <w:r>
        <w:rPr>
          <w:rFonts w:hint="eastAsia" w:asciiTheme="minorEastAsia" w:hAnsiTheme="minorEastAsia" w:eastAsiaTheme="minorEastAsia"/>
          <w:spacing w:val="10"/>
          <w:kern w:val="24"/>
          <w:sz w:val="21"/>
          <w:szCs w:val="21"/>
        </w:rPr>
        <w:t>. 需投标单位相关人员提前以个人名义办理中信银行储蓄卡（切记不要使用信用卡）将投标保证金提前预存在中信银行储蓄卡上（需在投标文件中注明办卡人姓名、卡号、身份证号及联系方式）。</w:t>
      </w:r>
    </w:p>
    <w:p>
      <w:pPr>
        <w:spacing w:line="360" w:lineRule="auto"/>
        <w:ind w:firstLine="374" w:firstLineChars="163"/>
        <w:rPr>
          <w:rFonts w:hint="eastAsia" w:asciiTheme="minorEastAsia" w:hAnsiTheme="minorEastAsia" w:eastAsiaTheme="minorEastAsia"/>
          <w:spacing w:val="10"/>
          <w:kern w:val="24"/>
          <w:sz w:val="21"/>
          <w:szCs w:val="21"/>
          <w:lang w:eastAsia="zh-CN"/>
        </w:rPr>
      </w:pPr>
      <w:r>
        <w:rPr>
          <w:rFonts w:hint="eastAsia" w:asciiTheme="minorEastAsia" w:hAnsiTheme="minorEastAsia" w:eastAsiaTheme="minorEastAsia"/>
          <w:spacing w:val="10"/>
          <w:kern w:val="24"/>
          <w:sz w:val="21"/>
          <w:szCs w:val="21"/>
          <w:lang w:val="en-US" w:eastAsia="zh-CN"/>
        </w:rPr>
        <w:t>7</w:t>
      </w:r>
      <w:r>
        <w:rPr>
          <w:rFonts w:hint="eastAsia" w:asciiTheme="minorEastAsia" w:hAnsiTheme="minorEastAsia" w:eastAsiaTheme="minorEastAsia"/>
          <w:spacing w:val="10"/>
          <w:kern w:val="24"/>
          <w:sz w:val="21"/>
          <w:szCs w:val="21"/>
        </w:rPr>
        <w:t>.请投标单位用手机扫描二维码，按手机提示操作并完成投标保证金冻结。</w:t>
      </w:r>
      <w:r>
        <w:rPr>
          <w:rFonts w:hint="eastAsia" w:asciiTheme="minorEastAsia" w:hAnsiTheme="minorEastAsia" w:eastAsiaTheme="minorEastAsia"/>
          <w:spacing w:val="10"/>
          <w:kern w:val="24"/>
          <w:sz w:val="21"/>
          <w:szCs w:val="21"/>
          <w:lang w:eastAsia="zh-CN"/>
        </w:rPr>
        <w:t>（</w:t>
      </w:r>
      <w:r>
        <w:rPr>
          <w:rFonts w:hint="eastAsia" w:asciiTheme="minorEastAsia" w:hAnsiTheme="minorEastAsia" w:eastAsiaTheme="minorEastAsia"/>
          <w:spacing w:val="10"/>
          <w:kern w:val="24"/>
          <w:sz w:val="21"/>
          <w:szCs w:val="21"/>
          <w:lang w:val="en-US" w:eastAsia="zh-CN"/>
        </w:rPr>
        <w:t>报名通过后可获取二维码</w:t>
      </w:r>
      <w:r>
        <w:rPr>
          <w:rFonts w:hint="eastAsia" w:asciiTheme="minorEastAsia" w:hAnsiTheme="minorEastAsia" w:eastAsiaTheme="minorEastAsia"/>
          <w:spacing w:val="10"/>
          <w:kern w:val="24"/>
          <w:sz w:val="21"/>
          <w:szCs w:val="21"/>
          <w:lang w:eastAsia="zh-CN"/>
        </w:rPr>
        <w:t>）</w:t>
      </w:r>
    </w:p>
    <w:p>
      <w:pPr>
        <w:spacing w:line="360" w:lineRule="auto"/>
        <w:rPr>
          <w:rFonts w:asciiTheme="minorEastAsia" w:hAnsiTheme="minorEastAsia" w:eastAsiaTheme="minorEastAsia"/>
          <w:spacing w:val="10"/>
          <w:kern w:val="24"/>
          <w:sz w:val="21"/>
          <w:szCs w:val="21"/>
        </w:rPr>
      </w:pPr>
    </w:p>
    <w:p>
      <w:pPr>
        <w:spacing w:line="360" w:lineRule="auto"/>
        <w:ind w:firstLine="374" w:firstLineChars="163"/>
        <w:rPr>
          <w:rFonts w:asciiTheme="minorEastAsia" w:hAnsiTheme="minorEastAsia" w:eastAsiaTheme="minorEastAsia"/>
          <w:spacing w:val="10"/>
          <w:kern w:val="24"/>
          <w:sz w:val="21"/>
          <w:szCs w:val="21"/>
        </w:rPr>
      </w:pPr>
      <w:r>
        <w:rPr>
          <w:rFonts w:hint="eastAsia" w:asciiTheme="minorEastAsia" w:hAnsiTheme="minorEastAsia" w:eastAsiaTheme="minorEastAsia"/>
          <w:spacing w:val="10"/>
          <w:kern w:val="24"/>
          <w:sz w:val="21"/>
          <w:szCs w:val="21"/>
          <w:lang w:val="en-US" w:eastAsia="zh-CN"/>
        </w:rPr>
        <w:t>8</w:t>
      </w:r>
      <w:r>
        <w:rPr>
          <w:rFonts w:hint="eastAsia" w:asciiTheme="minorEastAsia" w:hAnsiTheme="minorEastAsia" w:eastAsiaTheme="minorEastAsia"/>
          <w:spacing w:val="10"/>
          <w:kern w:val="24"/>
          <w:sz w:val="21"/>
          <w:szCs w:val="21"/>
        </w:rPr>
        <w:t>.</w:t>
      </w:r>
      <w:r>
        <w:rPr>
          <w:rFonts w:hint="eastAsia" w:asciiTheme="minorEastAsia" w:hAnsiTheme="minorEastAsia" w:eastAsiaTheme="minorEastAsia"/>
          <w:b/>
          <w:spacing w:val="10"/>
          <w:kern w:val="24"/>
          <w:sz w:val="21"/>
          <w:szCs w:val="21"/>
        </w:rPr>
        <w:t>不接受现金形式</w:t>
      </w:r>
      <w:r>
        <w:rPr>
          <w:rFonts w:hint="eastAsia" w:asciiTheme="minorEastAsia" w:hAnsiTheme="minorEastAsia" w:eastAsiaTheme="minorEastAsia"/>
          <w:b/>
          <w:spacing w:val="10"/>
          <w:kern w:val="24"/>
          <w:sz w:val="21"/>
          <w:szCs w:val="21"/>
          <w:lang w:val="en-US" w:eastAsia="zh-CN"/>
        </w:rPr>
        <w:t>办理保证金</w:t>
      </w:r>
      <w:r>
        <w:rPr>
          <w:rFonts w:hint="eastAsia" w:asciiTheme="minorEastAsia" w:hAnsiTheme="minorEastAsia" w:eastAsiaTheme="minorEastAsia"/>
          <w:spacing w:val="10"/>
          <w:kern w:val="24"/>
          <w:sz w:val="21"/>
          <w:szCs w:val="21"/>
        </w:rPr>
        <w:t>（包括直接现金交纳及通过银行现金存入）。开标现场未办理投标保证金冻结的单位不具备投标资格。</w:t>
      </w:r>
      <w:r>
        <w:rPr>
          <w:rFonts w:hint="eastAsia" w:asciiTheme="minorEastAsia" w:hAnsiTheme="minorEastAsia" w:eastAsiaTheme="minorEastAsia"/>
          <w:color w:val="000000"/>
          <w:sz w:val="21"/>
          <w:szCs w:val="21"/>
        </w:rPr>
        <w:t>如投标单位目前与我公司有业务往来且有未结货款，可参考附件填写保证金承诺书（见附件）。</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9</w:t>
      </w:r>
      <w:r>
        <w:rPr>
          <w:rFonts w:hint="eastAsia" w:asciiTheme="minorEastAsia" w:hAnsiTheme="minorEastAsia" w:eastAsiaTheme="minorEastAsia"/>
          <w:sz w:val="21"/>
          <w:szCs w:val="21"/>
        </w:rPr>
        <w:t>.提交保证金时应在备注及用途处写明：投标保证金，对于由于未注明或备注错误造成的保证金无法退还的，投标人自行解决。</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.我公司每个月有两次办理解冻保证金的时间：13日、20日（休息日或节假日则相应提前），请各投标单位给予理解。</w:t>
      </w:r>
    </w:p>
    <w:p>
      <w:pPr>
        <w:spacing w:line="360" w:lineRule="auto"/>
        <w:ind w:firstLine="371" w:firstLineChars="177"/>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.非中标单位投标保证金将在我司将在宣布中标结果后七天内办理解冻，中标单位投标保证金将在签订完合同后办理解冻，</w:t>
      </w:r>
      <w:r>
        <w:rPr>
          <w:rFonts w:hint="eastAsia" w:cs="Arial" w:asciiTheme="minorEastAsia" w:hAnsiTheme="minorEastAsia" w:eastAsiaTheme="minorEastAsia"/>
          <w:color w:val="000000"/>
          <w:sz w:val="21"/>
          <w:szCs w:val="21"/>
          <w:shd w:val="clear" w:color="auto" w:fill="FFFFFF"/>
        </w:rPr>
        <w:t>办理保证金解冻手续</w:t>
      </w:r>
      <w:r>
        <w:rPr>
          <w:rFonts w:hint="eastAsia" w:asciiTheme="minorEastAsia" w:hAnsiTheme="minorEastAsia" w:eastAsiaTheme="minorEastAsia"/>
          <w:sz w:val="21"/>
          <w:szCs w:val="21"/>
        </w:rPr>
        <w:t>时需填写投标保证金缴纳信息表（详见投标文件格式样本）</w:t>
      </w:r>
      <w:r>
        <w:rPr>
          <w:rFonts w:hint="eastAsia" w:cs="Arial" w:asciiTheme="minorEastAsia" w:hAnsiTheme="minorEastAsia" w:eastAsiaTheme="minorEastAsia"/>
          <w:color w:val="000000"/>
          <w:sz w:val="21"/>
          <w:szCs w:val="21"/>
          <w:shd w:val="clear" w:color="auto" w:fill="FFFFFF"/>
        </w:rPr>
        <w:t>。</w:t>
      </w:r>
    </w:p>
    <w:p>
      <w:pPr>
        <w:spacing w:line="360" w:lineRule="auto"/>
        <w:ind w:firstLine="211" w:firstLineChars="100"/>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highlight w:val="yellow"/>
        </w:rPr>
        <w:t>12、招标报名截止时间：</w:t>
      </w:r>
      <w:r>
        <w:rPr>
          <w:rFonts w:asciiTheme="minorEastAsia" w:hAnsiTheme="minorEastAsia" w:eastAsiaTheme="minorEastAsia"/>
          <w:b/>
          <w:color w:val="000000"/>
          <w:sz w:val="21"/>
          <w:szCs w:val="21"/>
          <w:highlight w:val="yellow"/>
        </w:rPr>
        <w:t>20</w:t>
      </w:r>
      <w:r>
        <w:rPr>
          <w:rFonts w:hint="eastAsia" w:asciiTheme="minorEastAsia" w:hAnsiTheme="minorEastAsia" w:eastAsiaTheme="minorEastAsia"/>
          <w:b/>
          <w:color w:val="000000"/>
          <w:sz w:val="21"/>
          <w:szCs w:val="21"/>
          <w:highlight w:val="yellow"/>
        </w:rPr>
        <w:t>2</w:t>
      </w:r>
      <w:r>
        <w:rPr>
          <w:rFonts w:asciiTheme="minorEastAsia" w:hAnsiTheme="minorEastAsia" w:eastAsiaTheme="minorEastAsia"/>
          <w:b/>
          <w:color w:val="000000"/>
          <w:sz w:val="21"/>
          <w:szCs w:val="21"/>
          <w:highlight w:val="yellow"/>
        </w:rPr>
        <w:t>2年</w:t>
      </w:r>
      <w:r>
        <w:rPr>
          <w:rFonts w:hint="eastAsia" w:asciiTheme="minorEastAsia" w:hAnsiTheme="minorEastAsia" w:eastAsiaTheme="minorEastAsia"/>
          <w:b/>
          <w:color w:val="000000"/>
          <w:sz w:val="21"/>
          <w:szCs w:val="21"/>
          <w:highlight w:val="yellow"/>
          <w:lang w:val="en-US" w:eastAsia="zh-CN"/>
        </w:rPr>
        <w:t>7</w:t>
      </w:r>
      <w:r>
        <w:rPr>
          <w:rFonts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6</w:t>
      </w:r>
      <w:r>
        <w:rPr>
          <w:rFonts w:asciiTheme="minorEastAsia" w:hAnsiTheme="minorEastAsia" w:eastAsiaTheme="minorEastAsia"/>
          <w:b/>
          <w:color w:val="000000"/>
          <w:sz w:val="21"/>
          <w:szCs w:val="21"/>
          <w:highlight w:val="yellow"/>
        </w:rPr>
        <w:t>日</w:t>
      </w:r>
      <w:r>
        <w:rPr>
          <w:rFonts w:hint="eastAsia" w:asciiTheme="minorEastAsia" w:hAnsiTheme="minorEastAsia" w:eastAsiaTheme="minorEastAsia"/>
          <w:b/>
          <w:color w:val="000000"/>
          <w:sz w:val="21"/>
          <w:szCs w:val="21"/>
          <w:highlight w:val="yellow"/>
        </w:rPr>
        <w:t>下午16:00</w:t>
      </w:r>
    </w:p>
    <w:p>
      <w:pPr>
        <w:spacing w:line="360" w:lineRule="auto"/>
        <w:ind w:firstLine="211" w:firstLineChars="100"/>
        <w:rPr>
          <w:rFonts w:hint="eastAsia" w:asciiTheme="minorEastAsia" w:hAnsiTheme="minorEastAsia" w:eastAsiaTheme="minorEastAsia"/>
          <w:b/>
          <w:color w:val="000000"/>
          <w:sz w:val="21"/>
          <w:szCs w:val="21"/>
          <w:lang w:eastAsia="zh-CN"/>
        </w:rPr>
      </w:pPr>
      <w:r>
        <w:rPr>
          <w:rFonts w:hint="eastAsia" w:asciiTheme="minorEastAsia" w:hAnsiTheme="minorEastAsia" w:eastAsiaTheme="minorEastAsia"/>
          <w:b/>
          <w:color w:val="000000"/>
          <w:sz w:val="21"/>
          <w:szCs w:val="21"/>
          <w:highlight w:val="yellow"/>
        </w:rPr>
        <w:t>13、开标时间：</w:t>
      </w:r>
      <w:r>
        <w:rPr>
          <w:rFonts w:asciiTheme="minorEastAsia" w:hAnsiTheme="minorEastAsia" w:eastAsiaTheme="minorEastAsia"/>
          <w:b/>
          <w:color w:val="000000"/>
          <w:sz w:val="21"/>
          <w:szCs w:val="21"/>
          <w:highlight w:val="yellow"/>
        </w:rPr>
        <w:t>20</w:t>
      </w:r>
      <w:r>
        <w:rPr>
          <w:rFonts w:hint="eastAsia" w:asciiTheme="minorEastAsia" w:hAnsiTheme="minorEastAsia" w:eastAsiaTheme="minorEastAsia"/>
          <w:b/>
          <w:color w:val="000000"/>
          <w:sz w:val="21"/>
          <w:szCs w:val="21"/>
          <w:highlight w:val="yellow"/>
        </w:rPr>
        <w:t>2</w:t>
      </w:r>
      <w:r>
        <w:rPr>
          <w:rFonts w:asciiTheme="minorEastAsia" w:hAnsiTheme="minorEastAsia" w:eastAsiaTheme="minorEastAsia"/>
          <w:b/>
          <w:color w:val="000000"/>
          <w:sz w:val="21"/>
          <w:szCs w:val="21"/>
          <w:highlight w:val="yellow"/>
        </w:rPr>
        <w:t>2年</w:t>
      </w:r>
      <w:r>
        <w:rPr>
          <w:rFonts w:hint="eastAsia" w:asciiTheme="minorEastAsia" w:hAnsiTheme="minorEastAsia" w:eastAsiaTheme="minorEastAsia"/>
          <w:b/>
          <w:color w:val="000000"/>
          <w:sz w:val="21"/>
          <w:szCs w:val="21"/>
          <w:highlight w:val="yellow"/>
          <w:lang w:val="en-US" w:eastAsia="zh-CN"/>
        </w:rPr>
        <w:t>7</w:t>
      </w:r>
      <w:r>
        <w:rPr>
          <w:rFonts w:asciiTheme="minorEastAsia" w:hAnsiTheme="minorEastAsia" w:eastAsiaTheme="minorEastAsia"/>
          <w:b/>
          <w:color w:val="000000"/>
          <w:sz w:val="21"/>
          <w:szCs w:val="21"/>
          <w:highlight w:val="yellow"/>
        </w:rPr>
        <w:t>月</w:t>
      </w:r>
      <w:r>
        <w:rPr>
          <w:rFonts w:hint="eastAsia" w:asciiTheme="minorEastAsia" w:hAnsiTheme="minorEastAsia" w:eastAsiaTheme="minorEastAsia"/>
          <w:b/>
          <w:color w:val="000000"/>
          <w:sz w:val="21"/>
          <w:szCs w:val="21"/>
          <w:highlight w:val="yellow"/>
          <w:lang w:val="en-US" w:eastAsia="zh-CN"/>
        </w:rPr>
        <w:t>7</w:t>
      </w:r>
      <w:r>
        <w:rPr>
          <w:rFonts w:asciiTheme="minorEastAsia" w:hAnsiTheme="minorEastAsia" w:eastAsiaTheme="minorEastAsia"/>
          <w:b/>
          <w:color w:val="000000"/>
          <w:sz w:val="21"/>
          <w:szCs w:val="21"/>
          <w:highlight w:val="yellow"/>
        </w:rPr>
        <w:t>日</w:t>
      </w:r>
      <w:r>
        <w:rPr>
          <w:rFonts w:hint="eastAsia" w:asciiTheme="minorEastAsia" w:hAnsiTheme="minorEastAsia" w:eastAsiaTheme="minorEastAsia"/>
          <w:b/>
          <w:color w:val="000000"/>
          <w:sz w:val="21"/>
          <w:szCs w:val="21"/>
          <w:highlight w:val="yellow"/>
        </w:rPr>
        <w:t>上午9:30</w:t>
      </w:r>
      <w:r>
        <w:rPr>
          <w:rFonts w:hint="eastAsia" w:asciiTheme="minorEastAsia" w:hAnsiTheme="minorEastAsia" w:eastAsiaTheme="minorEastAsia"/>
          <w:b/>
          <w:color w:val="000000"/>
          <w:sz w:val="21"/>
          <w:szCs w:val="21"/>
          <w:highlight w:val="yellow"/>
          <w:lang w:eastAsia="zh-CN"/>
        </w:rPr>
        <w:t>（</w:t>
      </w:r>
      <w:r>
        <w:rPr>
          <w:rFonts w:hint="eastAsia" w:asciiTheme="minorEastAsia" w:hAnsiTheme="minorEastAsia" w:eastAsiaTheme="minorEastAsia"/>
          <w:b/>
          <w:color w:val="000000"/>
          <w:sz w:val="21"/>
          <w:szCs w:val="21"/>
          <w:highlight w:val="yellow"/>
          <w:lang w:val="en-US" w:eastAsia="zh-CN"/>
        </w:rPr>
        <w:t>I标段及II标段分别进行评标</w:t>
      </w:r>
      <w:r>
        <w:rPr>
          <w:rFonts w:hint="eastAsia" w:asciiTheme="minorEastAsia" w:hAnsiTheme="minorEastAsia" w:eastAsiaTheme="minorEastAsia"/>
          <w:b/>
          <w:color w:val="000000"/>
          <w:sz w:val="21"/>
          <w:szCs w:val="21"/>
          <w:highlight w:val="yellow"/>
          <w:lang w:eastAsia="zh-CN"/>
        </w:rPr>
        <w:t>）</w:t>
      </w:r>
    </w:p>
    <w:p>
      <w:pPr>
        <w:spacing w:line="360" w:lineRule="auto"/>
        <w:ind w:firstLine="210" w:firstLineChars="1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14、开标地点：</w:t>
      </w:r>
      <w:r>
        <w:rPr>
          <w:rFonts w:hint="eastAsia" w:asciiTheme="minorEastAsia" w:hAnsiTheme="minorEastAsia" w:eastAsiaTheme="minorEastAsia"/>
          <w:b/>
          <w:color w:val="000000"/>
          <w:sz w:val="21"/>
          <w:szCs w:val="21"/>
        </w:rPr>
        <w:t>思念食品有限公司</w:t>
      </w: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val="en-US" w:eastAsia="zh-CN"/>
        </w:rPr>
        <w:t>郑州市惠济区英才街15号</w:t>
      </w:r>
      <w:r>
        <w:rPr>
          <w:rFonts w:hint="eastAsia" w:asciiTheme="minorEastAsia" w:hAnsiTheme="minorEastAsia" w:eastAsiaTheme="minorEastAsia"/>
          <w:color w:val="000000"/>
          <w:sz w:val="21"/>
          <w:szCs w:val="21"/>
        </w:rPr>
        <w:t>）。所有投标人的法定代表人或法定代表人委托代理人必须准时参加，否则所递交的投标文件将被视为无效投标文件予以退回。</w:t>
      </w:r>
    </w:p>
    <w:p>
      <w:pPr>
        <w:spacing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15、思念招标部联系人：</w:t>
      </w:r>
    </w:p>
    <w:p>
      <w:pPr>
        <w:spacing w:line="360" w:lineRule="auto"/>
        <w:ind w:firstLine="211" w:firstLineChars="100"/>
        <w:rPr>
          <w:rFonts w:asciiTheme="minorEastAsia" w:hAnsiTheme="minorEastAsia" w:eastAsiaTheme="minorEastAsia"/>
          <w:b/>
          <w:sz w:val="21"/>
          <w:szCs w:val="21"/>
        </w:rPr>
      </w:pPr>
      <w:r>
        <w:rPr>
          <w:rFonts w:hint="eastAsia" w:asciiTheme="minorEastAsia" w:hAnsiTheme="minorEastAsia" w:eastAsiaTheme="minorEastAsia"/>
          <w:b/>
          <w:sz w:val="21"/>
          <w:szCs w:val="21"/>
        </w:rPr>
        <w:t>王先生：</w:t>
      </w:r>
      <w:r>
        <w:rPr>
          <w:rFonts w:asciiTheme="minorEastAsia" w:hAnsiTheme="minorEastAsia" w:eastAsiaTheme="minorEastAsia"/>
          <w:b/>
          <w:sz w:val="21"/>
          <w:szCs w:val="21"/>
        </w:rPr>
        <w:t>15516559581</w:t>
      </w:r>
    </w:p>
    <w:p>
      <w:pPr>
        <w:spacing w:line="360" w:lineRule="auto"/>
        <w:ind w:firstLine="211" w:firstLineChars="100"/>
        <w:rPr>
          <w:rFonts w:hint="eastAsia" w:asciiTheme="minorEastAsia" w:hAnsiTheme="minorEastAsia" w:eastAsiaTheme="minorEastAsia"/>
          <w:b/>
          <w:color w:val="000000" w:themeColor="text1"/>
          <w:sz w:val="21"/>
          <w:szCs w:val="21"/>
          <w:lang w:eastAsia="zh-CN"/>
        </w:rPr>
      </w:pPr>
      <w:r>
        <w:rPr>
          <w:rFonts w:hint="eastAsia" w:asciiTheme="minorEastAsia" w:hAnsiTheme="minorEastAsia" w:eastAsiaTheme="minorEastAsia"/>
          <w:b/>
          <w:color w:val="000000" w:themeColor="text1"/>
          <w:sz w:val="21"/>
          <w:szCs w:val="21"/>
        </w:rPr>
        <w:t>16、项目答疑及现场踏勘联系人：</w:t>
      </w:r>
      <w:r>
        <w:rPr>
          <w:rFonts w:hint="eastAsia" w:asciiTheme="minorEastAsia" w:hAnsiTheme="minorEastAsia" w:eastAsiaTheme="minorEastAsia"/>
          <w:b/>
          <w:color w:val="000000" w:themeColor="text1"/>
          <w:sz w:val="21"/>
          <w:szCs w:val="21"/>
          <w:lang w:eastAsia="zh-CN"/>
        </w:rPr>
        <w:t>（</w:t>
      </w:r>
      <w:r>
        <w:rPr>
          <w:rFonts w:hint="eastAsia" w:asciiTheme="minorEastAsia" w:hAnsiTheme="minorEastAsia" w:eastAsiaTheme="minorEastAsia"/>
          <w:b/>
          <w:color w:val="000000" w:themeColor="text1"/>
          <w:sz w:val="21"/>
          <w:szCs w:val="21"/>
          <w:lang w:val="en-US" w:eastAsia="zh-CN"/>
        </w:rPr>
        <w:t>需提前勘探现场</w:t>
      </w:r>
      <w:r>
        <w:rPr>
          <w:rFonts w:hint="eastAsia" w:asciiTheme="minorEastAsia" w:hAnsiTheme="minorEastAsia" w:eastAsiaTheme="minorEastAsia"/>
          <w:b/>
          <w:color w:val="000000" w:themeColor="text1"/>
          <w:sz w:val="21"/>
          <w:szCs w:val="21"/>
          <w:lang w:eastAsia="zh-CN"/>
        </w:rPr>
        <w:t>）</w:t>
      </w:r>
    </w:p>
    <w:p>
      <w:pPr>
        <w:spacing w:line="360" w:lineRule="auto"/>
        <w:ind w:firstLine="211" w:firstLineChars="100"/>
        <w:textAlignment w:val="bottom"/>
        <w:rPr>
          <w:rFonts w:hint="default" w:asciiTheme="minorEastAsia" w:hAnsiTheme="minorEastAsia" w:eastAsiaTheme="minorEastAsia"/>
          <w:b/>
          <w:color w:val="000000" w:themeColor="text1"/>
          <w:sz w:val="21"/>
          <w:szCs w:val="21"/>
          <w:lang w:val="en-US" w:eastAsia="zh-CN"/>
        </w:rPr>
      </w:pPr>
      <w:r>
        <w:rPr>
          <w:rFonts w:hint="eastAsia" w:asciiTheme="minorEastAsia" w:hAnsiTheme="minorEastAsia" w:eastAsiaTheme="minorEastAsia"/>
          <w:b/>
          <w:color w:val="000000" w:themeColor="text1"/>
          <w:sz w:val="21"/>
          <w:szCs w:val="21"/>
          <w:lang w:val="en-US" w:eastAsia="zh-CN"/>
        </w:rPr>
        <w:t>尚先生：19937165889   魏</w:t>
      </w:r>
      <w:r>
        <w:rPr>
          <w:rFonts w:hint="eastAsia" w:asciiTheme="minorEastAsia" w:hAnsiTheme="minorEastAsia" w:eastAsiaTheme="minorEastAsia"/>
          <w:b/>
          <w:color w:val="000000" w:themeColor="text1"/>
          <w:sz w:val="21"/>
          <w:szCs w:val="21"/>
        </w:rPr>
        <w:t>先生：15038259047</w:t>
      </w:r>
      <w:r>
        <w:rPr>
          <w:rFonts w:hint="eastAsia" w:asciiTheme="minorEastAsia" w:hAnsiTheme="minorEastAsia" w:eastAsiaTheme="minorEastAsia"/>
          <w:b/>
          <w:color w:val="000000" w:themeColor="text1"/>
          <w:sz w:val="21"/>
          <w:szCs w:val="21"/>
          <w:lang w:val="en-US" w:eastAsia="zh-CN"/>
        </w:rPr>
        <w:t xml:space="preserve">  </w:t>
      </w:r>
    </w:p>
    <w:p>
      <w:pPr>
        <w:spacing w:line="360" w:lineRule="auto"/>
        <w:ind w:firstLine="210" w:firstLineChars="100"/>
        <w:textAlignment w:val="bottom"/>
        <w:rPr>
          <w:rFonts w:asciiTheme="minorEastAsia" w:hAnsiTheme="minorEastAsia" w:eastAsiaTheme="minorEastAsia"/>
          <w:sz w:val="21"/>
          <w:szCs w:val="21"/>
        </w:rPr>
      </w:pPr>
      <w:r>
        <w:rPr>
          <w:rFonts w:hint="eastAsia" w:asciiTheme="minorEastAsia" w:hAnsiTheme="minorEastAsia" w:eastAsiaTheme="minorEastAsia"/>
          <w:sz w:val="21"/>
          <w:szCs w:val="21"/>
        </w:rPr>
        <w:t>17、投标文件编制及装订要求：</w:t>
      </w:r>
    </w:p>
    <w:p>
      <w:pPr>
        <w:spacing w:line="360" w:lineRule="auto"/>
        <w:ind w:left="100" w:leftChars="50" w:firstLine="422" w:firstLineChars="200"/>
        <w:rPr>
          <w:rFonts w:asciiTheme="minorEastAsia" w:hAnsiTheme="minorEastAsia" w:eastAsiaTheme="minorEastAsia"/>
          <w:sz w:val="21"/>
          <w:szCs w:val="21"/>
        </w:rPr>
      </w:pPr>
      <w:r>
        <w:rPr>
          <w:rFonts w:hint="eastAsia" w:asciiTheme="minorEastAsia" w:hAnsiTheme="minorEastAsia" w:eastAsiaTheme="minorEastAsia"/>
          <w:b/>
          <w:bCs/>
          <w:color w:val="FF0000"/>
          <w:sz w:val="21"/>
          <w:szCs w:val="21"/>
        </w:rPr>
        <w:t>投标文件要求一正一副</w:t>
      </w:r>
      <w:r>
        <w:rPr>
          <w:rFonts w:hint="eastAsia" w:asciiTheme="minorEastAsia" w:hAnsiTheme="minorEastAsia" w:eastAsiaTheme="minorEastAsia"/>
          <w:b/>
          <w:bCs/>
          <w:color w:val="FF0000"/>
          <w:sz w:val="21"/>
          <w:szCs w:val="21"/>
          <w:lang w:eastAsia="zh-CN"/>
        </w:rPr>
        <w:t>（</w:t>
      </w:r>
      <w:r>
        <w:rPr>
          <w:rFonts w:hint="eastAsia" w:asciiTheme="minorEastAsia" w:hAnsiTheme="minorEastAsia" w:eastAsiaTheme="minorEastAsia"/>
          <w:b/>
          <w:bCs/>
          <w:color w:val="FF0000"/>
          <w:sz w:val="21"/>
          <w:szCs w:val="21"/>
          <w:lang w:val="en-US" w:eastAsia="zh-CN"/>
        </w:rPr>
        <w:t>两个标段分别制作标书，</w:t>
      </w:r>
      <w:r>
        <w:rPr>
          <w:rFonts w:hint="eastAsia" w:asciiTheme="minorEastAsia" w:hAnsiTheme="minorEastAsia" w:eastAsiaTheme="minorEastAsia"/>
          <w:b/>
          <w:bCs/>
          <w:color w:val="FF0000"/>
          <w:sz w:val="21"/>
          <w:szCs w:val="21"/>
        </w:rPr>
        <w:t>商务标与技术标分开装订）</w:t>
      </w:r>
      <w:r>
        <w:rPr>
          <w:rFonts w:hint="eastAsia" w:asciiTheme="minorEastAsia" w:hAnsiTheme="minorEastAsia" w:eastAsiaTheme="minorEastAsia"/>
          <w:sz w:val="21"/>
          <w:szCs w:val="21"/>
        </w:rPr>
        <w:t>，正本和副本的封面上应清楚地标记“正本”或“副本”的字样。当副本和正本不一致时，以正本为准。投标人应将所有投标的正本和所有副本分别密封。</w:t>
      </w:r>
    </w:p>
    <w:p>
      <w:pPr>
        <w:spacing w:line="360" w:lineRule="auto"/>
        <w:ind w:left="200" w:leftChars="100" w:firstLine="315" w:firstLineChars="1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投标文件不要求逐页小签，按招标文件要求签字或盖章。投标文件应用不褪色的材料书写或打印，并由投标人的法定代表人或其委托代理人签字或盖单位章，投标文件封面、投标函均应加盖投标人印章并经法定代表人或其委托代理人签字或盖章。由委托代理人签字或盖章的在投标文件中须同时提交投标文件签署授权委托书。委托代理人签字的，投标文 件应附法定代表人签署的授权委托书，投标文件签署授权委托书格式、签字、盖章及内容均应符合要求，否则投标文件签署授权委托书无效。投标文件应尽量避免涂改、行间插字或删除。如果出现上述情况，改动之处应加盖单位章或由投标人的法定代表人或其授权的代理人签字确认。</w:t>
      </w:r>
      <w:bookmarkEnd w:id="12"/>
    </w:p>
    <w:bookmarkEnd w:id="2"/>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rPr>
          <w:rFonts w:cs="Arial" w:asciiTheme="minorEastAsia" w:hAnsiTheme="minorEastAsia" w:eastAsiaTheme="minorEastAsia"/>
          <w:b/>
          <w:color w:val="FF0000"/>
          <w:sz w:val="21"/>
          <w:szCs w:val="21"/>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p>
    <w:p>
      <w:pPr>
        <w:snapToGrid w:val="0"/>
        <w:spacing w:line="360" w:lineRule="auto"/>
        <w:ind w:left="140" w:leftChars="70" w:right="200" w:rightChars="100" w:firstLine="3253" w:firstLineChars="900"/>
        <w:rPr>
          <w:rFonts w:cs="Arial" w:asciiTheme="minorEastAsia" w:hAnsiTheme="minorEastAsia" w:eastAsiaTheme="minorEastAsia"/>
          <w:b/>
          <w:color w:val="000000" w:themeColor="text1"/>
          <w:sz w:val="36"/>
          <w:szCs w:val="36"/>
        </w:rPr>
      </w:pPr>
      <w:r>
        <w:rPr>
          <w:rFonts w:hint="eastAsia" w:cs="Arial" w:asciiTheme="minorEastAsia" w:hAnsiTheme="minorEastAsia" w:eastAsiaTheme="minorEastAsia"/>
          <w:b/>
          <w:color w:val="000000" w:themeColor="text1"/>
          <w:sz w:val="36"/>
          <w:szCs w:val="36"/>
        </w:rPr>
        <w:t>第二章  投标单位须知</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rPr>
      </w:pPr>
      <w:r>
        <w:rPr>
          <w:rFonts w:hint="eastAsia" w:cs="Arial" w:asciiTheme="minorEastAsia" w:hAnsiTheme="minorEastAsia" w:eastAsiaTheme="minorEastAsia"/>
          <w:bCs/>
          <w:color w:val="000000" w:themeColor="text1"/>
          <w:sz w:val="21"/>
          <w:szCs w:val="21"/>
        </w:rPr>
        <w:t>1、投标文件中提供企业简介或企业基本情况一览表。</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rPr>
      </w:pPr>
      <w:r>
        <w:rPr>
          <w:rFonts w:hint="eastAsia" w:cs="Arial" w:asciiTheme="minorEastAsia" w:hAnsiTheme="minorEastAsia" w:eastAsiaTheme="minorEastAsia"/>
          <w:bCs/>
          <w:color w:val="000000" w:themeColor="text1"/>
          <w:sz w:val="21"/>
          <w:szCs w:val="21"/>
        </w:rPr>
        <w:t>2、资质文件：投标文件中必须包括企业营业执照、资质证书、税务登记证、组织机构代码证，投标现场提供原件备查。</w:t>
      </w:r>
    </w:p>
    <w:p>
      <w:pPr>
        <w:snapToGrid w:val="0"/>
        <w:spacing w:line="360" w:lineRule="auto"/>
        <w:ind w:left="140" w:leftChars="70" w:right="200" w:rightChars="100"/>
        <w:rPr>
          <w:rFonts w:hint="eastAsia" w:cs="Arial" w:asciiTheme="minorEastAsia" w:hAnsiTheme="minorEastAsia" w:eastAsiaTheme="minorEastAsia"/>
          <w:b/>
          <w:bCs w:val="0"/>
          <w:color w:val="000000" w:themeColor="text1"/>
          <w:sz w:val="21"/>
          <w:szCs w:val="21"/>
          <w:lang w:val="en-US" w:eastAsia="zh-CN"/>
        </w:rPr>
      </w:pPr>
      <w:r>
        <w:rPr>
          <w:rFonts w:hint="eastAsia" w:cs="Arial" w:asciiTheme="minorEastAsia" w:hAnsiTheme="minorEastAsia" w:eastAsiaTheme="minorEastAsia"/>
          <w:b/>
          <w:bCs w:val="0"/>
          <w:color w:val="000000" w:themeColor="text1"/>
          <w:sz w:val="21"/>
          <w:szCs w:val="21"/>
        </w:rPr>
        <w:t>3、</w:t>
      </w:r>
      <w:r>
        <w:rPr>
          <w:rFonts w:hint="eastAsia" w:cs="Arial" w:asciiTheme="minorEastAsia" w:hAnsiTheme="minorEastAsia" w:eastAsiaTheme="minorEastAsia"/>
          <w:b/>
          <w:bCs w:val="0"/>
          <w:color w:val="000000" w:themeColor="text1"/>
          <w:sz w:val="21"/>
          <w:szCs w:val="21"/>
          <w:lang w:val="en-US" w:eastAsia="zh-CN"/>
        </w:rPr>
        <w:t>资质要求：标段一:公司成立5年以上；注册资本1000万以上；电子与智能化工程专业承包贰级或以上；大华官方金牌授权代理商；原厂售后服务承诺书。标段二：公司成立5年以上；注册资本1000万以上；电子与智能化工程专业承包贰级或以上；信息安全管理体系认证；信息技术服务管理体系认证；</w:t>
      </w:r>
    </w:p>
    <w:p>
      <w:pPr>
        <w:snapToGrid w:val="0"/>
        <w:spacing w:line="360" w:lineRule="auto"/>
        <w:ind w:left="140" w:leftChars="70" w:right="200" w:rightChars="100"/>
        <w:rPr>
          <w:rFonts w:cs="Arial" w:asciiTheme="minorEastAsia" w:hAnsiTheme="minorEastAsia" w:eastAsiaTheme="minorEastAsia"/>
          <w:bCs/>
          <w:color w:val="000000" w:themeColor="text1"/>
          <w:sz w:val="21"/>
          <w:szCs w:val="21"/>
        </w:rPr>
      </w:pPr>
      <w:r>
        <w:rPr>
          <w:rFonts w:hint="eastAsia" w:cs="Arial" w:asciiTheme="minorEastAsia" w:hAnsiTheme="minorEastAsia" w:eastAsiaTheme="minorEastAsia"/>
          <w:bCs/>
          <w:color w:val="000000" w:themeColor="text1"/>
          <w:sz w:val="21"/>
          <w:szCs w:val="21"/>
        </w:rPr>
        <w:t>4、业绩一览表：</w:t>
      </w:r>
    </w:p>
    <w:p>
      <w:pPr>
        <w:spacing w:line="360" w:lineRule="auto"/>
        <w:ind w:left="100" w:leftChars="50" w:firstLine="315" w:firstLineChars="150"/>
        <w:jc w:val="both"/>
        <w:rPr>
          <w:rFonts w:asciiTheme="minorEastAsia" w:hAnsiTheme="minorEastAsia" w:eastAsiaTheme="minorEastAsia"/>
          <w:bCs/>
          <w:color w:val="FF0000"/>
          <w:sz w:val="21"/>
          <w:szCs w:val="21"/>
        </w:rPr>
      </w:pPr>
      <w:r>
        <w:rPr>
          <w:rFonts w:hint="eastAsia" w:asciiTheme="minorEastAsia" w:hAnsiTheme="minorEastAsia" w:eastAsiaTheme="minorEastAsia"/>
          <w:bCs/>
          <w:color w:val="000000"/>
          <w:sz w:val="21"/>
          <w:szCs w:val="21"/>
        </w:rPr>
        <w:t>投标文件中必须包括业绩一览表及类似项目合同复印件。投标现场携带至少3份近三年以来类似项目合同原件及案例介绍。</w:t>
      </w:r>
    </w:p>
    <w:p>
      <w:pPr>
        <w:spacing w:line="360" w:lineRule="auto"/>
        <w:ind w:left="100" w:left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5、投标方同意在从开标之日起90天的投标有效期内严格遵守本投标书的各项承诺。期限届满之前，投标文件始终对投标方具有约束力。</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6、投标方如中标，投标公司及任何关联公司在合同履约过程中不得直接或间接给予招标人（含其任何高级职员、董事、股东、代表或代理人等）任何佣金、款项、货款、贵重礼品、回扣、奢华的娱乐或其他有价值的物品。否则，投标方即构成严重违约。</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7、投标人出现以下情况，招标人有权扣除投标人投标保证金：</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7.1围标、串标。</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7.2不履行投标承诺或者中标不履行。</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7.3伪造证明、证书、合同等相关证件。</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7.4其他违反本次招标书约定要求或国家招投标有关法律法规。</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8、投标方认可招标方的评标程序及原则。</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9、投标方接受招标方以电话通知中标结果的方式。</w:t>
      </w:r>
    </w:p>
    <w:p>
      <w:pPr>
        <w:spacing w:line="360" w:lineRule="auto"/>
        <w:ind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10、招标方不向中标方、落标方解释中标及落标原因，不退还投标文件。</w:t>
      </w:r>
    </w:p>
    <w:p>
      <w:pPr>
        <w:spacing w:line="360" w:lineRule="auto"/>
        <w:ind w:left="100" w:left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11、在开标、评标期间，投标方不得向评委询问评标情况，不得进行旨在影响评标结果的活动。投标单位如果在招标过程中存在违反我公司招标纪律的行为，经审计部核实后，对该投标单位实行永久市场禁入的处罚。</w:t>
      </w:r>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12、评标委员会经评审认为所有投标都不符合招标文件要求的，有权否决所有投标，招标方对受影响的投标方不承担任何责任，也无义务向受影响的投标方作出解释。</w:t>
      </w:r>
    </w:p>
    <w:p>
      <w:pPr>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13、投标时间截止后不再接收投标，视为投标单位放弃投标资格。</w:t>
      </w:r>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14、投标人不得相互串通投标或者与招标人串通投标，不得向招标人或者评标委员会成员行贿谋取中标，不得以他人名义投标或者以其他方式弄虚作假骗取中标；投标人不得以任何方式干扰、影响评标工作。</w:t>
      </w:r>
      <w:bookmarkStart w:id="7" w:name="_Toc364407827"/>
      <w:bookmarkStart w:id="8" w:name="_Toc397678294"/>
    </w:p>
    <w:p>
      <w:pPr>
        <w:spacing w:line="360" w:lineRule="auto"/>
        <w:ind w:left="236" w:leftChars="118"/>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5</w:t>
      </w:r>
      <w:r>
        <w:rPr>
          <w:rFonts w:hint="eastAsia" w:asciiTheme="minorEastAsia" w:hAnsiTheme="minorEastAsia" w:eastAsiaTheme="minorEastAsia"/>
          <w:sz w:val="21"/>
          <w:szCs w:val="21"/>
        </w:rPr>
        <w:t>、投标单位在收到招标文件后如对招标文件有异议，需在两天内书面提出质疑，招标单位将统一进行答复，否则视为无异议，招标单位不再单独组织答疑会。</w:t>
      </w:r>
    </w:p>
    <w:p>
      <w:pPr>
        <w:spacing w:line="360" w:lineRule="auto"/>
        <w:ind w:left="236" w:leftChars="118"/>
        <w:rPr>
          <w:rFonts w:asciiTheme="minorEastAsia" w:hAnsiTheme="minorEastAsia" w:eastAsiaTheme="minorEastAsia"/>
          <w:sz w:val="21"/>
          <w:szCs w:val="21"/>
        </w:rPr>
      </w:pPr>
    </w:p>
    <w:p>
      <w:pPr>
        <w:pStyle w:val="2"/>
        <w:numPr>
          <w:ilvl w:val="0"/>
          <w:numId w:val="0"/>
        </w:numPr>
        <w:spacing w:line="360" w:lineRule="auto"/>
        <w:ind w:firstLine="181" w:firstLineChars="50"/>
        <w:rPr>
          <w:rFonts w:asciiTheme="minorEastAsia" w:hAnsiTheme="minorEastAsia" w:eastAsiaTheme="minorEastAsia"/>
          <w:b/>
          <w:bCs/>
          <w:sz w:val="36"/>
          <w:szCs w:val="36"/>
        </w:rPr>
      </w:pPr>
      <w:bookmarkStart w:id="9" w:name="_Hlk80799728"/>
    </w:p>
    <w:p>
      <w:pPr>
        <w:pStyle w:val="2"/>
        <w:numPr>
          <w:ilvl w:val="0"/>
          <w:numId w:val="2"/>
        </w:numPr>
        <w:spacing w:line="360" w:lineRule="auto"/>
        <w:ind w:firstLine="181" w:firstLineChars="50"/>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 xml:space="preserve"> 招标内容及要求</w:t>
      </w:r>
      <w:bookmarkEnd w:id="7"/>
      <w:bookmarkEnd w:id="8"/>
    </w:p>
    <w:bookmarkEnd w:id="9"/>
    <w:p>
      <w:bookmarkStart w:id="10" w:name="_Toc397678295"/>
    </w:p>
    <w:p>
      <w:pPr>
        <w:pStyle w:val="2"/>
        <w:numPr>
          <w:ilvl w:val="0"/>
          <w:numId w:val="0"/>
        </w:numPr>
        <w:tabs>
          <w:tab w:val="left" w:pos="0"/>
        </w:tabs>
        <w:spacing w:beforeLines="100" w:afterLines="100" w:line="360" w:lineRule="auto"/>
        <w:jc w:val="left"/>
        <w:rPr>
          <w:rFonts w:hint="default" w:ascii="宋体" w:hAnsi="宋体" w:eastAsia="宋体"/>
          <w:b/>
          <w:bCs/>
          <w:color w:val="000000" w:themeColor="text1"/>
          <w:sz w:val="21"/>
          <w:szCs w:val="21"/>
          <w:lang w:val="en-US" w:eastAsia="zh-CN"/>
        </w:rPr>
      </w:pPr>
      <w:r>
        <w:rPr>
          <w:rFonts w:hint="eastAsia" w:ascii="宋体" w:hAnsi="宋体" w:eastAsia="宋体"/>
          <w:b/>
          <w:bCs/>
          <w:color w:val="000000" w:themeColor="text1"/>
          <w:sz w:val="21"/>
          <w:szCs w:val="21"/>
          <w:lang w:val="en-US" w:eastAsia="zh-CN"/>
        </w:rPr>
        <w:t>I标段：技术要求详见附件1（可联系思念招标部索取）</w:t>
      </w:r>
    </w:p>
    <w:p>
      <w:pPr>
        <w:pStyle w:val="2"/>
        <w:numPr>
          <w:ilvl w:val="0"/>
          <w:numId w:val="0"/>
        </w:numPr>
        <w:tabs>
          <w:tab w:val="left" w:pos="0"/>
        </w:tabs>
        <w:spacing w:beforeLines="100" w:afterLines="100" w:line="360" w:lineRule="auto"/>
        <w:jc w:val="left"/>
        <w:rPr>
          <w:rFonts w:hint="default" w:ascii="宋体" w:hAnsi="宋体" w:eastAsia="宋体"/>
          <w:b/>
          <w:bCs/>
          <w:color w:val="000000" w:themeColor="text1"/>
          <w:sz w:val="21"/>
          <w:szCs w:val="21"/>
          <w:lang w:val="en-US" w:eastAsia="zh-CN"/>
        </w:rPr>
      </w:pPr>
      <w:r>
        <w:rPr>
          <w:rFonts w:hint="eastAsia" w:ascii="宋体" w:hAnsi="宋体" w:eastAsia="宋体"/>
          <w:b/>
          <w:bCs/>
          <w:color w:val="000000" w:themeColor="text1"/>
          <w:sz w:val="21"/>
          <w:szCs w:val="21"/>
          <w:lang w:val="en-US" w:eastAsia="zh-CN"/>
        </w:rPr>
        <w:t>II标段：技术要求详见附件2（可联系思念招标部索取）</w:t>
      </w:r>
    </w:p>
    <w:p>
      <w:pPr>
        <w:pStyle w:val="2"/>
        <w:numPr>
          <w:ilvl w:val="0"/>
          <w:numId w:val="0"/>
        </w:numPr>
        <w:tabs>
          <w:tab w:val="left" w:pos="0"/>
        </w:tabs>
        <w:spacing w:beforeLines="100" w:afterLines="100" w:line="360" w:lineRule="auto"/>
        <w:jc w:val="left"/>
        <w:rPr>
          <w:rFonts w:ascii="宋体" w:hAnsi="宋体" w:eastAsia="宋体"/>
          <w:color w:val="000000" w:themeColor="text1"/>
          <w:sz w:val="21"/>
          <w:szCs w:val="21"/>
        </w:rPr>
      </w:pPr>
      <w:r>
        <w:rPr>
          <w:rFonts w:hint="eastAsia" w:ascii="宋体" w:hAnsi="宋体" w:eastAsia="宋体"/>
          <w:b/>
          <w:bCs/>
          <w:color w:val="000000" w:themeColor="text1"/>
          <w:sz w:val="21"/>
          <w:szCs w:val="21"/>
        </w:rPr>
        <w:t>二、付款方式：</w:t>
      </w:r>
      <w:r>
        <w:rPr>
          <w:rFonts w:hint="eastAsia" w:ascii="宋体" w:hAnsi="宋体" w:eastAsia="宋体"/>
          <w:color w:val="000000" w:themeColor="text1"/>
          <w:sz w:val="21"/>
          <w:szCs w:val="21"/>
        </w:rPr>
        <w:t>合同签订后付30%预付款，到货安装调试完毕后付60%，剩余10%为质保金一年后无息付清；</w:t>
      </w:r>
    </w:p>
    <w:p>
      <w:pPr>
        <w:spacing w:line="360" w:lineRule="auto"/>
        <w:rPr>
          <w:rFonts w:ascii="宋体" w:hAnsi="宋体"/>
          <w:color w:val="000000" w:themeColor="text1"/>
          <w:sz w:val="21"/>
          <w:szCs w:val="21"/>
        </w:rPr>
      </w:pPr>
      <w:r>
        <w:rPr>
          <w:rFonts w:hint="eastAsia"/>
          <w:b/>
          <w:bCs/>
        </w:rPr>
        <w:t>三</w:t>
      </w:r>
      <w:r>
        <w:rPr>
          <w:rFonts w:hint="eastAsia" w:ascii="宋体" w:hAnsi="宋体"/>
          <w:b/>
          <w:bCs/>
          <w:color w:val="000000" w:themeColor="text1"/>
          <w:sz w:val="21"/>
          <w:szCs w:val="21"/>
        </w:rPr>
        <w:t>、工期要求：</w:t>
      </w:r>
      <w:r>
        <w:rPr>
          <w:rFonts w:hint="eastAsia" w:ascii="宋体" w:hAnsi="宋体"/>
          <w:color w:val="000000" w:themeColor="text1"/>
          <w:sz w:val="21"/>
          <w:szCs w:val="21"/>
        </w:rPr>
        <w:t>本项目工期为90个日历天；</w:t>
      </w:r>
    </w:p>
    <w:p>
      <w:pPr>
        <w:spacing w:line="360" w:lineRule="auto"/>
        <w:rPr>
          <w:rFonts w:ascii="宋体" w:cs="宋体"/>
          <w:sz w:val="21"/>
          <w:szCs w:val="21"/>
        </w:rPr>
      </w:pPr>
      <w:r>
        <w:rPr>
          <w:rFonts w:hint="eastAsia" w:ascii="宋体" w:hAnsi="宋体"/>
          <w:b/>
          <w:bCs/>
          <w:color w:val="000000" w:themeColor="text1"/>
          <w:sz w:val="21"/>
          <w:szCs w:val="21"/>
        </w:rPr>
        <w:t>四、安全要求：</w:t>
      </w:r>
      <w:r>
        <w:rPr>
          <w:rFonts w:hint="eastAsia" w:ascii="宋体" w:cs="宋体"/>
          <w:sz w:val="21"/>
          <w:szCs w:val="21"/>
        </w:rPr>
        <w:t>中标单位施工前需对进场的全部管理人员及工人购买意外伤害险。保险额度不低于50万/人。并提供相关复印件给甲方备案审查；</w:t>
      </w:r>
    </w:p>
    <w:p>
      <w:pPr>
        <w:snapToGrid w:val="0"/>
        <w:spacing w:line="360" w:lineRule="auto"/>
        <w:ind w:right="200" w:rightChars="100"/>
        <w:rPr>
          <w:rFonts w:hint="eastAsia" w:cs="Arial" w:asciiTheme="minorEastAsia" w:hAnsiTheme="minorEastAsia" w:eastAsiaTheme="minorEastAsia"/>
          <w:b/>
          <w:bCs w:val="0"/>
          <w:color w:val="000000" w:themeColor="text1"/>
          <w:sz w:val="21"/>
          <w:szCs w:val="21"/>
          <w:lang w:val="en-US" w:eastAsia="zh-CN"/>
        </w:rPr>
      </w:pPr>
      <w:r>
        <w:rPr>
          <w:rFonts w:hint="eastAsia" w:cs="Arial" w:asciiTheme="minorEastAsia" w:hAnsiTheme="minorEastAsia" w:eastAsiaTheme="minorEastAsia"/>
          <w:b/>
          <w:bCs w:val="0"/>
          <w:color w:val="000000" w:themeColor="text1"/>
          <w:sz w:val="21"/>
          <w:szCs w:val="21"/>
          <w:lang w:val="en-US" w:eastAsia="zh-CN"/>
        </w:rPr>
        <w:t>五</w:t>
      </w:r>
      <w:r>
        <w:rPr>
          <w:rFonts w:hint="eastAsia" w:cs="Arial" w:asciiTheme="minorEastAsia" w:hAnsiTheme="minorEastAsia" w:eastAsiaTheme="minorEastAsia"/>
          <w:b/>
          <w:bCs w:val="0"/>
          <w:color w:val="000000" w:themeColor="text1"/>
          <w:sz w:val="21"/>
          <w:szCs w:val="21"/>
        </w:rPr>
        <w:t>、</w:t>
      </w:r>
      <w:r>
        <w:rPr>
          <w:rFonts w:hint="eastAsia" w:cs="Arial" w:asciiTheme="minorEastAsia" w:hAnsiTheme="minorEastAsia" w:eastAsiaTheme="minorEastAsia"/>
          <w:b/>
          <w:bCs w:val="0"/>
          <w:color w:val="000000" w:themeColor="text1"/>
          <w:sz w:val="21"/>
          <w:szCs w:val="21"/>
          <w:lang w:val="en-US" w:eastAsia="zh-CN"/>
        </w:rPr>
        <w:t>资质要求：</w:t>
      </w:r>
    </w:p>
    <w:p>
      <w:pPr>
        <w:snapToGrid w:val="0"/>
        <w:spacing w:line="360" w:lineRule="auto"/>
        <w:ind w:right="200" w:rightChars="100" w:firstLine="420" w:firstLineChars="200"/>
        <w:rPr>
          <w:rFonts w:hint="eastAsia" w:cs="Arial" w:asciiTheme="minorEastAsia" w:hAnsiTheme="minorEastAsia" w:eastAsiaTheme="minorEastAsia"/>
          <w:b w:val="0"/>
          <w:bCs/>
          <w:color w:val="000000" w:themeColor="text1"/>
          <w:sz w:val="21"/>
          <w:szCs w:val="21"/>
          <w:lang w:val="en-US" w:eastAsia="zh-CN"/>
        </w:rPr>
      </w:pPr>
      <w:r>
        <w:rPr>
          <w:rFonts w:hint="eastAsia" w:cs="Arial" w:asciiTheme="minorEastAsia" w:hAnsiTheme="minorEastAsia" w:eastAsiaTheme="minorEastAsia"/>
          <w:b w:val="0"/>
          <w:bCs/>
          <w:color w:val="000000" w:themeColor="text1"/>
          <w:sz w:val="21"/>
          <w:szCs w:val="21"/>
          <w:lang w:val="en-US" w:eastAsia="zh-CN"/>
        </w:rPr>
        <w:t>标段一:公司成立5年以上；注册资本1000万以上；电子与智能化工程专业承包贰级或以上；大华官方金牌授权代理商；原厂售后服务承诺书。标段二：公司成立5年以上；注册资本1000万以上；电子与智能化工程专业承包贰级或以上；信息安全管理体系认证；信息技术服务管理体系认证；</w:t>
      </w:r>
    </w:p>
    <w:p>
      <w:pPr>
        <w:snapToGrid w:val="0"/>
        <w:spacing w:line="360" w:lineRule="auto"/>
        <w:ind w:right="200" w:rightChars="100"/>
        <w:rPr>
          <w:rFonts w:hint="eastAsia" w:ascii="宋体" w:cs="宋体"/>
          <w:b/>
          <w:bCs/>
          <w:sz w:val="21"/>
          <w:szCs w:val="21"/>
        </w:rPr>
      </w:pPr>
      <w:r>
        <w:rPr>
          <w:rFonts w:hint="eastAsia" w:cs="Arial" w:asciiTheme="minorEastAsia" w:hAnsiTheme="minorEastAsia" w:eastAsiaTheme="minorEastAsia"/>
          <w:b/>
          <w:bCs w:val="0"/>
          <w:color w:val="000000" w:themeColor="text1"/>
          <w:sz w:val="21"/>
          <w:szCs w:val="21"/>
          <w:lang w:val="en-US" w:eastAsia="zh-CN"/>
        </w:rPr>
        <w:t xml:space="preserve">     注：投标单位可选择其中一个标段进行投标，如资质同时满足也可选择两个标段进行投标。</w:t>
      </w:r>
    </w:p>
    <w:p>
      <w:pPr>
        <w:spacing w:line="360" w:lineRule="auto"/>
        <w:rPr>
          <w:rFonts w:hint="eastAsia" w:ascii="宋体" w:cs="宋体"/>
          <w:b/>
          <w:bCs/>
          <w:sz w:val="21"/>
          <w:szCs w:val="21"/>
          <w:lang w:val="en-US" w:eastAsia="zh-CN"/>
        </w:rPr>
      </w:pPr>
      <w:r>
        <w:rPr>
          <w:rFonts w:hint="eastAsia" w:ascii="宋体" w:cs="宋体"/>
          <w:b/>
          <w:bCs/>
          <w:sz w:val="21"/>
          <w:szCs w:val="21"/>
          <w:lang w:val="en-US" w:eastAsia="zh-CN"/>
        </w:rPr>
        <w:t>六</w:t>
      </w:r>
      <w:r>
        <w:rPr>
          <w:rFonts w:hint="eastAsia" w:ascii="宋体" w:cs="宋体"/>
          <w:b/>
          <w:bCs/>
          <w:sz w:val="21"/>
          <w:szCs w:val="21"/>
        </w:rPr>
        <w:t>、</w:t>
      </w:r>
      <w:r>
        <w:rPr>
          <w:rFonts w:hint="eastAsia" w:ascii="宋体" w:cs="宋体"/>
          <w:b/>
          <w:bCs/>
          <w:sz w:val="21"/>
          <w:szCs w:val="21"/>
          <w:lang w:val="en-US" w:eastAsia="zh-CN"/>
        </w:rPr>
        <w:t>质保</w:t>
      </w:r>
      <w:r>
        <w:rPr>
          <w:rFonts w:hint="eastAsia" w:ascii="宋体" w:cs="宋体"/>
          <w:b/>
          <w:bCs/>
          <w:sz w:val="21"/>
          <w:szCs w:val="21"/>
        </w:rPr>
        <w:t>要求：质保期不少于三年，投标单位可自行填报</w:t>
      </w:r>
      <w:r>
        <w:rPr>
          <w:rFonts w:hint="eastAsia" w:ascii="宋体" w:cs="宋体"/>
          <w:b w:val="0"/>
          <w:bCs w:val="0"/>
          <w:sz w:val="21"/>
          <w:szCs w:val="21"/>
          <w:lang w:val="en-US" w:eastAsia="zh-CN"/>
        </w:rPr>
        <w:t>；</w:t>
      </w:r>
    </w:p>
    <w:p>
      <w:pPr>
        <w:spacing w:line="360" w:lineRule="auto"/>
        <w:rPr>
          <w:rFonts w:hint="eastAsia" w:ascii="宋体" w:hAnsi="宋体"/>
          <w:color w:val="000000" w:themeColor="text1"/>
          <w:sz w:val="21"/>
          <w:szCs w:val="21"/>
        </w:rPr>
      </w:pPr>
      <w:r>
        <w:rPr>
          <w:rFonts w:hint="eastAsia" w:ascii="宋体" w:hAnsi="宋体"/>
          <w:b/>
          <w:bCs/>
          <w:color w:val="000000" w:themeColor="text1"/>
          <w:sz w:val="21"/>
          <w:szCs w:val="21"/>
          <w:lang w:val="en-US" w:eastAsia="zh-CN"/>
        </w:rPr>
        <w:t>七</w:t>
      </w:r>
      <w:r>
        <w:rPr>
          <w:rFonts w:hint="eastAsia" w:ascii="宋体" w:hAnsi="宋体"/>
          <w:b/>
          <w:bCs/>
          <w:color w:val="000000" w:themeColor="text1"/>
          <w:sz w:val="21"/>
          <w:szCs w:val="21"/>
        </w:rPr>
        <w:t>、报价要求：</w:t>
      </w:r>
      <w:r>
        <w:rPr>
          <w:rFonts w:hint="eastAsia" w:ascii="宋体" w:hAnsi="宋体"/>
          <w:color w:val="000000" w:themeColor="text1"/>
          <w:sz w:val="21"/>
          <w:szCs w:val="21"/>
        </w:rPr>
        <w:t>按照第十四章报价单模板进行报价，本项目单价包死，据实结算。</w:t>
      </w:r>
    </w:p>
    <w:p>
      <w:pPr>
        <w:spacing w:line="360" w:lineRule="auto"/>
        <w:rPr>
          <w:rFonts w:hint="eastAsia" w:ascii="宋体" w:hAnsi="宋体"/>
          <w:color w:val="000000" w:themeColor="text1"/>
          <w:sz w:val="21"/>
          <w:szCs w:val="21"/>
        </w:rPr>
      </w:pPr>
    </w:p>
    <w:p>
      <w:pPr>
        <w:spacing w:line="360" w:lineRule="auto"/>
        <w:rPr>
          <w:rFonts w:ascii="宋体" w:hAnsi="宋体"/>
          <w:b/>
          <w:bCs/>
          <w:color w:val="000000" w:themeColor="text1"/>
          <w:sz w:val="44"/>
          <w:szCs w:val="44"/>
        </w:rPr>
      </w:pPr>
      <w:r>
        <w:rPr>
          <w:rFonts w:hint="eastAsia" w:ascii="宋体" w:hAnsi="宋体"/>
          <w:b/>
          <w:bCs/>
          <w:color w:val="000000" w:themeColor="text1"/>
          <w:sz w:val="44"/>
          <w:szCs w:val="44"/>
        </w:rPr>
        <w:br w:type="page"/>
      </w:r>
    </w:p>
    <w:p>
      <w:pPr>
        <w:pStyle w:val="2"/>
        <w:numPr>
          <w:ilvl w:val="0"/>
          <w:numId w:val="0"/>
        </w:numPr>
        <w:tabs>
          <w:tab w:val="left" w:pos="0"/>
        </w:tabs>
        <w:spacing w:beforeLines="100" w:afterLines="100" w:line="360" w:lineRule="auto"/>
        <w:ind w:hanging="6"/>
        <w:rPr>
          <w:rFonts w:ascii="宋体" w:hAnsi="宋体" w:eastAsia="宋体"/>
          <w:b/>
          <w:bCs/>
          <w:color w:val="000000" w:themeColor="text1"/>
          <w:sz w:val="44"/>
          <w:szCs w:val="44"/>
        </w:rPr>
      </w:pPr>
      <w:r>
        <w:rPr>
          <w:rFonts w:hint="eastAsia" w:ascii="宋体" w:hAnsi="宋体" w:eastAsia="宋体"/>
          <w:b/>
          <w:bCs/>
          <w:color w:val="000000" w:themeColor="text1"/>
          <w:sz w:val="44"/>
          <w:szCs w:val="44"/>
        </w:rPr>
        <w:t>第四章  评标办法</w:t>
      </w:r>
      <w:bookmarkEnd w:id="10"/>
    </w:p>
    <w:bookmarkEnd w:id="3"/>
    <w:bookmarkEnd w:id="4"/>
    <w:bookmarkEnd w:id="5"/>
    <w:bookmarkEnd w:id="6"/>
    <w:p>
      <w:pPr>
        <w:ind w:firstLine="424" w:firstLineChars="176"/>
        <w:rPr>
          <w:rFonts w:asciiTheme="minorEastAsia" w:hAnsiTheme="minorEastAsia" w:eastAsiaTheme="minorEastAsia"/>
          <w:b/>
          <w:sz w:val="24"/>
          <w:szCs w:val="24"/>
        </w:rPr>
      </w:pPr>
      <w:bookmarkStart w:id="11" w:name="_Toc397678296"/>
      <w:r>
        <w:rPr>
          <w:rFonts w:hint="eastAsia" w:asciiTheme="minorEastAsia" w:hAnsiTheme="minorEastAsia" w:eastAsiaTheme="minorEastAsia"/>
          <w:b/>
          <w:sz w:val="24"/>
          <w:szCs w:val="24"/>
        </w:rPr>
        <w:t>针对本项目具体情况，采用技术方案及报价相结合的方式对各投标单位投标技术方案、报价等情况进行综合评定。</w:t>
      </w:r>
    </w:p>
    <w:p>
      <w:pPr>
        <w:rPr>
          <w:rFonts w:ascii="宋体" w:hAnsi="宋体"/>
        </w:rPr>
      </w:pPr>
    </w:p>
    <w:p>
      <w:pPr>
        <w:rPr>
          <w:rFonts w:ascii="宋体" w:hAnsi="宋体"/>
        </w:rPr>
      </w:pPr>
    </w:p>
    <w:p>
      <w:pPr>
        <w:rPr>
          <w:rFonts w:ascii="宋体" w:hAnsi="宋体"/>
        </w:rPr>
      </w:pPr>
    </w:p>
    <w:p>
      <w:pPr>
        <w:rPr>
          <w:rFonts w:ascii="宋体" w:hAnsi="宋体"/>
        </w:rPr>
      </w:pPr>
    </w:p>
    <w:bookmarkEnd w:id="11"/>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p>
      <w:pPr>
        <w:spacing w:line="360" w:lineRule="auto"/>
        <w:jc w:val="center"/>
        <w:rPr>
          <w:rFonts w:asciiTheme="minorEastAsia" w:hAnsiTheme="minorEastAsia" w:eastAsiaTheme="minorEastAsia"/>
          <w:b/>
          <w:color w:val="333333"/>
          <w:sz w:val="48"/>
          <w:szCs w:val="48"/>
          <w:shd w:val="clear" w:color="auto" w:fill="FFFFFF"/>
        </w:rPr>
      </w:pPr>
    </w:p>
    <w:bookmarkEnd w:id="0"/>
    <w:bookmarkEnd w:id="1"/>
    <w:p>
      <w:pPr>
        <w:rPr>
          <w:rFonts w:hint="default"/>
          <w:b/>
          <w:bCs/>
          <w:sz w:val="24"/>
          <w:szCs w:val="24"/>
          <w:lang w:val="en-US" w:eastAsia="zh-CN"/>
        </w:rPr>
      </w:pPr>
    </w:p>
    <w:sectPr>
      <w:headerReference r:id="rId3" w:type="default"/>
      <w:footerReference r:id="rId4" w:type="default"/>
      <w:pgSz w:w="11907" w:h="16840"/>
      <w:pgMar w:top="720" w:right="720" w:bottom="720" w:left="720" w:header="851" w:footer="90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360" w:lineRule="auto"/>
      <w:jc w:val="center"/>
    </w:pPr>
    <w:r>
      <w:t xml:space="preserve">- </w:t>
    </w:r>
    <w:r>
      <w:fldChar w:fldCharType="begin"/>
    </w:r>
    <w:r>
      <w:instrText xml:space="preserve"> PAGE </w:instrText>
    </w:r>
    <w:r>
      <w:fldChar w:fldCharType="separate"/>
    </w:r>
    <w:r>
      <w:t>50</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13"/>
      </w:pBdr>
      <w:tabs>
        <w:tab w:val="center" w:pos="0"/>
        <w:tab w:val="clear" w:pos="4153"/>
      </w:tabs>
      <w:ind w:firstLine="810" w:firstLineChars="450"/>
      <w:jc w:val="both"/>
      <w:rPr>
        <w:sz w:val="24"/>
        <w:szCs w:val="24"/>
      </w:rPr>
    </w:pPr>
    <w:r>
      <w:drawing>
        <wp:anchor distT="0" distB="0" distL="114300" distR="114300" simplePos="0" relativeHeight="251659264" behindDoc="1" locked="0" layoutInCell="1" allowOverlap="1">
          <wp:simplePos x="0" y="0"/>
          <wp:positionH relativeFrom="column">
            <wp:posOffset>3810</wp:posOffset>
          </wp:positionH>
          <wp:positionV relativeFrom="paragraph">
            <wp:posOffset>-126365</wp:posOffset>
          </wp:positionV>
          <wp:extent cx="485775" cy="476250"/>
          <wp:effectExtent l="19050" t="0" r="9525" b="0"/>
          <wp:wrapTight wrapText="bothSides">
            <wp:wrapPolygon>
              <wp:start x="-847" y="0"/>
              <wp:lineTo x="-847" y="20736"/>
              <wp:lineTo x="22024" y="20736"/>
              <wp:lineTo x="22024" y="0"/>
              <wp:lineTo x="-847" y="0"/>
            </wp:wrapPolygon>
          </wp:wrapTight>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1"/>
                  <a:srcRect/>
                  <a:stretch>
                    <a:fillRect/>
                  </a:stretch>
                </pic:blipFill>
                <pic:spPr>
                  <a:xfrm>
                    <a:off x="0" y="0"/>
                    <a:ext cx="485775" cy="476250"/>
                  </a:xfrm>
                  <a:prstGeom prst="rect">
                    <a:avLst/>
                  </a:prstGeom>
                  <a:noFill/>
                  <a:ln w="9525">
                    <a:noFill/>
                    <a:miter lim="800000"/>
                    <a:headEnd/>
                    <a:tailEnd/>
                  </a:ln>
                </pic:spPr>
              </pic:pic>
            </a:graphicData>
          </a:graphic>
        </wp:anchor>
      </w:drawing>
    </w:r>
    <w:r>
      <w:rPr>
        <w:rFonts w:hint="eastAsia"/>
        <w:sz w:val="24"/>
        <w:szCs w:val="24"/>
      </w:rPr>
      <w:t xml:space="preserve"> 思念食品有限公司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2623AB37"/>
    <w:multiLevelType w:val="singleLevel"/>
    <w:tmpl w:val="2623AB37"/>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drawingGridHorizontalSpacing w:val="100"/>
  <w:drawingGridVerticalSpacing w:val="14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004"/>
    <w:rsid w:val="00000009"/>
    <w:rsid w:val="00000320"/>
    <w:rsid w:val="0000067B"/>
    <w:rsid w:val="00000CD3"/>
    <w:rsid w:val="000015D3"/>
    <w:rsid w:val="000123E5"/>
    <w:rsid w:val="00012CC3"/>
    <w:rsid w:val="00012EBA"/>
    <w:rsid w:val="0001601A"/>
    <w:rsid w:val="000233A8"/>
    <w:rsid w:val="00024343"/>
    <w:rsid w:val="00027DDE"/>
    <w:rsid w:val="00033AFB"/>
    <w:rsid w:val="000401A6"/>
    <w:rsid w:val="000512F8"/>
    <w:rsid w:val="00052253"/>
    <w:rsid w:val="00052790"/>
    <w:rsid w:val="00055C24"/>
    <w:rsid w:val="000665D8"/>
    <w:rsid w:val="00067A15"/>
    <w:rsid w:val="00071A14"/>
    <w:rsid w:val="00073272"/>
    <w:rsid w:val="00076F80"/>
    <w:rsid w:val="0007733C"/>
    <w:rsid w:val="00082388"/>
    <w:rsid w:val="000826D3"/>
    <w:rsid w:val="00085F37"/>
    <w:rsid w:val="000865A6"/>
    <w:rsid w:val="00086E98"/>
    <w:rsid w:val="000929A6"/>
    <w:rsid w:val="000949C4"/>
    <w:rsid w:val="00094AAB"/>
    <w:rsid w:val="00097679"/>
    <w:rsid w:val="000A09AC"/>
    <w:rsid w:val="000A46AD"/>
    <w:rsid w:val="000B1F71"/>
    <w:rsid w:val="000B28BB"/>
    <w:rsid w:val="000B767D"/>
    <w:rsid w:val="000C6423"/>
    <w:rsid w:val="000D0370"/>
    <w:rsid w:val="000D1C73"/>
    <w:rsid w:val="000D2836"/>
    <w:rsid w:val="000D2F25"/>
    <w:rsid w:val="000D493A"/>
    <w:rsid w:val="000D5F2F"/>
    <w:rsid w:val="000D73BD"/>
    <w:rsid w:val="000E01FE"/>
    <w:rsid w:val="000E2D9B"/>
    <w:rsid w:val="000E3EF8"/>
    <w:rsid w:val="000E589B"/>
    <w:rsid w:val="000E78AA"/>
    <w:rsid w:val="000F3384"/>
    <w:rsid w:val="000F3D92"/>
    <w:rsid w:val="000F4AF7"/>
    <w:rsid w:val="00106542"/>
    <w:rsid w:val="00116452"/>
    <w:rsid w:val="00120123"/>
    <w:rsid w:val="00121003"/>
    <w:rsid w:val="0012234F"/>
    <w:rsid w:val="00125939"/>
    <w:rsid w:val="00134CF2"/>
    <w:rsid w:val="0014003C"/>
    <w:rsid w:val="0014221F"/>
    <w:rsid w:val="001505E9"/>
    <w:rsid w:val="001532DA"/>
    <w:rsid w:val="00154834"/>
    <w:rsid w:val="00166E45"/>
    <w:rsid w:val="00172A27"/>
    <w:rsid w:val="001759B4"/>
    <w:rsid w:val="00175B73"/>
    <w:rsid w:val="00181090"/>
    <w:rsid w:val="00182AFB"/>
    <w:rsid w:val="00183628"/>
    <w:rsid w:val="0018755A"/>
    <w:rsid w:val="0019161D"/>
    <w:rsid w:val="00194C17"/>
    <w:rsid w:val="00195F2A"/>
    <w:rsid w:val="00196063"/>
    <w:rsid w:val="00197B84"/>
    <w:rsid w:val="001A7E38"/>
    <w:rsid w:val="001B0F97"/>
    <w:rsid w:val="001B0FC9"/>
    <w:rsid w:val="001B2782"/>
    <w:rsid w:val="001B2816"/>
    <w:rsid w:val="001B2EAD"/>
    <w:rsid w:val="001B5157"/>
    <w:rsid w:val="001B6008"/>
    <w:rsid w:val="001C0B75"/>
    <w:rsid w:val="001C1603"/>
    <w:rsid w:val="001C25E4"/>
    <w:rsid w:val="001C2F5F"/>
    <w:rsid w:val="001C4FAB"/>
    <w:rsid w:val="001D0CC6"/>
    <w:rsid w:val="001D17D0"/>
    <w:rsid w:val="001D2644"/>
    <w:rsid w:val="001D7441"/>
    <w:rsid w:val="001E1311"/>
    <w:rsid w:val="001E18B4"/>
    <w:rsid w:val="001E2CA3"/>
    <w:rsid w:val="001E42D8"/>
    <w:rsid w:val="001E5E1C"/>
    <w:rsid w:val="001F0B6D"/>
    <w:rsid w:val="001F7127"/>
    <w:rsid w:val="00200E3C"/>
    <w:rsid w:val="002026C8"/>
    <w:rsid w:val="002061F9"/>
    <w:rsid w:val="00211A65"/>
    <w:rsid w:val="0021425B"/>
    <w:rsid w:val="00221A0D"/>
    <w:rsid w:val="00225471"/>
    <w:rsid w:val="00225879"/>
    <w:rsid w:val="00230E73"/>
    <w:rsid w:val="00233094"/>
    <w:rsid w:val="00234CB4"/>
    <w:rsid w:val="002405BC"/>
    <w:rsid w:val="002443CB"/>
    <w:rsid w:val="0025230A"/>
    <w:rsid w:val="00253C4F"/>
    <w:rsid w:val="00262CC5"/>
    <w:rsid w:val="002653F0"/>
    <w:rsid w:val="00270024"/>
    <w:rsid w:val="00270B16"/>
    <w:rsid w:val="00271130"/>
    <w:rsid w:val="00271D70"/>
    <w:rsid w:val="00282AE8"/>
    <w:rsid w:val="00284D53"/>
    <w:rsid w:val="00292C17"/>
    <w:rsid w:val="00293C7D"/>
    <w:rsid w:val="00294646"/>
    <w:rsid w:val="002A49EE"/>
    <w:rsid w:val="002A79C5"/>
    <w:rsid w:val="002B2FF6"/>
    <w:rsid w:val="002B57D0"/>
    <w:rsid w:val="002B603A"/>
    <w:rsid w:val="002B6306"/>
    <w:rsid w:val="002B63A4"/>
    <w:rsid w:val="002C0B92"/>
    <w:rsid w:val="002C120C"/>
    <w:rsid w:val="002C34D7"/>
    <w:rsid w:val="002C6C9B"/>
    <w:rsid w:val="002C74BF"/>
    <w:rsid w:val="002C78ED"/>
    <w:rsid w:val="002D6195"/>
    <w:rsid w:val="002E511D"/>
    <w:rsid w:val="002E5659"/>
    <w:rsid w:val="002F0A9B"/>
    <w:rsid w:val="002F3C6A"/>
    <w:rsid w:val="002F4D6F"/>
    <w:rsid w:val="00301BFE"/>
    <w:rsid w:val="00307554"/>
    <w:rsid w:val="00313CCE"/>
    <w:rsid w:val="00313EB7"/>
    <w:rsid w:val="00316964"/>
    <w:rsid w:val="00320CBD"/>
    <w:rsid w:val="00321209"/>
    <w:rsid w:val="0032290C"/>
    <w:rsid w:val="0032461E"/>
    <w:rsid w:val="00330776"/>
    <w:rsid w:val="00332966"/>
    <w:rsid w:val="00336E13"/>
    <w:rsid w:val="00337296"/>
    <w:rsid w:val="0034243E"/>
    <w:rsid w:val="00352B48"/>
    <w:rsid w:val="00355971"/>
    <w:rsid w:val="00355EFC"/>
    <w:rsid w:val="00356CBC"/>
    <w:rsid w:val="00357607"/>
    <w:rsid w:val="003609DE"/>
    <w:rsid w:val="00370CAF"/>
    <w:rsid w:val="00371857"/>
    <w:rsid w:val="00376EAB"/>
    <w:rsid w:val="0038143F"/>
    <w:rsid w:val="00382B0B"/>
    <w:rsid w:val="003842DF"/>
    <w:rsid w:val="0038486B"/>
    <w:rsid w:val="003857C7"/>
    <w:rsid w:val="00387B46"/>
    <w:rsid w:val="003901DE"/>
    <w:rsid w:val="003920BA"/>
    <w:rsid w:val="00392193"/>
    <w:rsid w:val="00396228"/>
    <w:rsid w:val="0039637A"/>
    <w:rsid w:val="003A5E9B"/>
    <w:rsid w:val="003A7F48"/>
    <w:rsid w:val="003B10E7"/>
    <w:rsid w:val="003B3BC4"/>
    <w:rsid w:val="003C2AE0"/>
    <w:rsid w:val="003C301D"/>
    <w:rsid w:val="003C3B03"/>
    <w:rsid w:val="003C42F9"/>
    <w:rsid w:val="003C5705"/>
    <w:rsid w:val="003C5E54"/>
    <w:rsid w:val="003C69D6"/>
    <w:rsid w:val="003C7FAA"/>
    <w:rsid w:val="003D449D"/>
    <w:rsid w:val="003D576F"/>
    <w:rsid w:val="003E17DD"/>
    <w:rsid w:val="003F1B61"/>
    <w:rsid w:val="003F3A05"/>
    <w:rsid w:val="003F7F9B"/>
    <w:rsid w:val="0040003C"/>
    <w:rsid w:val="004009D5"/>
    <w:rsid w:val="00407004"/>
    <w:rsid w:val="00410A18"/>
    <w:rsid w:val="00414109"/>
    <w:rsid w:val="00414118"/>
    <w:rsid w:val="00420DD1"/>
    <w:rsid w:val="0042350F"/>
    <w:rsid w:val="00425C9E"/>
    <w:rsid w:val="00427E1D"/>
    <w:rsid w:val="00430281"/>
    <w:rsid w:val="00430ED4"/>
    <w:rsid w:val="00437861"/>
    <w:rsid w:val="00440D7A"/>
    <w:rsid w:val="00442256"/>
    <w:rsid w:val="00442D90"/>
    <w:rsid w:val="00444CD1"/>
    <w:rsid w:val="00451AAD"/>
    <w:rsid w:val="0045326E"/>
    <w:rsid w:val="00454648"/>
    <w:rsid w:val="00454AAF"/>
    <w:rsid w:val="00454C78"/>
    <w:rsid w:val="00455588"/>
    <w:rsid w:val="00462170"/>
    <w:rsid w:val="004629C5"/>
    <w:rsid w:val="004642D3"/>
    <w:rsid w:val="0047104B"/>
    <w:rsid w:val="00472C4E"/>
    <w:rsid w:val="00473072"/>
    <w:rsid w:val="00475EC4"/>
    <w:rsid w:val="004770D4"/>
    <w:rsid w:val="0047795C"/>
    <w:rsid w:val="00481CD8"/>
    <w:rsid w:val="00487236"/>
    <w:rsid w:val="00490918"/>
    <w:rsid w:val="0049211B"/>
    <w:rsid w:val="00496799"/>
    <w:rsid w:val="00496B96"/>
    <w:rsid w:val="004A2BAF"/>
    <w:rsid w:val="004A3D18"/>
    <w:rsid w:val="004A621D"/>
    <w:rsid w:val="004A7C40"/>
    <w:rsid w:val="004B4680"/>
    <w:rsid w:val="004B4C8D"/>
    <w:rsid w:val="004B64D7"/>
    <w:rsid w:val="004C04B2"/>
    <w:rsid w:val="004C3589"/>
    <w:rsid w:val="004C4804"/>
    <w:rsid w:val="004D21F8"/>
    <w:rsid w:val="004D33E8"/>
    <w:rsid w:val="004D38DA"/>
    <w:rsid w:val="004D66DB"/>
    <w:rsid w:val="004E1AD7"/>
    <w:rsid w:val="004E1ADB"/>
    <w:rsid w:val="004E23F9"/>
    <w:rsid w:val="004E310F"/>
    <w:rsid w:val="004E60D5"/>
    <w:rsid w:val="004E76E8"/>
    <w:rsid w:val="004F7F0B"/>
    <w:rsid w:val="005001D7"/>
    <w:rsid w:val="005026AF"/>
    <w:rsid w:val="0050543C"/>
    <w:rsid w:val="00505681"/>
    <w:rsid w:val="00507B82"/>
    <w:rsid w:val="005105D5"/>
    <w:rsid w:val="005133CB"/>
    <w:rsid w:val="00514546"/>
    <w:rsid w:val="0051539C"/>
    <w:rsid w:val="00515561"/>
    <w:rsid w:val="00517769"/>
    <w:rsid w:val="00520B7E"/>
    <w:rsid w:val="005250FE"/>
    <w:rsid w:val="00525B7B"/>
    <w:rsid w:val="005270D3"/>
    <w:rsid w:val="00531C8E"/>
    <w:rsid w:val="00532644"/>
    <w:rsid w:val="005328B7"/>
    <w:rsid w:val="00532C94"/>
    <w:rsid w:val="00540F41"/>
    <w:rsid w:val="005416FF"/>
    <w:rsid w:val="0054262F"/>
    <w:rsid w:val="00545FEF"/>
    <w:rsid w:val="0055052C"/>
    <w:rsid w:val="00550B1C"/>
    <w:rsid w:val="005528DD"/>
    <w:rsid w:val="005566E0"/>
    <w:rsid w:val="00557585"/>
    <w:rsid w:val="005652CE"/>
    <w:rsid w:val="00565BE6"/>
    <w:rsid w:val="00567A3A"/>
    <w:rsid w:val="00567B92"/>
    <w:rsid w:val="0057279A"/>
    <w:rsid w:val="005744AF"/>
    <w:rsid w:val="00575904"/>
    <w:rsid w:val="00576309"/>
    <w:rsid w:val="00577FE8"/>
    <w:rsid w:val="0058410B"/>
    <w:rsid w:val="00587B73"/>
    <w:rsid w:val="00592675"/>
    <w:rsid w:val="00594353"/>
    <w:rsid w:val="00596EEE"/>
    <w:rsid w:val="005A0847"/>
    <w:rsid w:val="005A093C"/>
    <w:rsid w:val="005A341F"/>
    <w:rsid w:val="005A3FD6"/>
    <w:rsid w:val="005A4B9D"/>
    <w:rsid w:val="005A60EC"/>
    <w:rsid w:val="005A6E78"/>
    <w:rsid w:val="005B13F4"/>
    <w:rsid w:val="005B190B"/>
    <w:rsid w:val="005C0970"/>
    <w:rsid w:val="005C18BD"/>
    <w:rsid w:val="005C39A5"/>
    <w:rsid w:val="005C42C5"/>
    <w:rsid w:val="005C67D8"/>
    <w:rsid w:val="005C7F84"/>
    <w:rsid w:val="005D2712"/>
    <w:rsid w:val="005D4125"/>
    <w:rsid w:val="005E1247"/>
    <w:rsid w:val="005F7524"/>
    <w:rsid w:val="006058F0"/>
    <w:rsid w:val="0060745E"/>
    <w:rsid w:val="00610797"/>
    <w:rsid w:val="00611823"/>
    <w:rsid w:val="00613D87"/>
    <w:rsid w:val="0061669A"/>
    <w:rsid w:val="00617864"/>
    <w:rsid w:val="00620893"/>
    <w:rsid w:val="00625C87"/>
    <w:rsid w:val="0062777E"/>
    <w:rsid w:val="006308CE"/>
    <w:rsid w:val="00633F5B"/>
    <w:rsid w:val="006369F2"/>
    <w:rsid w:val="0064615B"/>
    <w:rsid w:val="006476C9"/>
    <w:rsid w:val="006500CC"/>
    <w:rsid w:val="0065459D"/>
    <w:rsid w:val="0065484C"/>
    <w:rsid w:val="00660860"/>
    <w:rsid w:val="00662108"/>
    <w:rsid w:val="00662E93"/>
    <w:rsid w:val="006630E1"/>
    <w:rsid w:val="00663FD8"/>
    <w:rsid w:val="00674A43"/>
    <w:rsid w:val="00674AE1"/>
    <w:rsid w:val="00675516"/>
    <w:rsid w:val="0068031B"/>
    <w:rsid w:val="0068187D"/>
    <w:rsid w:val="006849E3"/>
    <w:rsid w:val="0068587F"/>
    <w:rsid w:val="006869D7"/>
    <w:rsid w:val="006A095C"/>
    <w:rsid w:val="006A7637"/>
    <w:rsid w:val="006B4534"/>
    <w:rsid w:val="006B5D67"/>
    <w:rsid w:val="006C4123"/>
    <w:rsid w:val="006C5835"/>
    <w:rsid w:val="006D2A7B"/>
    <w:rsid w:val="006D30BE"/>
    <w:rsid w:val="006E020A"/>
    <w:rsid w:val="006E4E7C"/>
    <w:rsid w:val="006E65BC"/>
    <w:rsid w:val="006F1361"/>
    <w:rsid w:val="006F159D"/>
    <w:rsid w:val="006F37FD"/>
    <w:rsid w:val="006F407C"/>
    <w:rsid w:val="007132B1"/>
    <w:rsid w:val="00714A79"/>
    <w:rsid w:val="007227E0"/>
    <w:rsid w:val="007230BF"/>
    <w:rsid w:val="00726E3A"/>
    <w:rsid w:val="00740BEF"/>
    <w:rsid w:val="00740CC4"/>
    <w:rsid w:val="00744850"/>
    <w:rsid w:val="007450F0"/>
    <w:rsid w:val="00745F80"/>
    <w:rsid w:val="007468BF"/>
    <w:rsid w:val="0074755F"/>
    <w:rsid w:val="007507B8"/>
    <w:rsid w:val="00751EBD"/>
    <w:rsid w:val="007547C5"/>
    <w:rsid w:val="00757DBA"/>
    <w:rsid w:val="0076285C"/>
    <w:rsid w:val="00764506"/>
    <w:rsid w:val="0076512D"/>
    <w:rsid w:val="00767424"/>
    <w:rsid w:val="00773491"/>
    <w:rsid w:val="00776E95"/>
    <w:rsid w:val="007818ED"/>
    <w:rsid w:val="0078219E"/>
    <w:rsid w:val="00783B20"/>
    <w:rsid w:val="0079649C"/>
    <w:rsid w:val="00797B73"/>
    <w:rsid w:val="007A166B"/>
    <w:rsid w:val="007A3A40"/>
    <w:rsid w:val="007B09D1"/>
    <w:rsid w:val="007C1205"/>
    <w:rsid w:val="007D1650"/>
    <w:rsid w:val="007D2669"/>
    <w:rsid w:val="007D33C2"/>
    <w:rsid w:val="007D524E"/>
    <w:rsid w:val="007E3333"/>
    <w:rsid w:val="007E394E"/>
    <w:rsid w:val="007F4073"/>
    <w:rsid w:val="007F59E0"/>
    <w:rsid w:val="007F620F"/>
    <w:rsid w:val="0080451C"/>
    <w:rsid w:val="00814065"/>
    <w:rsid w:val="00815831"/>
    <w:rsid w:val="00815D61"/>
    <w:rsid w:val="008161F8"/>
    <w:rsid w:val="008207D7"/>
    <w:rsid w:val="00820C49"/>
    <w:rsid w:val="00821312"/>
    <w:rsid w:val="00822D85"/>
    <w:rsid w:val="008266EF"/>
    <w:rsid w:val="00831CB7"/>
    <w:rsid w:val="00834AC9"/>
    <w:rsid w:val="00836BCC"/>
    <w:rsid w:val="008414D0"/>
    <w:rsid w:val="00841A3E"/>
    <w:rsid w:val="00843F54"/>
    <w:rsid w:val="00852C92"/>
    <w:rsid w:val="0085430F"/>
    <w:rsid w:val="008622AD"/>
    <w:rsid w:val="00865573"/>
    <w:rsid w:val="00865647"/>
    <w:rsid w:val="00867E2C"/>
    <w:rsid w:val="00870B86"/>
    <w:rsid w:val="00876C20"/>
    <w:rsid w:val="0088237D"/>
    <w:rsid w:val="0088268E"/>
    <w:rsid w:val="008832DF"/>
    <w:rsid w:val="0088498F"/>
    <w:rsid w:val="008922B3"/>
    <w:rsid w:val="008922E9"/>
    <w:rsid w:val="0089401C"/>
    <w:rsid w:val="008945A5"/>
    <w:rsid w:val="0089522F"/>
    <w:rsid w:val="00895D5D"/>
    <w:rsid w:val="008973AE"/>
    <w:rsid w:val="008A2BE3"/>
    <w:rsid w:val="008A45CC"/>
    <w:rsid w:val="008A64D4"/>
    <w:rsid w:val="008B0190"/>
    <w:rsid w:val="008B19B0"/>
    <w:rsid w:val="008C28CD"/>
    <w:rsid w:val="008C7616"/>
    <w:rsid w:val="008D705C"/>
    <w:rsid w:val="008D7819"/>
    <w:rsid w:val="008D7F51"/>
    <w:rsid w:val="008E56A6"/>
    <w:rsid w:val="008E58EA"/>
    <w:rsid w:val="008E7F6C"/>
    <w:rsid w:val="008F2721"/>
    <w:rsid w:val="008F2FAA"/>
    <w:rsid w:val="008F68B0"/>
    <w:rsid w:val="00906A22"/>
    <w:rsid w:val="00906ED9"/>
    <w:rsid w:val="00906EDD"/>
    <w:rsid w:val="00907DAD"/>
    <w:rsid w:val="00910ABD"/>
    <w:rsid w:val="009122D4"/>
    <w:rsid w:val="00916D8E"/>
    <w:rsid w:val="0091741F"/>
    <w:rsid w:val="009203D1"/>
    <w:rsid w:val="00923F83"/>
    <w:rsid w:val="0093422E"/>
    <w:rsid w:val="00937C62"/>
    <w:rsid w:val="009428B2"/>
    <w:rsid w:val="00943F45"/>
    <w:rsid w:val="00950013"/>
    <w:rsid w:val="00950FA2"/>
    <w:rsid w:val="009525CF"/>
    <w:rsid w:val="009537C8"/>
    <w:rsid w:val="00955DD3"/>
    <w:rsid w:val="00957D44"/>
    <w:rsid w:val="00961596"/>
    <w:rsid w:val="009634C2"/>
    <w:rsid w:val="00964AC4"/>
    <w:rsid w:val="009678B7"/>
    <w:rsid w:val="00970221"/>
    <w:rsid w:val="00971C76"/>
    <w:rsid w:val="009815E0"/>
    <w:rsid w:val="00983A8B"/>
    <w:rsid w:val="009862CE"/>
    <w:rsid w:val="009925FB"/>
    <w:rsid w:val="00993E1D"/>
    <w:rsid w:val="00994B98"/>
    <w:rsid w:val="00996B96"/>
    <w:rsid w:val="009A0A88"/>
    <w:rsid w:val="009A57D8"/>
    <w:rsid w:val="009B0031"/>
    <w:rsid w:val="009B0820"/>
    <w:rsid w:val="009B18EC"/>
    <w:rsid w:val="009B3EC6"/>
    <w:rsid w:val="009B4AFA"/>
    <w:rsid w:val="009C69FC"/>
    <w:rsid w:val="009D0963"/>
    <w:rsid w:val="009D5286"/>
    <w:rsid w:val="009D77A8"/>
    <w:rsid w:val="009E10FF"/>
    <w:rsid w:val="009E193C"/>
    <w:rsid w:val="009E552D"/>
    <w:rsid w:val="009F3661"/>
    <w:rsid w:val="009F47FA"/>
    <w:rsid w:val="009F6F96"/>
    <w:rsid w:val="009F6F98"/>
    <w:rsid w:val="009F7012"/>
    <w:rsid w:val="00A00B21"/>
    <w:rsid w:val="00A02BD0"/>
    <w:rsid w:val="00A02FE5"/>
    <w:rsid w:val="00A036E6"/>
    <w:rsid w:val="00A04A3B"/>
    <w:rsid w:val="00A07E44"/>
    <w:rsid w:val="00A14692"/>
    <w:rsid w:val="00A1492B"/>
    <w:rsid w:val="00A15F4D"/>
    <w:rsid w:val="00A17A9E"/>
    <w:rsid w:val="00A25FB9"/>
    <w:rsid w:val="00A272CA"/>
    <w:rsid w:val="00A30237"/>
    <w:rsid w:val="00A372C5"/>
    <w:rsid w:val="00A4051A"/>
    <w:rsid w:val="00A40F4E"/>
    <w:rsid w:val="00A41BCE"/>
    <w:rsid w:val="00A4214E"/>
    <w:rsid w:val="00A46558"/>
    <w:rsid w:val="00A5056B"/>
    <w:rsid w:val="00A52A76"/>
    <w:rsid w:val="00A53951"/>
    <w:rsid w:val="00A55D70"/>
    <w:rsid w:val="00A56EF0"/>
    <w:rsid w:val="00A611AF"/>
    <w:rsid w:val="00A6178D"/>
    <w:rsid w:val="00A64161"/>
    <w:rsid w:val="00A64270"/>
    <w:rsid w:val="00A71908"/>
    <w:rsid w:val="00A71C4F"/>
    <w:rsid w:val="00A92D9B"/>
    <w:rsid w:val="00A9599B"/>
    <w:rsid w:val="00A96B33"/>
    <w:rsid w:val="00A97DB1"/>
    <w:rsid w:val="00AA4183"/>
    <w:rsid w:val="00AA47B8"/>
    <w:rsid w:val="00AB1705"/>
    <w:rsid w:val="00AB2565"/>
    <w:rsid w:val="00AB327D"/>
    <w:rsid w:val="00AB6271"/>
    <w:rsid w:val="00AC0E1E"/>
    <w:rsid w:val="00AC18B2"/>
    <w:rsid w:val="00AC2BA9"/>
    <w:rsid w:val="00AC2CA8"/>
    <w:rsid w:val="00AC3120"/>
    <w:rsid w:val="00AD0993"/>
    <w:rsid w:val="00AD75E5"/>
    <w:rsid w:val="00AD7EF3"/>
    <w:rsid w:val="00AE11EC"/>
    <w:rsid w:val="00AE321D"/>
    <w:rsid w:val="00AE3C2B"/>
    <w:rsid w:val="00AE5E80"/>
    <w:rsid w:val="00AE746C"/>
    <w:rsid w:val="00AF1641"/>
    <w:rsid w:val="00AF3B51"/>
    <w:rsid w:val="00AF70E3"/>
    <w:rsid w:val="00B027CD"/>
    <w:rsid w:val="00B05166"/>
    <w:rsid w:val="00B06975"/>
    <w:rsid w:val="00B10A7F"/>
    <w:rsid w:val="00B10DE9"/>
    <w:rsid w:val="00B1460A"/>
    <w:rsid w:val="00B1770B"/>
    <w:rsid w:val="00B21053"/>
    <w:rsid w:val="00B23143"/>
    <w:rsid w:val="00B239DD"/>
    <w:rsid w:val="00B2609C"/>
    <w:rsid w:val="00B26126"/>
    <w:rsid w:val="00B34631"/>
    <w:rsid w:val="00B36DE9"/>
    <w:rsid w:val="00B41B16"/>
    <w:rsid w:val="00B5117E"/>
    <w:rsid w:val="00B556B1"/>
    <w:rsid w:val="00B62AB0"/>
    <w:rsid w:val="00B66748"/>
    <w:rsid w:val="00B66EAF"/>
    <w:rsid w:val="00B723DF"/>
    <w:rsid w:val="00B75085"/>
    <w:rsid w:val="00B775BB"/>
    <w:rsid w:val="00B85453"/>
    <w:rsid w:val="00B93472"/>
    <w:rsid w:val="00B934B5"/>
    <w:rsid w:val="00B95EE4"/>
    <w:rsid w:val="00B96333"/>
    <w:rsid w:val="00BA418A"/>
    <w:rsid w:val="00BA59AF"/>
    <w:rsid w:val="00BA6DBA"/>
    <w:rsid w:val="00BB3A36"/>
    <w:rsid w:val="00BB6166"/>
    <w:rsid w:val="00BB7310"/>
    <w:rsid w:val="00BC05A0"/>
    <w:rsid w:val="00BC1DEF"/>
    <w:rsid w:val="00BC3C7C"/>
    <w:rsid w:val="00BC447A"/>
    <w:rsid w:val="00BC46E0"/>
    <w:rsid w:val="00BC578C"/>
    <w:rsid w:val="00BC65A5"/>
    <w:rsid w:val="00BC6DFD"/>
    <w:rsid w:val="00BD44EE"/>
    <w:rsid w:val="00BE13E3"/>
    <w:rsid w:val="00BE15D9"/>
    <w:rsid w:val="00BE2086"/>
    <w:rsid w:val="00BE3763"/>
    <w:rsid w:val="00BE4C89"/>
    <w:rsid w:val="00BE6080"/>
    <w:rsid w:val="00BE6130"/>
    <w:rsid w:val="00BF0E2E"/>
    <w:rsid w:val="00BF144A"/>
    <w:rsid w:val="00BF2551"/>
    <w:rsid w:val="00BF37F6"/>
    <w:rsid w:val="00C042F3"/>
    <w:rsid w:val="00C04B04"/>
    <w:rsid w:val="00C13FD9"/>
    <w:rsid w:val="00C1711C"/>
    <w:rsid w:val="00C2456A"/>
    <w:rsid w:val="00C24AFB"/>
    <w:rsid w:val="00C2579B"/>
    <w:rsid w:val="00C26551"/>
    <w:rsid w:val="00C27827"/>
    <w:rsid w:val="00C30FAC"/>
    <w:rsid w:val="00C32DEA"/>
    <w:rsid w:val="00C33C20"/>
    <w:rsid w:val="00C42DCE"/>
    <w:rsid w:val="00C4691F"/>
    <w:rsid w:val="00C551F4"/>
    <w:rsid w:val="00C5554B"/>
    <w:rsid w:val="00C5673D"/>
    <w:rsid w:val="00C57D36"/>
    <w:rsid w:val="00C621C2"/>
    <w:rsid w:val="00C62FF7"/>
    <w:rsid w:val="00C6343D"/>
    <w:rsid w:val="00C63A9D"/>
    <w:rsid w:val="00C6486E"/>
    <w:rsid w:val="00C67F4F"/>
    <w:rsid w:val="00C71BA0"/>
    <w:rsid w:val="00C71D7F"/>
    <w:rsid w:val="00C73E26"/>
    <w:rsid w:val="00C7620A"/>
    <w:rsid w:val="00C8096D"/>
    <w:rsid w:val="00C81452"/>
    <w:rsid w:val="00C84138"/>
    <w:rsid w:val="00C84B0C"/>
    <w:rsid w:val="00C90529"/>
    <w:rsid w:val="00C916C1"/>
    <w:rsid w:val="00C9203A"/>
    <w:rsid w:val="00C97D82"/>
    <w:rsid w:val="00CA0808"/>
    <w:rsid w:val="00CA19BA"/>
    <w:rsid w:val="00CA20F5"/>
    <w:rsid w:val="00CA4236"/>
    <w:rsid w:val="00CA4F03"/>
    <w:rsid w:val="00CA7272"/>
    <w:rsid w:val="00CB0469"/>
    <w:rsid w:val="00CB3C9D"/>
    <w:rsid w:val="00CB45F0"/>
    <w:rsid w:val="00CC1BE2"/>
    <w:rsid w:val="00CC4667"/>
    <w:rsid w:val="00CC78EF"/>
    <w:rsid w:val="00CC798F"/>
    <w:rsid w:val="00CD654B"/>
    <w:rsid w:val="00CE2D6C"/>
    <w:rsid w:val="00CE2E21"/>
    <w:rsid w:val="00CE66B8"/>
    <w:rsid w:val="00CF0AB8"/>
    <w:rsid w:val="00CF3858"/>
    <w:rsid w:val="00CF6968"/>
    <w:rsid w:val="00CF7839"/>
    <w:rsid w:val="00D0001D"/>
    <w:rsid w:val="00D006CF"/>
    <w:rsid w:val="00D02CF5"/>
    <w:rsid w:val="00D051ED"/>
    <w:rsid w:val="00D12332"/>
    <w:rsid w:val="00D12E48"/>
    <w:rsid w:val="00D12F75"/>
    <w:rsid w:val="00D1352B"/>
    <w:rsid w:val="00D1390F"/>
    <w:rsid w:val="00D166BD"/>
    <w:rsid w:val="00D23794"/>
    <w:rsid w:val="00D26699"/>
    <w:rsid w:val="00D35B76"/>
    <w:rsid w:val="00D42589"/>
    <w:rsid w:val="00D428A1"/>
    <w:rsid w:val="00D437BF"/>
    <w:rsid w:val="00D43991"/>
    <w:rsid w:val="00D45ACA"/>
    <w:rsid w:val="00D50F71"/>
    <w:rsid w:val="00D54CB5"/>
    <w:rsid w:val="00D560DE"/>
    <w:rsid w:val="00D5649E"/>
    <w:rsid w:val="00D56E81"/>
    <w:rsid w:val="00D62109"/>
    <w:rsid w:val="00D6592A"/>
    <w:rsid w:val="00D65CDF"/>
    <w:rsid w:val="00D67634"/>
    <w:rsid w:val="00D6792D"/>
    <w:rsid w:val="00D707AB"/>
    <w:rsid w:val="00D764EC"/>
    <w:rsid w:val="00D87C1A"/>
    <w:rsid w:val="00D90BC4"/>
    <w:rsid w:val="00D9140D"/>
    <w:rsid w:val="00D9177B"/>
    <w:rsid w:val="00D942FD"/>
    <w:rsid w:val="00D97D20"/>
    <w:rsid w:val="00DA18CC"/>
    <w:rsid w:val="00DA1EDC"/>
    <w:rsid w:val="00DB1B7B"/>
    <w:rsid w:val="00DB20E7"/>
    <w:rsid w:val="00DB4617"/>
    <w:rsid w:val="00DB621A"/>
    <w:rsid w:val="00DB6F18"/>
    <w:rsid w:val="00DC23F0"/>
    <w:rsid w:val="00DC723E"/>
    <w:rsid w:val="00DD037A"/>
    <w:rsid w:val="00DD10C1"/>
    <w:rsid w:val="00DD7B4B"/>
    <w:rsid w:val="00DE10A6"/>
    <w:rsid w:val="00DE7CB0"/>
    <w:rsid w:val="00DF2281"/>
    <w:rsid w:val="00DF2E31"/>
    <w:rsid w:val="00DF520E"/>
    <w:rsid w:val="00DF68B7"/>
    <w:rsid w:val="00DF73E7"/>
    <w:rsid w:val="00E0170A"/>
    <w:rsid w:val="00E10548"/>
    <w:rsid w:val="00E158B7"/>
    <w:rsid w:val="00E21CBD"/>
    <w:rsid w:val="00E2426D"/>
    <w:rsid w:val="00E24680"/>
    <w:rsid w:val="00E24C93"/>
    <w:rsid w:val="00E26CA7"/>
    <w:rsid w:val="00E3104B"/>
    <w:rsid w:val="00E34C37"/>
    <w:rsid w:val="00E36406"/>
    <w:rsid w:val="00E36816"/>
    <w:rsid w:val="00E44797"/>
    <w:rsid w:val="00E46071"/>
    <w:rsid w:val="00E51BD1"/>
    <w:rsid w:val="00E52CDA"/>
    <w:rsid w:val="00E54687"/>
    <w:rsid w:val="00E56188"/>
    <w:rsid w:val="00E61F58"/>
    <w:rsid w:val="00E629CD"/>
    <w:rsid w:val="00E66766"/>
    <w:rsid w:val="00E67889"/>
    <w:rsid w:val="00E712BB"/>
    <w:rsid w:val="00E75102"/>
    <w:rsid w:val="00E760D6"/>
    <w:rsid w:val="00E761BA"/>
    <w:rsid w:val="00E77324"/>
    <w:rsid w:val="00E8096A"/>
    <w:rsid w:val="00E81E30"/>
    <w:rsid w:val="00E84915"/>
    <w:rsid w:val="00E84E5B"/>
    <w:rsid w:val="00E92B15"/>
    <w:rsid w:val="00E942E2"/>
    <w:rsid w:val="00EA5455"/>
    <w:rsid w:val="00EA5E6C"/>
    <w:rsid w:val="00EA5F1A"/>
    <w:rsid w:val="00EB01C5"/>
    <w:rsid w:val="00EB060E"/>
    <w:rsid w:val="00EB50BA"/>
    <w:rsid w:val="00EB7A4A"/>
    <w:rsid w:val="00EC0D01"/>
    <w:rsid w:val="00EC342E"/>
    <w:rsid w:val="00EC487B"/>
    <w:rsid w:val="00EC7565"/>
    <w:rsid w:val="00ED0FD3"/>
    <w:rsid w:val="00ED13A8"/>
    <w:rsid w:val="00ED181A"/>
    <w:rsid w:val="00ED70BB"/>
    <w:rsid w:val="00EE7934"/>
    <w:rsid w:val="00EF2091"/>
    <w:rsid w:val="00F00594"/>
    <w:rsid w:val="00F02EE3"/>
    <w:rsid w:val="00F07941"/>
    <w:rsid w:val="00F147A6"/>
    <w:rsid w:val="00F148EE"/>
    <w:rsid w:val="00F15FDA"/>
    <w:rsid w:val="00F27EF0"/>
    <w:rsid w:val="00F35E45"/>
    <w:rsid w:val="00F36975"/>
    <w:rsid w:val="00F40C1F"/>
    <w:rsid w:val="00F40E58"/>
    <w:rsid w:val="00F417F9"/>
    <w:rsid w:val="00F44979"/>
    <w:rsid w:val="00F45AE5"/>
    <w:rsid w:val="00F46C56"/>
    <w:rsid w:val="00F47691"/>
    <w:rsid w:val="00F47A81"/>
    <w:rsid w:val="00F51D5B"/>
    <w:rsid w:val="00F53512"/>
    <w:rsid w:val="00F53F0E"/>
    <w:rsid w:val="00F558BF"/>
    <w:rsid w:val="00F6029A"/>
    <w:rsid w:val="00F607B6"/>
    <w:rsid w:val="00F640F0"/>
    <w:rsid w:val="00F66222"/>
    <w:rsid w:val="00F67896"/>
    <w:rsid w:val="00F72711"/>
    <w:rsid w:val="00F737EA"/>
    <w:rsid w:val="00F74EAC"/>
    <w:rsid w:val="00F753DC"/>
    <w:rsid w:val="00F839B9"/>
    <w:rsid w:val="00F840B6"/>
    <w:rsid w:val="00F853D5"/>
    <w:rsid w:val="00F90D96"/>
    <w:rsid w:val="00F92118"/>
    <w:rsid w:val="00F9288D"/>
    <w:rsid w:val="00F95D58"/>
    <w:rsid w:val="00F95E5D"/>
    <w:rsid w:val="00F97528"/>
    <w:rsid w:val="00FA0009"/>
    <w:rsid w:val="00FA2BF4"/>
    <w:rsid w:val="00FA3BC1"/>
    <w:rsid w:val="00FA3F3F"/>
    <w:rsid w:val="00FA560A"/>
    <w:rsid w:val="00FB534B"/>
    <w:rsid w:val="00FB7015"/>
    <w:rsid w:val="00FB7EA1"/>
    <w:rsid w:val="00FC05E6"/>
    <w:rsid w:val="00FC331D"/>
    <w:rsid w:val="00FC36F4"/>
    <w:rsid w:val="00FC38F1"/>
    <w:rsid w:val="00FC5143"/>
    <w:rsid w:val="00FD5F1E"/>
    <w:rsid w:val="00FD7175"/>
    <w:rsid w:val="00FE33C9"/>
    <w:rsid w:val="00FE70CE"/>
    <w:rsid w:val="00FE7847"/>
    <w:rsid w:val="00FF3744"/>
    <w:rsid w:val="00FF3977"/>
    <w:rsid w:val="00FF5917"/>
    <w:rsid w:val="01E0373D"/>
    <w:rsid w:val="01F3521E"/>
    <w:rsid w:val="024B01BA"/>
    <w:rsid w:val="061D030B"/>
    <w:rsid w:val="085B4429"/>
    <w:rsid w:val="0A6C20DB"/>
    <w:rsid w:val="0BC864E8"/>
    <w:rsid w:val="0C787723"/>
    <w:rsid w:val="130F32F3"/>
    <w:rsid w:val="13C07B67"/>
    <w:rsid w:val="17841E1A"/>
    <w:rsid w:val="1A7E7CF1"/>
    <w:rsid w:val="1A832D45"/>
    <w:rsid w:val="1B1B2B52"/>
    <w:rsid w:val="21CC2308"/>
    <w:rsid w:val="238E2BA1"/>
    <w:rsid w:val="253B75C0"/>
    <w:rsid w:val="262260B1"/>
    <w:rsid w:val="28C83E92"/>
    <w:rsid w:val="29D543D6"/>
    <w:rsid w:val="29FF7CB5"/>
    <w:rsid w:val="2BA96F11"/>
    <w:rsid w:val="329A7D69"/>
    <w:rsid w:val="32A04603"/>
    <w:rsid w:val="346D4483"/>
    <w:rsid w:val="35E343CC"/>
    <w:rsid w:val="38AA1550"/>
    <w:rsid w:val="3AF13B76"/>
    <w:rsid w:val="41690497"/>
    <w:rsid w:val="44E313F1"/>
    <w:rsid w:val="46014656"/>
    <w:rsid w:val="46A42781"/>
    <w:rsid w:val="479113CE"/>
    <w:rsid w:val="48082DCA"/>
    <w:rsid w:val="49EC760F"/>
    <w:rsid w:val="4C240EFC"/>
    <w:rsid w:val="4D1675E0"/>
    <w:rsid w:val="504B75A0"/>
    <w:rsid w:val="505E7C66"/>
    <w:rsid w:val="516F2BB7"/>
    <w:rsid w:val="55033852"/>
    <w:rsid w:val="55982805"/>
    <w:rsid w:val="5C6778AB"/>
    <w:rsid w:val="5E416944"/>
    <w:rsid w:val="5E78143C"/>
    <w:rsid w:val="65213F1C"/>
    <w:rsid w:val="6A6634FD"/>
    <w:rsid w:val="6CFD75DA"/>
    <w:rsid w:val="6DA80D52"/>
    <w:rsid w:val="6E452B83"/>
    <w:rsid w:val="6FB47960"/>
    <w:rsid w:val="70C4249C"/>
    <w:rsid w:val="747350A9"/>
    <w:rsid w:val="751644A7"/>
    <w:rsid w:val="7ED45A67"/>
    <w:rsid w:val="7F521988"/>
    <w:rsid w:val="7FA12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keepNext/>
      <w:numPr>
        <w:ilvl w:val="0"/>
        <w:numId w:val="1"/>
      </w:numPr>
      <w:jc w:val="center"/>
      <w:outlineLvl w:val="0"/>
    </w:pPr>
    <w:rPr>
      <w:rFonts w:ascii="黑体" w:eastAsia="黑体"/>
      <w:sz w:val="52"/>
    </w:rPr>
  </w:style>
  <w:style w:type="paragraph" w:styleId="3">
    <w:name w:val="heading 2"/>
    <w:basedOn w:val="1"/>
    <w:next w:val="1"/>
    <w:link w:val="4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qFormat/>
    <w:uiPriority w:val="0"/>
    <w:pPr>
      <w:keepNext/>
      <w:keepLines/>
      <w:numPr>
        <w:ilvl w:val="2"/>
        <w:numId w:val="1"/>
      </w:numPr>
      <w:spacing w:before="120" w:after="120" w:line="360" w:lineRule="auto"/>
      <w:jc w:val="center"/>
      <w:outlineLvl w:val="2"/>
    </w:pPr>
    <w:rPr>
      <w:b/>
      <w:sz w:val="32"/>
    </w:rPr>
  </w:style>
  <w:style w:type="paragraph" w:styleId="6">
    <w:name w:val="heading 4"/>
    <w:basedOn w:val="1"/>
    <w:next w:val="1"/>
    <w:link w:val="49"/>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numPr>
        <w:ilvl w:val="5"/>
        <w:numId w:val="1"/>
      </w:numPr>
      <w:spacing w:before="240" w:after="64" w:line="317"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17"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17"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17" w:lineRule="auto"/>
      <w:outlineLvl w:val="8"/>
    </w:pPr>
    <w:rPr>
      <w:rFonts w:ascii="Arial" w:hAnsi="Arial" w:eastAsia="黑体"/>
      <w:sz w:val="21"/>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List Bullet"/>
    <w:basedOn w:val="1"/>
    <w:qFormat/>
    <w:uiPriority w:val="0"/>
    <w:pPr>
      <w:widowControl w:val="0"/>
      <w:tabs>
        <w:tab w:val="left" w:pos="360"/>
      </w:tabs>
      <w:ind w:left="360" w:hanging="360"/>
      <w:jc w:val="both"/>
    </w:pPr>
    <w:rPr>
      <w:kern w:val="2"/>
      <w:sz w:val="21"/>
    </w:rPr>
  </w:style>
  <w:style w:type="paragraph" w:styleId="13">
    <w:name w:val="Document Map"/>
    <w:basedOn w:val="1"/>
    <w:qFormat/>
    <w:uiPriority w:val="0"/>
    <w:pPr>
      <w:shd w:val="clear" w:color="auto" w:fill="000080"/>
    </w:pPr>
  </w:style>
  <w:style w:type="paragraph" w:styleId="14">
    <w:name w:val="annotation text"/>
    <w:basedOn w:val="1"/>
    <w:qFormat/>
    <w:uiPriority w:val="0"/>
    <w:pPr>
      <w:widowControl w:val="0"/>
      <w:adjustRightInd w:val="0"/>
      <w:spacing w:line="360" w:lineRule="atLeast"/>
      <w:textAlignment w:val="baseline"/>
    </w:pPr>
    <w:rPr>
      <w:sz w:val="24"/>
    </w:rPr>
  </w:style>
  <w:style w:type="paragraph" w:styleId="15">
    <w:name w:val="Body Text"/>
    <w:basedOn w:val="1"/>
    <w:link w:val="45"/>
    <w:qFormat/>
    <w:uiPriority w:val="0"/>
    <w:pPr>
      <w:spacing w:after="120"/>
    </w:pPr>
  </w:style>
  <w:style w:type="paragraph" w:styleId="16">
    <w:name w:val="Body Text Indent"/>
    <w:basedOn w:val="1"/>
    <w:qFormat/>
    <w:uiPriority w:val="0"/>
    <w:pPr>
      <w:spacing w:after="120"/>
      <w:ind w:left="420"/>
    </w:pPr>
  </w:style>
  <w:style w:type="paragraph" w:styleId="17">
    <w:name w:val="Block Text"/>
    <w:basedOn w:val="1"/>
    <w:qFormat/>
    <w:uiPriority w:val="0"/>
    <w:pPr>
      <w:spacing w:after="120"/>
      <w:ind w:left="1440" w:right="1440"/>
    </w:pPr>
  </w:style>
  <w:style w:type="paragraph" w:styleId="18">
    <w:name w:val="toc 3"/>
    <w:basedOn w:val="1"/>
    <w:next w:val="1"/>
    <w:qFormat/>
    <w:uiPriority w:val="0"/>
    <w:pPr>
      <w:tabs>
        <w:tab w:val="right" w:leader="dot" w:pos="9628"/>
      </w:tabs>
      <w:spacing w:line="360" w:lineRule="auto"/>
      <w:jc w:val="right"/>
    </w:pPr>
  </w:style>
  <w:style w:type="paragraph" w:styleId="19">
    <w:name w:val="Plain Text"/>
    <w:basedOn w:val="1"/>
    <w:link w:val="44"/>
    <w:qFormat/>
    <w:uiPriority w:val="0"/>
    <w:pPr>
      <w:widowControl w:val="0"/>
      <w:jc w:val="both"/>
    </w:pPr>
    <w:rPr>
      <w:rFonts w:ascii="宋体" w:hAnsi="Courier New" w:cs="Courier New"/>
      <w:kern w:val="2"/>
      <w:sz w:val="21"/>
      <w:szCs w:val="21"/>
    </w:rPr>
  </w:style>
  <w:style w:type="paragraph" w:styleId="20">
    <w:name w:val="Date"/>
    <w:basedOn w:val="1"/>
    <w:next w:val="1"/>
    <w:qFormat/>
    <w:uiPriority w:val="0"/>
    <w:pPr>
      <w:widowControl w:val="0"/>
      <w:jc w:val="both"/>
    </w:pPr>
    <w:rPr>
      <w:kern w:val="2"/>
      <w:sz w:val="24"/>
    </w:rPr>
  </w:style>
  <w:style w:type="paragraph" w:styleId="21">
    <w:name w:val="Body Text Indent 2"/>
    <w:basedOn w:val="1"/>
    <w:qFormat/>
    <w:uiPriority w:val="0"/>
    <w:pPr>
      <w:overflowPunct w:val="0"/>
      <w:autoSpaceDE w:val="0"/>
      <w:autoSpaceDN w:val="0"/>
      <w:adjustRightInd w:val="0"/>
      <w:spacing w:line="360" w:lineRule="auto"/>
      <w:ind w:firstLine="555"/>
      <w:jc w:val="both"/>
      <w:textAlignment w:val="baseline"/>
    </w:pPr>
    <w:rPr>
      <w:rFonts w:ascii="宋体" w:hAnsi="MS Sans Serif"/>
      <w:spacing w:val="12"/>
      <w:sz w:val="24"/>
    </w:rPr>
  </w:style>
  <w:style w:type="paragraph" w:styleId="22">
    <w:name w:val="Balloon Text"/>
    <w:basedOn w:val="1"/>
    <w:qFormat/>
    <w:uiPriority w:val="0"/>
    <w:rPr>
      <w:sz w:val="18"/>
      <w:szCs w:val="18"/>
    </w:rPr>
  </w:style>
  <w:style w:type="paragraph" w:styleId="23">
    <w:name w:val="footer"/>
    <w:basedOn w:val="1"/>
    <w:link w:val="48"/>
    <w:qFormat/>
    <w:uiPriority w:val="0"/>
    <w:pPr>
      <w:tabs>
        <w:tab w:val="center" w:pos="4153"/>
        <w:tab w:val="right" w:pos="8306"/>
      </w:tabs>
      <w:snapToGrid w:val="0"/>
    </w:pPr>
    <w:rPr>
      <w:sz w:val="18"/>
      <w:szCs w:val="18"/>
    </w:rPr>
  </w:style>
  <w:style w:type="paragraph" w:styleId="24">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spacing w:line="360" w:lineRule="auto"/>
      <w:ind w:firstLine="283" w:firstLineChars="135"/>
      <w:jc w:val="right"/>
    </w:pPr>
  </w:style>
  <w:style w:type="paragraph" w:styleId="26">
    <w:name w:val="toc 4"/>
    <w:basedOn w:val="1"/>
    <w:next w:val="1"/>
    <w:qFormat/>
    <w:uiPriority w:val="0"/>
    <w:pPr>
      <w:ind w:left="600"/>
    </w:pPr>
    <w:rPr>
      <w:szCs w:val="21"/>
    </w:rPr>
  </w:style>
  <w:style w:type="paragraph" w:styleId="27">
    <w:name w:val="Body Text Indent 3"/>
    <w:basedOn w:val="1"/>
    <w:qFormat/>
    <w:uiPriority w:val="0"/>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styleId="28">
    <w:name w:val="toc 2"/>
    <w:basedOn w:val="1"/>
    <w:next w:val="1"/>
    <w:qFormat/>
    <w:uiPriority w:val="39"/>
    <w:pPr>
      <w:tabs>
        <w:tab w:val="right" w:leader="dot" w:pos="9628"/>
      </w:tabs>
      <w:spacing w:line="360" w:lineRule="auto"/>
      <w:ind w:firstLine="567" w:firstLineChars="270"/>
      <w:jc w:val="right"/>
    </w:pPr>
  </w:style>
  <w:style w:type="paragraph" w:styleId="29">
    <w:name w:val="Body Text 2"/>
    <w:basedOn w:val="1"/>
    <w:link w:val="43"/>
    <w:qFormat/>
    <w:uiPriority w:val="0"/>
    <w:pPr>
      <w:spacing w:after="120" w:line="480" w:lineRule="auto"/>
    </w:pPr>
  </w:style>
  <w:style w:type="paragraph" w:styleId="30">
    <w:name w:val="HTML Preformatted"/>
    <w:basedOn w:val="1"/>
    <w:link w:val="10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rPr>
  </w:style>
  <w:style w:type="paragraph" w:styleId="31">
    <w:name w:val="Normal (Web)"/>
    <w:basedOn w:val="1"/>
    <w:qFormat/>
    <w:uiPriority w:val="0"/>
    <w:pPr>
      <w:spacing w:before="100" w:beforeAutospacing="1" w:after="100" w:afterAutospacing="1"/>
    </w:pPr>
    <w:rPr>
      <w:rFonts w:ascii="宋体" w:hAnsi="宋体"/>
      <w:sz w:val="24"/>
      <w:szCs w:val="24"/>
    </w:rPr>
  </w:style>
  <w:style w:type="paragraph" w:styleId="32">
    <w:name w:val="Body Text First Indent"/>
    <w:basedOn w:val="15"/>
    <w:link w:val="42"/>
    <w:qFormat/>
    <w:uiPriority w:val="0"/>
    <w:pPr>
      <w:ind w:firstLine="420" w:firstLineChars="100"/>
    </w:pPr>
  </w:style>
  <w:style w:type="table" w:styleId="34">
    <w:name w:val="Table Grid"/>
    <w:basedOn w:val="33"/>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customStyle="1" w:styleId="40">
    <w:name w:val="标题 2 Char"/>
    <w:link w:val="3"/>
    <w:qFormat/>
    <w:uiPriority w:val="0"/>
    <w:rPr>
      <w:rFonts w:ascii="Arial" w:hAnsi="Arial" w:eastAsia="黑体"/>
      <w:b/>
      <w:bCs/>
      <w:sz w:val="32"/>
      <w:szCs w:val="32"/>
    </w:rPr>
  </w:style>
  <w:style w:type="character" w:customStyle="1" w:styleId="41">
    <w:name w:val="页眉 Char"/>
    <w:link w:val="24"/>
    <w:qFormat/>
    <w:uiPriority w:val="99"/>
    <w:rPr>
      <w:rFonts w:eastAsia="宋体"/>
      <w:sz w:val="18"/>
      <w:szCs w:val="18"/>
      <w:lang w:val="en-US" w:eastAsia="zh-CN" w:bidi="ar-SA"/>
    </w:rPr>
  </w:style>
  <w:style w:type="character" w:customStyle="1" w:styleId="42">
    <w:name w:val="正文首行缩进 Char"/>
    <w:link w:val="32"/>
    <w:qFormat/>
    <w:uiPriority w:val="0"/>
    <w:rPr>
      <w:rFonts w:eastAsia="宋体"/>
      <w:lang w:val="en-US" w:eastAsia="zh-CN" w:bidi="ar-SA"/>
    </w:rPr>
  </w:style>
  <w:style w:type="character" w:customStyle="1" w:styleId="43">
    <w:name w:val="正文文本 2 Char"/>
    <w:link w:val="29"/>
    <w:qFormat/>
    <w:uiPriority w:val="0"/>
    <w:rPr>
      <w:rFonts w:eastAsia="宋体"/>
      <w:lang w:val="en-US" w:eastAsia="zh-CN" w:bidi="ar-SA"/>
    </w:rPr>
  </w:style>
  <w:style w:type="character" w:customStyle="1" w:styleId="44">
    <w:name w:val="纯文本 Char"/>
    <w:link w:val="19"/>
    <w:qFormat/>
    <w:uiPriority w:val="0"/>
    <w:rPr>
      <w:rFonts w:ascii="宋体" w:hAnsi="Courier New" w:eastAsia="宋体" w:cs="Courier New"/>
      <w:kern w:val="2"/>
      <w:sz w:val="21"/>
      <w:szCs w:val="21"/>
      <w:lang w:val="en-US" w:eastAsia="zh-CN" w:bidi="ar-SA"/>
    </w:rPr>
  </w:style>
  <w:style w:type="character" w:customStyle="1" w:styleId="45">
    <w:name w:val="正文文本 Char"/>
    <w:link w:val="15"/>
    <w:qFormat/>
    <w:uiPriority w:val="0"/>
    <w:rPr>
      <w:rFonts w:eastAsia="宋体"/>
      <w:lang w:val="en-US" w:eastAsia="zh-CN" w:bidi="ar-SA"/>
    </w:rPr>
  </w:style>
  <w:style w:type="character" w:customStyle="1" w:styleId="46">
    <w:name w:val="无间隔 Char"/>
    <w:link w:val="47"/>
    <w:qFormat/>
    <w:uiPriority w:val="0"/>
    <w:rPr>
      <w:rFonts w:ascii="Calibri" w:hAnsi="Calibri"/>
      <w:sz w:val="22"/>
      <w:szCs w:val="22"/>
      <w:lang w:val="en-US" w:eastAsia="zh-CN" w:bidi="ar-SA"/>
    </w:rPr>
  </w:style>
  <w:style w:type="paragraph" w:styleId="47">
    <w:name w:val="No Spacing"/>
    <w:link w:val="46"/>
    <w:qFormat/>
    <w:uiPriority w:val="0"/>
    <w:rPr>
      <w:rFonts w:ascii="Calibri" w:hAnsi="Calibri" w:eastAsia="宋体" w:cs="Times New Roman"/>
      <w:sz w:val="22"/>
      <w:szCs w:val="22"/>
      <w:lang w:val="en-US" w:eastAsia="zh-CN" w:bidi="ar-SA"/>
    </w:rPr>
  </w:style>
  <w:style w:type="character" w:customStyle="1" w:styleId="48">
    <w:name w:val="页脚 Char"/>
    <w:link w:val="23"/>
    <w:qFormat/>
    <w:uiPriority w:val="0"/>
    <w:rPr>
      <w:rFonts w:eastAsia="宋体"/>
      <w:sz w:val="18"/>
      <w:szCs w:val="18"/>
      <w:lang w:val="en-US" w:eastAsia="zh-CN" w:bidi="ar-SA"/>
    </w:rPr>
  </w:style>
  <w:style w:type="character" w:customStyle="1" w:styleId="49">
    <w:name w:val="标题 4 Char"/>
    <w:link w:val="6"/>
    <w:qFormat/>
    <w:uiPriority w:val="0"/>
    <w:rPr>
      <w:rFonts w:ascii="Arial" w:hAnsi="Arial" w:eastAsia="黑体"/>
      <w:b/>
      <w:bCs/>
      <w:sz w:val="28"/>
      <w:szCs w:val="28"/>
      <w:lang w:val="en-US" w:eastAsia="zh-CN" w:bidi="ar-SA"/>
    </w:rPr>
  </w:style>
  <w:style w:type="paragraph" w:customStyle="1" w:styleId="50">
    <w:name w:val="xl77"/>
    <w:basedOn w:val="1"/>
    <w:qFormat/>
    <w:uiPriority w:val="0"/>
    <w:pPr>
      <w:pBdr>
        <w:top w:val="single" w:color="auto" w:sz="8" w:space="0"/>
        <w:left w:val="single" w:color="auto" w:sz="4" w:space="0"/>
        <w:bottom w:val="single" w:color="auto" w:sz="4" w:space="0"/>
        <w:right w:val="single" w:color="auto" w:sz="8"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51">
    <w:name w:val="xl8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52">
    <w:name w:val="xl84"/>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53">
    <w:name w:val="xl9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styleId="54">
    <w:name w:val="List Paragraph"/>
    <w:basedOn w:val="1"/>
    <w:qFormat/>
    <w:uiPriority w:val="99"/>
    <w:pPr>
      <w:widowControl w:val="0"/>
      <w:ind w:firstLine="420" w:firstLineChars="200"/>
      <w:jc w:val="both"/>
    </w:pPr>
    <w:rPr>
      <w:rFonts w:ascii="Calibri" w:hAnsi="Calibri"/>
      <w:kern w:val="2"/>
      <w:sz w:val="21"/>
      <w:szCs w:val="22"/>
    </w:rPr>
  </w:style>
  <w:style w:type="paragraph" w:customStyle="1" w:styleId="5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4"/>
      <w:szCs w:val="24"/>
    </w:rPr>
  </w:style>
  <w:style w:type="paragraph" w:customStyle="1" w:styleId="56">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57">
    <w:name w:val="1"/>
    <w:basedOn w:val="1"/>
    <w:next w:val="17"/>
    <w:qFormat/>
    <w:uiPriority w:val="0"/>
    <w:pPr>
      <w:widowControl w:val="0"/>
      <w:adjustRightInd w:val="0"/>
      <w:ind w:left="420" w:right="33"/>
      <w:textAlignment w:val="baseline"/>
    </w:pPr>
    <w:rPr>
      <w:sz w:val="24"/>
    </w:rPr>
  </w:style>
  <w:style w:type="paragraph" w:customStyle="1" w:styleId="58">
    <w:name w:val="xl63"/>
    <w:basedOn w:val="1"/>
    <w:qFormat/>
    <w:uiPriority w:val="0"/>
    <w:pPr>
      <w:spacing w:before="100" w:beforeAutospacing="1" w:after="100" w:afterAutospacing="1"/>
    </w:pPr>
    <w:rPr>
      <w:rFonts w:ascii="宋体" w:hAnsi="宋体" w:cs="宋体"/>
      <w:sz w:val="24"/>
      <w:szCs w:val="24"/>
    </w:rPr>
  </w:style>
  <w:style w:type="paragraph" w:customStyle="1" w:styleId="5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60">
    <w:name w:val="xl82"/>
    <w:basedOn w:val="1"/>
    <w:qFormat/>
    <w:uiPriority w:val="0"/>
    <w:pPr>
      <w:pBdr>
        <w:top w:val="single" w:color="auto" w:sz="4" w:space="0"/>
        <w:left w:val="single" w:color="auto" w:sz="4" w:space="0"/>
        <w:bottom w:val="single" w:color="auto" w:sz="8" w:space="0"/>
        <w:right w:val="single" w:color="auto" w:sz="4" w:space="0"/>
      </w:pBdr>
      <w:shd w:val="clear" w:color="000000" w:fill="FFFF00"/>
      <w:spacing w:before="100" w:beforeAutospacing="1" w:after="100" w:afterAutospacing="1"/>
    </w:pPr>
    <w:rPr>
      <w:rFonts w:ascii="宋体" w:hAnsi="宋体" w:cs="宋体"/>
      <w:color w:val="000000"/>
      <w:sz w:val="24"/>
      <w:szCs w:val="24"/>
    </w:rPr>
  </w:style>
  <w:style w:type="paragraph" w:customStyle="1" w:styleId="61">
    <w:name w:val="xl94"/>
    <w:basedOn w:val="1"/>
    <w:qFormat/>
    <w:uiPriority w:val="0"/>
    <w:pPr>
      <w:pBdr>
        <w:top w:val="single" w:color="auto" w:sz="8" w:space="0"/>
        <w:bottom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62">
    <w:name w:val="xl91"/>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color w:val="000000"/>
      <w:sz w:val="24"/>
      <w:szCs w:val="24"/>
    </w:rPr>
  </w:style>
  <w:style w:type="paragraph" w:customStyle="1" w:styleId="63">
    <w:name w:val="xl7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6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65">
    <w:name w:val="Char3"/>
    <w:basedOn w:val="1"/>
    <w:qFormat/>
    <w:uiPriority w:val="0"/>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66">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67">
    <w:name w:val="xl86"/>
    <w:basedOn w:val="1"/>
    <w:qFormat/>
    <w:uiPriority w:val="0"/>
    <w:pPr>
      <w:pBdr>
        <w:left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68">
    <w:name w:val="xl88"/>
    <w:basedOn w:val="1"/>
    <w:qFormat/>
    <w:uiPriority w:val="0"/>
    <w:pPr>
      <w:pBdr>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69">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70">
    <w:name w:val="Char"/>
    <w:basedOn w:val="1"/>
    <w:qFormat/>
    <w:uiPriority w:val="0"/>
    <w:pPr>
      <w:widowControl w:val="0"/>
      <w:jc w:val="both"/>
    </w:pPr>
    <w:rPr>
      <w:kern w:val="2"/>
      <w:sz w:val="21"/>
      <w:szCs w:val="24"/>
    </w:rPr>
  </w:style>
  <w:style w:type="paragraph" w:customStyle="1" w:styleId="71">
    <w:name w:val="样式1"/>
    <w:basedOn w:val="1"/>
    <w:qFormat/>
    <w:uiPriority w:val="0"/>
    <w:pPr>
      <w:widowControl w:val="0"/>
      <w:spacing w:before="120" w:after="120" w:line="300" w:lineRule="auto"/>
      <w:jc w:val="both"/>
    </w:pPr>
    <w:rPr>
      <w:rFonts w:ascii="宋体" w:hAnsi="宋体"/>
      <w:b/>
      <w:kern w:val="2"/>
      <w:sz w:val="24"/>
    </w:rPr>
  </w:style>
  <w:style w:type="paragraph" w:customStyle="1" w:styleId="72">
    <w:name w:val="font5"/>
    <w:basedOn w:val="1"/>
    <w:qFormat/>
    <w:uiPriority w:val="0"/>
    <w:pPr>
      <w:spacing w:before="100" w:beforeAutospacing="1" w:after="100" w:afterAutospacing="1"/>
    </w:pPr>
    <w:rPr>
      <w:rFonts w:ascii="宋体" w:hAnsi="宋体" w:cs="宋体"/>
      <w:sz w:val="18"/>
      <w:szCs w:val="18"/>
    </w:rPr>
  </w:style>
  <w:style w:type="paragraph" w:customStyle="1" w:styleId="73">
    <w:name w:val="Char Char Char Char"/>
    <w:basedOn w:val="1"/>
    <w:qFormat/>
    <w:uiPriority w:val="0"/>
    <w:pPr>
      <w:widowControl w:val="0"/>
      <w:spacing w:line="240" w:lineRule="atLeast"/>
      <w:ind w:left="420" w:firstLine="420"/>
      <w:jc w:val="both"/>
    </w:pPr>
    <w:rPr>
      <w:sz w:val="21"/>
      <w:szCs w:val="21"/>
    </w:rPr>
  </w:style>
  <w:style w:type="paragraph" w:customStyle="1" w:styleId="74">
    <w:name w:val="xl75"/>
    <w:basedOn w:val="1"/>
    <w:qFormat/>
    <w:uiPriority w:val="0"/>
    <w:pPr>
      <w:pBdr>
        <w:top w:val="single" w:color="auto" w:sz="8" w:space="0"/>
        <w:left w:val="single" w:color="auto" w:sz="4" w:space="0"/>
        <w:bottom w:val="single" w:color="auto" w:sz="4" w:space="0"/>
        <w:right w:val="single" w:color="auto" w:sz="4" w:space="0"/>
      </w:pBdr>
      <w:shd w:val="clear" w:color="000000" w:fill="538ED5"/>
      <w:spacing w:before="100" w:beforeAutospacing="1" w:after="100" w:afterAutospacing="1"/>
    </w:pPr>
    <w:rPr>
      <w:rFonts w:ascii="宋体" w:hAnsi="宋体" w:cs="宋体"/>
      <w:color w:val="000000"/>
      <w:sz w:val="24"/>
      <w:szCs w:val="24"/>
    </w:rPr>
  </w:style>
  <w:style w:type="paragraph" w:customStyle="1" w:styleId="75">
    <w:name w:val="xl76"/>
    <w:basedOn w:val="1"/>
    <w:qFormat/>
    <w:uiPriority w:val="0"/>
    <w:pPr>
      <w:pBdr>
        <w:top w:val="single" w:color="auto" w:sz="8" w:space="0"/>
        <w:left w:val="single" w:color="auto" w:sz="4" w:space="0"/>
        <w:bottom w:val="single" w:color="auto" w:sz="4" w:space="0"/>
        <w:right w:val="single" w:color="auto" w:sz="4" w:space="0"/>
      </w:pBdr>
      <w:shd w:val="clear" w:color="000000" w:fill="538ED5"/>
      <w:spacing w:before="100" w:beforeAutospacing="1" w:after="100" w:afterAutospacing="1"/>
    </w:pPr>
    <w:rPr>
      <w:rFonts w:ascii="宋体" w:hAnsi="宋体" w:cs="宋体"/>
      <w:color w:val="000000"/>
      <w:sz w:val="24"/>
      <w:szCs w:val="24"/>
    </w:rPr>
  </w:style>
  <w:style w:type="paragraph" w:customStyle="1" w:styleId="76">
    <w:name w:val="xl97"/>
    <w:basedOn w:val="1"/>
    <w:qFormat/>
    <w:uiPriority w:val="0"/>
    <w:pPr>
      <w:pBdr>
        <w:top w:val="single" w:color="auto" w:sz="4" w:space="0"/>
        <w:bottom w:val="single" w:color="auto" w:sz="8"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77">
    <w:name w:val="xl93"/>
    <w:basedOn w:val="1"/>
    <w:qFormat/>
    <w:uiPriority w:val="0"/>
    <w:pPr>
      <w:pBdr>
        <w:top w:val="single" w:color="auto" w:sz="8" w:space="0"/>
        <w:left w:val="single" w:color="auto" w:sz="4" w:space="0"/>
        <w:bottom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78">
    <w:name w:val="xl74"/>
    <w:basedOn w:val="1"/>
    <w:qFormat/>
    <w:uiPriority w:val="0"/>
    <w:pPr>
      <w:pBdr>
        <w:top w:val="single" w:color="auto" w:sz="8" w:space="0"/>
        <w:left w:val="single" w:color="auto" w:sz="8" w:space="0"/>
        <w:bottom w:val="single" w:color="auto" w:sz="4" w:space="0"/>
        <w:right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79">
    <w:name w:val="1 Char Char Char Char"/>
    <w:basedOn w:val="1"/>
    <w:qFormat/>
    <w:uiPriority w:val="0"/>
    <w:pPr>
      <w:widowControl w:val="0"/>
      <w:jc w:val="both"/>
    </w:pPr>
    <w:rPr>
      <w:rFonts w:ascii="Tahoma" w:hAnsi="Tahoma"/>
      <w:kern w:val="2"/>
      <w:sz w:val="24"/>
    </w:rPr>
  </w:style>
  <w:style w:type="paragraph" w:customStyle="1" w:styleId="80">
    <w:name w:val="目录文字"/>
    <w:basedOn w:val="1"/>
    <w:qFormat/>
    <w:uiPriority w:val="0"/>
    <w:pPr>
      <w:spacing w:line="480" w:lineRule="auto"/>
    </w:pPr>
    <w:rPr>
      <w:rFonts w:ascii="宋体" w:hAnsi="宋体"/>
      <w:sz w:val="24"/>
    </w:rPr>
  </w:style>
  <w:style w:type="paragraph" w:customStyle="1" w:styleId="81">
    <w:name w:val="xl96"/>
    <w:basedOn w:val="1"/>
    <w:qFormat/>
    <w:uiPriority w:val="0"/>
    <w:pPr>
      <w:pBdr>
        <w:top w:val="single" w:color="auto" w:sz="4" w:space="0"/>
        <w:left w:val="single" w:color="auto" w:sz="4" w:space="0"/>
        <w:bottom w:val="single" w:color="auto" w:sz="8"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82">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83">
    <w:name w:val="xl79"/>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84">
    <w:name w:val="Char11"/>
    <w:basedOn w:val="1"/>
    <w:qFormat/>
    <w:uiPriority w:val="0"/>
    <w:pPr>
      <w:widowControl w:val="0"/>
      <w:jc w:val="both"/>
    </w:pPr>
    <w:rPr>
      <w:kern w:val="2"/>
      <w:sz w:val="21"/>
      <w:szCs w:val="24"/>
    </w:rPr>
  </w:style>
  <w:style w:type="paragraph" w:customStyle="1" w:styleId="85">
    <w:name w:val="xl7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86">
    <w:name w:val="xl81"/>
    <w:basedOn w:val="1"/>
    <w:qFormat/>
    <w:uiPriority w:val="0"/>
    <w:pPr>
      <w:pBdr>
        <w:top w:val="single" w:color="auto" w:sz="4" w:space="0"/>
        <w:left w:val="single" w:color="auto" w:sz="4" w:space="0"/>
        <w:bottom w:val="single" w:color="auto" w:sz="8" w:space="0"/>
        <w:right w:val="single" w:color="auto" w:sz="4" w:space="0"/>
      </w:pBdr>
      <w:shd w:val="clear" w:color="000000" w:fill="FFFF00"/>
      <w:spacing w:before="100" w:beforeAutospacing="1" w:after="100" w:afterAutospacing="1"/>
    </w:pPr>
    <w:rPr>
      <w:rFonts w:ascii="宋体" w:hAnsi="宋体" w:cs="宋体"/>
      <w:color w:val="000000"/>
      <w:sz w:val="24"/>
      <w:szCs w:val="24"/>
    </w:rPr>
  </w:style>
  <w:style w:type="paragraph" w:customStyle="1" w:styleId="87">
    <w:name w:val="xl65"/>
    <w:basedOn w:val="1"/>
    <w:qFormat/>
    <w:uiPriority w:val="0"/>
    <w:pPr>
      <w:spacing w:before="100" w:beforeAutospacing="1" w:after="100" w:afterAutospacing="1"/>
    </w:pPr>
    <w:rPr>
      <w:rFonts w:ascii="宋体" w:hAnsi="宋体" w:cs="宋体"/>
      <w:sz w:val="24"/>
      <w:szCs w:val="24"/>
    </w:rPr>
  </w:style>
  <w:style w:type="paragraph" w:customStyle="1" w:styleId="8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89">
    <w:name w:val="列出段落1"/>
    <w:basedOn w:val="1"/>
    <w:qFormat/>
    <w:uiPriority w:val="0"/>
    <w:pPr>
      <w:widowControl w:val="0"/>
      <w:ind w:firstLine="420" w:firstLineChars="200"/>
      <w:jc w:val="both"/>
    </w:pPr>
    <w:rPr>
      <w:rFonts w:hint="eastAsia"/>
      <w:kern w:val="2"/>
      <w:sz w:val="21"/>
    </w:rPr>
  </w:style>
  <w:style w:type="paragraph" w:customStyle="1" w:styleId="9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1">
    <w:name w:val="xl90"/>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sz w:val="24"/>
      <w:szCs w:val="24"/>
    </w:rPr>
  </w:style>
  <w:style w:type="paragraph" w:customStyle="1" w:styleId="92">
    <w:name w:val="Char Char Char Char1"/>
    <w:basedOn w:val="1"/>
    <w:qFormat/>
    <w:uiPriority w:val="0"/>
    <w:pPr>
      <w:widowControl w:val="0"/>
      <w:jc w:val="both"/>
    </w:pPr>
    <w:rPr>
      <w:kern w:val="2"/>
      <w:sz w:val="21"/>
      <w:szCs w:val="24"/>
    </w:rPr>
  </w:style>
  <w:style w:type="paragraph" w:customStyle="1" w:styleId="93">
    <w:name w:val="xl80"/>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color w:val="000000"/>
      <w:sz w:val="24"/>
      <w:szCs w:val="24"/>
    </w:rPr>
  </w:style>
  <w:style w:type="paragraph" w:customStyle="1" w:styleId="94">
    <w:name w:val="xl95"/>
    <w:basedOn w:val="1"/>
    <w:qFormat/>
    <w:uiPriority w:val="0"/>
    <w:pPr>
      <w:pBdr>
        <w:top w:val="single" w:color="auto" w:sz="8" w:space="0"/>
        <w:bottom w:val="single" w:color="auto" w:sz="4" w:space="0"/>
        <w:right w:val="single" w:color="auto" w:sz="4" w:space="0"/>
      </w:pBdr>
      <w:shd w:val="clear" w:color="000000" w:fill="538ED5"/>
      <w:spacing w:before="100" w:beforeAutospacing="1" w:after="100" w:afterAutospacing="1"/>
      <w:jc w:val="center"/>
    </w:pPr>
    <w:rPr>
      <w:rFonts w:ascii="宋体" w:hAnsi="宋体" w:cs="宋体"/>
      <w:color w:val="000000"/>
      <w:sz w:val="24"/>
      <w:szCs w:val="24"/>
    </w:rPr>
  </w:style>
  <w:style w:type="paragraph" w:customStyle="1" w:styleId="95">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4"/>
      <w:szCs w:val="24"/>
    </w:rPr>
  </w:style>
  <w:style w:type="paragraph" w:customStyle="1" w:styleId="96">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4"/>
      <w:szCs w:val="24"/>
    </w:rPr>
  </w:style>
  <w:style w:type="paragraph" w:customStyle="1" w:styleId="97">
    <w:name w:val="xl98"/>
    <w:basedOn w:val="1"/>
    <w:qFormat/>
    <w:uiPriority w:val="0"/>
    <w:pPr>
      <w:pBdr>
        <w:top w:val="single" w:color="auto" w:sz="4" w:space="0"/>
        <w:bottom w:val="single" w:color="auto" w:sz="8" w:space="0"/>
        <w:right w:val="single" w:color="auto" w:sz="4" w:space="0"/>
      </w:pBdr>
      <w:shd w:val="clear" w:color="000000" w:fill="FFFF00"/>
      <w:spacing w:before="100" w:beforeAutospacing="1" w:after="100" w:afterAutospacing="1"/>
      <w:jc w:val="center"/>
    </w:pPr>
    <w:rPr>
      <w:rFonts w:ascii="宋体" w:hAnsi="宋体" w:cs="宋体"/>
      <w:color w:val="000000"/>
      <w:sz w:val="24"/>
      <w:szCs w:val="24"/>
    </w:rPr>
  </w:style>
  <w:style w:type="paragraph" w:customStyle="1" w:styleId="98">
    <w:name w:val="_Style 27"/>
    <w:basedOn w:val="1"/>
    <w:next w:val="17"/>
    <w:qFormat/>
    <w:uiPriority w:val="0"/>
    <w:pPr>
      <w:widowControl w:val="0"/>
      <w:adjustRightInd w:val="0"/>
      <w:ind w:left="420" w:right="33"/>
      <w:textAlignment w:val="baseline"/>
    </w:pPr>
    <w:rPr>
      <w:sz w:val="24"/>
    </w:rPr>
  </w:style>
  <w:style w:type="paragraph" w:customStyle="1" w:styleId="99">
    <w:name w:val="xl87"/>
    <w:basedOn w:val="1"/>
    <w:qFormat/>
    <w:uiPriority w:val="0"/>
    <w:pPr>
      <w:pBdr>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100">
    <w:name w:val="Char1"/>
    <w:basedOn w:val="1"/>
    <w:qFormat/>
    <w:uiPriority w:val="0"/>
    <w:pPr>
      <w:widowControl w:val="0"/>
      <w:spacing w:before="300" w:after="300" w:line="560" w:lineRule="exact"/>
      <w:jc w:val="both"/>
    </w:pPr>
    <w:rPr>
      <w:rFonts w:eastAsia="黑体"/>
      <w:kern w:val="2"/>
      <w:sz w:val="36"/>
      <w:szCs w:val="36"/>
    </w:rPr>
  </w:style>
  <w:style w:type="paragraph" w:customStyle="1" w:styleId="101">
    <w:name w:val="xl39"/>
    <w:basedOn w:val="1"/>
    <w:qFormat/>
    <w:uiPriority w:val="0"/>
    <w:pPr>
      <w:spacing w:before="100" w:beforeAutospacing="1" w:after="100" w:afterAutospacing="1"/>
      <w:jc w:val="center"/>
    </w:pPr>
    <w:rPr>
      <w:rFonts w:ascii="宋体" w:hAnsi="宋体"/>
      <w:sz w:val="24"/>
      <w:szCs w:val="24"/>
    </w:rPr>
  </w:style>
  <w:style w:type="paragraph" w:customStyle="1" w:styleId="102">
    <w:name w:val="0"/>
    <w:basedOn w:val="1"/>
    <w:qFormat/>
    <w:uiPriority w:val="0"/>
    <w:pPr>
      <w:jc w:val="both"/>
    </w:pPr>
    <w:rPr>
      <w:color w:val="000000"/>
      <w:sz w:val="21"/>
    </w:rPr>
  </w:style>
  <w:style w:type="paragraph" w:customStyle="1" w:styleId="103">
    <w:name w:val="表格"/>
    <w:basedOn w:val="1"/>
    <w:link w:val="104"/>
    <w:qFormat/>
    <w:uiPriority w:val="0"/>
    <w:pPr>
      <w:tabs>
        <w:tab w:val="left" w:pos="3960"/>
      </w:tabs>
      <w:jc w:val="center"/>
    </w:pPr>
  </w:style>
  <w:style w:type="character" w:customStyle="1" w:styleId="104">
    <w:name w:val="表格 Char"/>
    <w:link w:val="103"/>
    <w:qFormat/>
    <w:uiPriority w:val="0"/>
  </w:style>
  <w:style w:type="paragraph" w:customStyle="1" w:styleId="105">
    <w:name w:val="cucd-TB-Head"/>
    <w:basedOn w:val="1"/>
    <w:next w:val="106"/>
    <w:qFormat/>
    <w:uiPriority w:val="0"/>
    <w:pPr>
      <w:widowControl w:val="0"/>
      <w:spacing w:line="360" w:lineRule="auto"/>
      <w:jc w:val="center"/>
    </w:pPr>
    <w:rPr>
      <w:rFonts w:ascii="黑体" w:hAnsi="黑体" w:eastAsia="黑体"/>
      <w:kern w:val="2"/>
      <w:sz w:val="22"/>
      <w:szCs w:val="22"/>
    </w:rPr>
  </w:style>
  <w:style w:type="paragraph" w:customStyle="1" w:styleId="106">
    <w:name w:val="cucd-0"/>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07">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108">
    <w:name w:val="样式 标题 3 + 宋体 小四 行距: 1.5 倍行距"/>
    <w:basedOn w:val="4"/>
    <w:qFormat/>
    <w:uiPriority w:val="0"/>
    <w:pPr>
      <w:widowControl w:val="0"/>
      <w:numPr>
        <w:ilvl w:val="0"/>
        <w:numId w:val="0"/>
      </w:numPr>
      <w:tabs>
        <w:tab w:val="clear" w:pos="720"/>
      </w:tabs>
      <w:adjustRightInd w:val="0"/>
      <w:spacing w:before="0" w:after="0"/>
      <w:jc w:val="left"/>
      <w:textAlignment w:val="baseline"/>
    </w:pPr>
    <w:rPr>
      <w:rFonts w:ascii="宋体" w:hAnsi="宋体" w:cs="宋体"/>
      <w:bCs/>
      <w:sz w:val="24"/>
      <w:szCs w:val="24"/>
    </w:rPr>
  </w:style>
  <w:style w:type="character" w:customStyle="1" w:styleId="109">
    <w:name w:val="HTML 预设格式 Char"/>
    <w:basedOn w:val="35"/>
    <w:link w:val="30"/>
    <w:qFormat/>
    <w:uiPriority w:val="99"/>
    <w:rPr>
      <w:rFonts w:ascii="黑体" w:hAnsi="Courier New" w:eastAsia="黑体" w:cs="Courier New"/>
    </w:rPr>
  </w:style>
  <w:style w:type="paragraph" w:customStyle="1" w:styleId="110">
    <w:name w:val="正文－华文中宋，小四"/>
    <w:basedOn w:val="1"/>
    <w:qFormat/>
    <w:uiPriority w:val="0"/>
    <w:pPr>
      <w:ind w:firstLine="234" w:firstLineChars="234"/>
    </w:pPr>
  </w:style>
  <w:style w:type="paragraph" w:customStyle="1" w:styleId="111">
    <w:name w:val="列表段落1"/>
    <w:basedOn w:val="1"/>
    <w:qFormat/>
    <w:uiPriority w:val="34"/>
    <w:pPr>
      <w:widowControl w:val="0"/>
      <w:ind w:firstLine="420" w:firstLineChars="200"/>
      <w:jc w:val="both"/>
    </w:pPr>
    <w:rPr>
      <w:kern w:val="2"/>
      <w:sz w:val="21"/>
      <w:szCs w:val="24"/>
    </w:rPr>
  </w:style>
  <w:style w:type="paragraph" w:customStyle="1" w:styleId="112">
    <w:name w:val="文档正文"/>
    <w:basedOn w:val="1"/>
    <w:qFormat/>
    <w:uiPriority w:val="0"/>
    <w:pPr>
      <w:adjustRightInd w:val="0"/>
      <w:spacing w:line="480" w:lineRule="atLeast"/>
      <w:ind w:firstLine="567"/>
      <w:textAlignment w:val="baseline"/>
    </w:pPr>
    <w:rPr>
      <w:rFonts w:ascii="仿宋_GB2312" w:eastAsia="仿宋_GB2312"/>
      <w:sz w:val="28"/>
    </w:rPr>
  </w:style>
  <w:style w:type="character" w:customStyle="1" w:styleId="113">
    <w:name w:val="font01"/>
    <w:basedOn w:val="35"/>
    <w:qFormat/>
    <w:uiPriority w:val="0"/>
    <w:rPr>
      <w:rFonts w:hint="eastAsia" w:ascii="微软雅黑" w:hAnsi="微软雅黑" w:eastAsia="微软雅黑" w:cs="微软雅黑"/>
      <w:color w:val="000000"/>
      <w:sz w:val="20"/>
      <w:szCs w:val="20"/>
      <w:u w:val="none"/>
    </w:rPr>
  </w:style>
  <w:style w:type="character" w:customStyle="1" w:styleId="114">
    <w:name w:val="font71"/>
    <w:basedOn w:val="35"/>
    <w:qFormat/>
    <w:uiPriority w:val="0"/>
    <w:rPr>
      <w:rFonts w:ascii="Arial" w:hAnsi="Arial" w:cs="Arial"/>
      <w:color w:val="000000"/>
      <w:sz w:val="20"/>
      <w:szCs w:val="20"/>
      <w:u w:val="none"/>
    </w:rPr>
  </w:style>
  <w:style w:type="character" w:customStyle="1" w:styleId="115">
    <w:name w:val="font51"/>
    <w:basedOn w:val="35"/>
    <w:qFormat/>
    <w:uiPriority w:val="0"/>
    <w:rPr>
      <w:rFonts w:hint="eastAsia" w:ascii="微软雅黑" w:hAnsi="微软雅黑" w:eastAsia="微软雅黑" w:cs="微软雅黑"/>
      <w:color w:val="000000"/>
      <w:sz w:val="20"/>
      <w:szCs w:val="20"/>
      <w:u w:val="none"/>
    </w:rPr>
  </w:style>
  <w:style w:type="character" w:customStyle="1" w:styleId="116">
    <w:name w:val="font81"/>
    <w:basedOn w:val="3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307;&#26631;&#25991;&#20214;&#31354;&#30333;&#25991;&#267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CE04D-3B72-489E-9ABF-AB46D355E892}">
  <ds:schemaRefs/>
</ds:datastoreItem>
</file>

<file path=docProps/app.xml><?xml version="1.0" encoding="utf-8"?>
<Properties xmlns="http://schemas.openxmlformats.org/officeDocument/2006/extended-properties" xmlns:vt="http://schemas.openxmlformats.org/officeDocument/2006/docPropsVTypes">
  <Template>招标文件空白文档</Template>
  <Company>kmcx</Company>
  <Pages>50</Pages>
  <Words>3490</Words>
  <Characters>19899</Characters>
  <Lines>165</Lines>
  <Paragraphs>46</Paragraphs>
  <TotalTime>3</TotalTime>
  <ScaleCrop>false</ScaleCrop>
  <LinksUpToDate>false</LinksUpToDate>
  <CharactersWithSpaces>23343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2021-09-01T09:54:00Z</dcterms:created>
  <dc:creator>name</dc:creator>
  <cp:lastModifiedBy>Administrator</cp:lastModifiedBy>
  <cp:lastPrinted>2021-08-23T06:44:00Z</cp:lastPrinted>
  <dcterms:modified xsi:type="dcterms:W3CDTF">2022-06-21T06:31:04Z</dcterms:modified>
  <dc:title>{招标工程项目名称}工程施工招标</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DE9B3AAC7E7A40F2BB0725824810BC65</vt:lpwstr>
  </property>
</Properties>
</file>