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lang w:val="en-US" w:eastAsia="zh-CN"/>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6"/>
      </w:pPr>
    </w:p>
    <w:p>
      <w:pPr>
        <w:ind w:firstLine="1755" w:firstLineChars="500"/>
        <w:rPr>
          <w:rFonts w:hint="eastAsia" w:ascii="宋体" w:hAnsi="宋体" w:eastAsia="宋体" w:cs="Times New Roman"/>
          <w:kern w:val="0"/>
          <w:sz w:val="36"/>
          <w:szCs w:val="36"/>
          <w:lang w:eastAsia="zh-CN"/>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lang w:eastAsia="zh-CN"/>
        </w:rPr>
        <w:t>护工服务（三次挂网）</w:t>
      </w:r>
    </w:p>
    <w:p>
      <w:pPr>
        <w:ind w:firstLine="1755" w:firstLineChars="500"/>
        <w:rPr>
          <w:rFonts w:ascii="宋体" w:hAnsi="宋体" w:eastAsia="宋体" w:cs="Times New Roman"/>
          <w:kern w:val="0"/>
          <w:sz w:val="36"/>
          <w:szCs w:val="36"/>
        </w:rPr>
      </w:pPr>
      <w:r>
        <w:rPr>
          <w:rFonts w:hint="eastAsia" w:ascii="宋体" w:hAnsi="宋体" w:eastAsia="宋体" w:cs="Times New Roman"/>
          <w:kern w:val="0"/>
          <w:sz w:val="36"/>
          <w:szCs w:val="36"/>
        </w:rPr>
        <w:t>项目编号：2021-JLJY59-F30110</w:t>
      </w:r>
    </w:p>
    <w:p>
      <w:pPr>
        <w:rPr>
          <w:rFonts w:ascii="Times New Roman" w:hAnsi="Times New Roman" w:eastAsia="华文中宋" w:cs="Times New Roman"/>
          <w:kern w:val="0"/>
          <w:sz w:val="36"/>
          <w:szCs w:val="36"/>
        </w:rPr>
      </w:pPr>
    </w:p>
    <w:p>
      <w:pPr>
        <w:pStyle w:val="6"/>
      </w:pPr>
    </w:p>
    <w:p>
      <w:pPr>
        <w:jc w:val="center"/>
        <w:rPr>
          <w:rFonts w:ascii="宋体" w:hAnsi="宋体" w:eastAsia="宋体" w:cs="Times New Roman"/>
          <w:kern w:val="0"/>
          <w:sz w:val="36"/>
          <w:szCs w:val="36"/>
        </w:rPr>
      </w:pPr>
    </w:p>
    <w:p>
      <w:pPr>
        <w:pStyle w:val="6"/>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重庆某医院</w:t>
      </w: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二〇二</w:t>
      </w:r>
      <w:r>
        <w:rPr>
          <w:rFonts w:hint="eastAsia" w:ascii="宋体" w:hAnsi="宋体" w:eastAsia="宋体" w:cs="Times New Roman"/>
          <w:kern w:val="0"/>
          <w:sz w:val="36"/>
          <w:szCs w:val="36"/>
          <w:lang w:eastAsia="zh-CN"/>
        </w:rPr>
        <w:t>二</w:t>
      </w:r>
      <w:r>
        <w:rPr>
          <w:rFonts w:hint="eastAsia" w:ascii="宋体" w:hAnsi="宋体" w:eastAsia="宋体" w:cs="Times New Roman"/>
          <w:kern w:val="0"/>
          <w:sz w:val="36"/>
          <w:szCs w:val="36"/>
        </w:rPr>
        <w:t>年</w:t>
      </w:r>
      <w:r>
        <w:rPr>
          <w:rFonts w:hint="eastAsia" w:ascii="宋体" w:hAnsi="宋体" w:eastAsia="宋体" w:cs="Times New Roman"/>
          <w:kern w:val="0"/>
          <w:sz w:val="36"/>
          <w:szCs w:val="36"/>
          <w:lang w:eastAsia="zh-CN"/>
        </w:rPr>
        <w:t>一</w:t>
      </w:r>
      <w:r>
        <w:rPr>
          <w:rFonts w:hint="eastAsia" w:ascii="宋体" w:hAnsi="宋体" w:eastAsia="宋体" w:cs="Times New Roman"/>
          <w:kern w:val="0"/>
          <w:sz w:val="36"/>
          <w:szCs w:val="36"/>
        </w:rPr>
        <w:t>月</w:t>
      </w:r>
    </w:p>
    <w:p>
      <w:pPr>
        <w:jc w:val="center"/>
        <w:rPr>
          <w:rFonts w:ascii="宋体" w:hAnsi="宋体" w:eastAsia="宋体" w:cs="Times New Roman"/>
          <w:kern w:val="0"/>
          <w:sz w:val="36"/>
          <w:szCs w:val="36"/>
        </w:rPr>
      </w:pP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谈判报价</w:t>
      </w:r>
      <w:r>
        <w:rPr>
          <w:rFonts w:ascii="Times New Roman" w:hAnsi="Times New Roman" w:eastAsia="方正小标宋简体" w:cs="Times New Roman"/>
          <w:bCs/>
          <w:kern w:val="0"/>
          <w:sz w:val="44"/>
          <w:szCs w:val="44"/>
        </w:rPr>
        <w:t>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一、报价方应特别留意谈判文件上载明的报价文件递交开始截止时间，提前或逾期送达（含邮寄送达）的报价文件概不接受。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二、报价方须交纳谈判保证金，保证金</w:t>
      </w:r>
      <w:r>
        <w:rPr>
          <w:rFonts w:hint="eastAsia" w:ascii="仿宋_GB2312" w:hAnsi="黑体" w:eastAsia="仿宋_GB2312" w:cs="Times New Roman"/>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请仔细检查谈判文件要求提交的相关证书的有效期和审核信息。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四、请仔细检查报价文件是否按要求盖公章、签名、签署日期、胶装成册。报价文件需签名之处必须由当事人亲笔签署。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五、谈判过程中报价方提交最终报价时，应将最终报价和其他澄清承诺分开填写、单独密封递交，否则将被视为无效报价。</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”的指标要求未响应或不满足，均视为非实质性响应谈判文件。</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七、供应商发现购买谈判文件时提交的相关资料被盗用或复制，应遵循法律途径解决，追究侵权者责任。</w:t>
      </w:r>
    </w:p>
    <w:p>
      <w:pPr>
        <w:widowControl/>
        <w:ind w:firstLine="622" w:firstLineChars="200"/>
        <w:rPr>
          <w:rFonts w:ascii="仿宋_GB2312" w:hAnsi="黑体" w:eastAsia="仿宋_GB2312"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谈判邀请书…………………………………………1</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第二部分  采购项目技术和商务要求…………………………6</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第三部分  报价方须知…………………………………………8</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合同样本……………………………………………37</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附件/报价文件格式………………………………38</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435540978"/>
      <w:bookmarkStart w:id="2" w:name="_Toc285612593"/>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谈判邀请书</w:t>
      </w:r>
    </w:p>
    <w:bookmarkEnd w:id="0"/>
    <w:p>
      <w:pPr>
        <w:spacing w:line="540" w:lineRule="exact"/>
        <w:ind w:firstLine="622" w:firstLineChars="200"/>
        <w:rPr>
          <w:rFonts w:ascii="Times New Roman" w:hAnsi="Times New Roman" w:eastAsia="宋体" w:cs="Times New Roman"/>
          <w:kern w:val="0"/>
          <w:sz w:val="32"/>
          <w:szCs w:val="32"/>
        </w:rPr>
      </w:pPr>
    </w:p>
    <w:p>
      <w:pPr>
        <w:ind w:firstLine="622" w:firstLineChars="200"/>
        <w:rPr>
          <w:rFonts w:ascii="仿宋_GB2312" w:hAnsi="Times New Roman" w:eastAsia="仿宋_GB2312" w:cs="Times New Roman"/>
          <w:color w:val="auto"/>
          <w:kern w:val="0"/>
          <w:sz w:val="32"/>
          <w:szCs w:val="32"/>
        </w:rPr>
      </w:pPr>
      <w:r>
        <w:rPr>
          <w:rFonts w:hint="eastAsia" w:ascii="仿宋_GB2312" w:hAnsi="Times New Roman" w:eastAsia="仿宋_GB2312" w:cs="Times New Roman"/>
          <w:kern w:val="0"/>
          <w:sz w:val="32"/>
          <w:szCs w:val="32"/>
        </w:rPr>
        <w:t>我部就</w:t>
      </w:r>
      <w:r>
        <w:rPr>
          <w:rFonts w:hint="eastAsia" w:ascii="仿宋_GB2312" w:hAnsi="Times New Roman" w:eastAsia="仿宋_GB2312" w:cs="Times New Roman"/>
          <w:color w:val="auto"/>
          <w:kern w:val="0"/>
          <w:sz w:val="32"/>
          <w:szCs w:val="32"/>
        </w:rPr>
        <w:t>以下项目进行竞争性谈判，欢迎贵单位参加谈判报价。</w:t>
      </w:r>
    </w:p>
    <w:p>
      <w:pPr>
        <w:ind w:firstLine="622" w:firstLineChars="200"/>
        <w:rPr>
          <w:rFonts w:hint="eastAsia" w:ascii="Times New Roman" w:hAnsi="Times New Roman" w:eastAsia="黑体" w:cs="Times New Roman"/>
          <w:color w:val="auto"/>
          <w:kern w:val="0"/>
          <w:sz w:val="32"/>
          <w:szCs w:val="32"/>
          <w:lang w:eastAsia="zh-CN"/>
        </w:rPr>
      </w:pPr>
      <w:r>
        <w:rPr>
          <w:rFonts w:hint="eastAsia" w:ascii="Times New Roman" w:hAnsi="Times New Roman" w:eastAsia="黑体" w:cs="Times New Roman"/>
          <w:color w:val="auto"/>
          <w:kern w:val="0"/>
          <w:sz w:val="32"/>
          <w:szCs w:val="32"/>
        </w:rPr>
        <w:t>一、</w:t>
      </w:r>
      <w:r>
        <w:rPr>
          <w:rFonts w:ascii="Times New Roman" w:hAnsi="Times New Roman" w:eastAsia="黑体" w:cs="Times New Roman"/>
          <w:color w:val="auto"/>
          <w:kern w:val="0"/>
          <w:sz w:val="32"/>
          <w:szCs w:val="32"/>
        </w:rPr>
        <w:t>项目名称：</w:t>
      </w:r>
      <w:r>
        <w:rPr>
          <w:rFonts w:hint="eastAsia" w:ascii="仿宋_GB2312" w:hAnsi="Times New Roman" w:eastAsia="仿宋_GB2312" w:cs="Times New Roman"/>
          <w:color w:val="auto"/>
          <w:kern w:val="0"/>
          <w:sz w:val="32"/>
          <w:szCs w:val="32"/>
          <w:lang w:eastAsia="zh-CN"/>
        </w:rPr>
        <w:t>护工服务（三次挂网）</w:t>
      </w:r>
    </w:p>
    <w:p>
      <w:pPr>
        <w:tabs>
          <w:tab w:val="left" w:pos="0"/>
          <w:tab w:val="left" w:pos="1122"/>
        </w:tabs>
        <w:ind w:firstLine="622" w:firstLineChars="200"/>
        <w:rPr>
          <w:rFonts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rPr>
        <w:t>二、</w:t>
      </w:r>
      <w:r>
        <w:rPr>
          <w:rFonts w:ascii="Times New Roman" w:hAnsi="Times New Roman" w:eastAsia="黑体" w:cs="Times New Roman"/>
          <w:color w:val="auto"/>
          <w:kern w:val="0"/>
          <w:sz w:val="32"/>
          <w:szCs w:val="32"/>
        </w:rPr>
        <w:t>项目编号：</w:t>
      </w:r>
      <w:r>
        <w:rPr>
          <w:rFonts w:hint="eastAsia" w:ascii="仿宋_GB2312" w:hAnsi="Times New Roman" w:eastAsia="仿宋_GB2312" w:cs="Times New Roman"/>
          <w:color w:val="auto"/>
          <w:kern w:val="0"/>
          <w:sz w:val="32"/>
          <w:szCs w:val="32"/>
        </w:rPr>
        <w:t>2021-JLJY59-F30110</w:t>
      </w:r>
    </w:p>
    <w:tbl>
      <w:tblPr>
        <w:tblStyle w:val="20"/>
        <w:tblpPr w:leftFromText="180" w:rightFromText="180" w:vertAnchor="text" w:horzAnchor="page" w:tblpX="1429" w:tblpY="559"/>
        <w:tblOverlap w:val="never"/>
        <w:tblW w:w="51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838"/>
        <w:gridCol w:w="1581"/>
        <w:gridCol w:w="1121"/>
        <w:gridCol w:w="1093"/>
        <w:gridCol w:w="1515"/>
        <w:gridCol w:w="1043"/>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265"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序号</w:t>
            </w:r>
          </w:p>
        </w:tc>
        <w:tc>
          <w:tcPr>
            <w:tcW w:w="980"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服务名称</w:t>
            </w:r>
          </w:p>
        </w:tc>
        <w:tc>
          <w:tcPr>
            <w:tcW w:w="843"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服务要求</w:t>
            </w:r>
          </w:p>
        </w:tc>
        <w:tc>
          <w:tcPr>
            <w:tcW w:w="597"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数量</w:t>
            </w:r>
          </w:p>
        </w:tc>
        <w:tc>
          <w:tcPr>
            <w:tcW w:w="583"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最高限价</w:t>
            </w:r>
          </w:p>
        </w:tc>
        <w:tc>
          <w:tcPr>
            <w:tcW w:w="808"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服务期限</w:t>
            </w:r>
          </w:p>
        </w:tc>
        <w:tc>
          <w:tcPr>
            <w:tcW w:w="556"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服务地点</w:t>
            </w:r>
          </w:p>
        </w:tc>
        <w:tc>
          <w:tcPr>
            <w:tcW w:w="364"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265"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80" w:type="pct"/>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Times New Roman" w:eastAsia="仿宋_GB2312" w:cs="Times New Roman"/>
                <w:color w:val="auto"/>
                <w:kern w:val="0"/>
                <w:sz w:val="32"/>
                <w:szCs w:val="32"/>
                <w:lang w:eastAsia="zh-CN"/>
              </w:rPr>
              <w:t>护工服务（三次挂网）</w:t>
            </w:r>
          </w:p>
        </w:tc>
        <w:tc>
          <w:tcPr>
            <w:tcW w:w="1441" w:type="pct"/>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详见谈判文件</w:t>
            </w:r>
          </w:p>
        </w:tc>
        <w:tc>
          <w:tcPr>
            <w:tcW w:w="583" w:type="pct"/>
            <w:vAlign w:val="center"/>
          </w:tcPr>
          <w:p>
            <w:pPr>
              <w:spacing w:line="400" w:lineRule="exact"/>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57.8</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万元</w:t>
            </w:r>
          </w:p>
        </w:tc>
        <w:tc>
          <w:tcPr>
            <w:tcW w:w="808"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12个    自然月</w:t>
            </w:r>
          </w:p>
        </w:tc>
        <w:tc>
          <w:tcPr>
            <w:tcW w:w="556"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重庆市</w:t>
            </w:r>
          </w:p>
        </w:tc>
        <w:tc>
          <w:tcPr>
            <w:tcW w:w="364" w:type="pct"/>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265" w:type="pct"/>
            <w:vAlign w:val="center"/>
          </w:tcPr>
          <w:p>
            <w:pPr>
              <w:pStyle w:val="50"/>
              <w:rPr>
                <w:rFonts w:ascii="仿宋_GB2312" w:hAnsi="仿宋_GB2312" w:eastAsia="仿宋_GB2312" w:cs="仿宋_GB2312"/>
              </w:rPr>
            </w:pPr>
            <w:r>
              <w:rPr>
                <w:rFonts w:hint="eastAsia" w:ascii="仿宋_GB2312" w:hAnsi="仿宋_GB2312" w:eastAsia="仿宋_GB2312" w:cs="仿宋_GB2312"/>
                <w:color w:val="000000"/>
                <w:sz w:val="28"/>
                <w:szCs w:val="28"/>
              </w:rPr>
              <w:t>说明</w:t>
            </w:r>
          </w:p>
        </w:tc>
        <w:tc>
          <w:tcPr>
            <w:tcW w:w="4734" w:type="pct"/>
            <w:gridSpan w:val="7"/>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1.本项目确定</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家成交供应商。</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2.报价方在成功获取谈判文件后，自行现场勘查。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3.供应商报价不得高于最高限价，否则视为无效报价。</w:t>
            </w:r>
          </w:p>
        </w:tc>
      </w:tr>
    </w:tbl>
    <w:p>
      <w:pPr>
        <w:tabs>
          <w:tab w:val="left" w:pos="0"/>
          <w:tab w:val="left" w:pos="1122"/>
        </w:tabs>
        <w:ind w:firstLine="622" w:firstLineChars="200"/>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rPr>
        <w:t>三、服务内容</w:t>
      </w:r>
      <w:r>
        <w:rPr>
          <w:rFonts w:hint="eastAsia" w:ascii="Times New Roman" w:hAnsi="Times New Roman" w:eastAsia="黑体" w:cs="Times New Roman"/>
          <w:kern w:val="0"/>
          <w:sz w:val="32"/>
          <w:szCs w:val="32"/>
          <w:lang w:eastAsia="zh-CN"/>
        </w:rPr>
        <w:t>：</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详见招标文件</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（二）供应商成立时间不少于1年。</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tabs>
          <w:tab w:val="left" w:pos="0"/>
        </w:tabs>
        <w:ind w:firstLine="622" w:firstLineChars="200"/>
        <w:rPr>
          <w:rFonts w:ascii="仿宋_GB2312" w:hAnsi="宋体" w:eastAsia="仿宋_GB2312" w:cs="Times New Roman"/>
          <w:color w:val="auto"/>
          <w:kern w:val="0"/>
          <w:sz w:val="32"/>
          <w:szCs w:val="32"/>
        </w:rPr>
      </w:pPr>
      <w:r>
        <w:rPr>
          <w:rFonts w:hint="eastAsia" w:ascii="仿宋_GB2312" w:hAnsi="宋体" w:eastAsia="仿宋_GB2312" w:cs="Times New Roman"/>
          <w:color w:val="auto"/>
          <w:kern w:val="0"/>
          <w:sz w:val="32"/>
          <w:szCs w:val="32"/>
        </w:rPr>
        <w:t>（五）本项目不接受联合体投标。</w:t>
      </w:r>
    </w:p>
    <w:p>
      <w:pPr>
        <w:pStyle w:val="5"/>
        <w:widowControl w:val="0"/>
        <w:spacing w:before="0" w:after="0" w:line="579" w:lineRule="exact"/>
        <w:ind w:firstLine="622" w:firstLineChars="200"/>
        <w:rPr>
          <w:rFonts w:hint="default" w:ascii="仿宋_GB2312" w:eastAsia="仿宋_GB2312" w:hAnsiTheme="minorEastAsia"/>
          <w:b w:val="0"/>
          <w:bCs/>
          <w:color w:val="FF0000"/>
          <w:sz w:val="28"/>
          <w:szCs w:val="28"/>
          <w:highlight w:val="none"/>
          <w:lang w:val="en-US" w:eastAsia="zh-CN"/>
        </w:rPr>
      </w:pPr>
      <w:r>
        <w:rPr>
          <w:rFonts w:hint="eastAsia" w:ascii="仿宋_GB2312" w:hAnsi="宋体" w:eastAsia="仿宋_GB2312"/>
          <w:b w:val="0"/>
          <w:bCs/>
          <w:szCs w:val="32"/>
        </w:rPr>
        <w:t>（六）特定资格条件：</w:t>
      </w:r>
      <w:r>
        <w:rPr>
          <w:rFonts w:hint="eastAsia" w:ascii="仿宋_GB2312" w:hAnsi="宋体" w:eastAsia="仿宋_GB2312"/>
          <w:b w:val="0"/>
          <w:bCs/>
          <w:color w:val="FF0000"/>
          <w:szCs w:val="32"/>
          <w:highlight w:val="none"/>
        </w:rPr>
        <w:t>投标供应商具有军队医院3年及以上工作业绩</w:t>
      </w:r>
      <w:r>
        <w:rPr>
          <w:rFonts w:hint="eastAsia" w:ascii="仿宋_GB2312" w:hAnsi="宋体" w:eastAsia="仿宋_GB2312"/>
          <w:b w:val="0"/>
          <w:bCs/>
          <w:color w:val="FF0000"/>
          <w:szCs w:val="32"/>
          <w:highlight w:val="none"/>
          <w:lang w:eastAsia="zh-CN"/>
        </w:rPr>
        <w:t>或具有三甲医院</w:t>
      </w:r>
      <w:r>
        <w:rPr>
          <w:rFonts w:hint="eastAsia" w:ascii="仿宋_GB2312" w:hAnsi="宋体" w:eastAsia="仿宋_GB2312"/>
          <w:b w:val="0"/>
          <w:bCs/>
          <w:color w:val="FF0000"/>
          <w:szCs w:val="32"/>
          <w:highlight w:val="none"/>
          <w:lang w:val="en-US" w:eastAsia="zh-CN"/>
        </w:rPr>
        <w:t>1年以上工作业绩。</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五、谈判文件发售时间、地点、方式及售价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color w:val="FF0000"/>
          <w:kern w:val="0"/>
          <w:sz w:val="32"/>
          <w:szCs w:val="32"/>
          <w:u w:val="single"/>
        </w:rPr>
        <w:t>202</w:t>
      </w:r>
      <w:r>
        <w:rPr>
          <w:rFonts w:hint="eastAsia" w:ascii="仿宋_GB2312" w:hAnsi="宋体" w:eastAsia="仿宋_GB2312" w:cs="Times New Roman"/>
          <w:color w:val="FF0000"/>
          <w:kern w:val="0"/>
          <w:sz w:val="32"/>
          <w:szCs w:val="32"/>
          <w:u w:val="single"/>
          <w:lang w:val="en-US" w:eastAsia="zh-CN"/>
        </w:rPr>
        <w:t>2</w:t>
      </w:r>
      <w:r>
        <w:rPr>
          <w:rFonts w:hint="eastAsia" w:ascii="仿宋_GB2312" w:hAnsi="宋体" w:eastAsia="仿宋_GB2312" w:cs="Times New Roman"/>
          <w:kern w:val="0"/>
          <w:sz w:val="32"/>
          <w:szCs w:val="32"/>
        </w:rPr>
        <w:t>年</w:t>
      </w:r>
      <w:r>
        <w:rPr>
          <w:rFonts w:hint="eastAsia" w:ascii="仿宋_GB2312" w:hAnsi="宋体" w:eastAsia="仿宋_GB2312" w:cs="Times New Roman"/>
          <w:color w:val="FF0000"/>
          <w:kern w:val="0"/>
          <w:sz w:val="32"/>
          <w:szCs w:val="32"/>
          <w:u w:val="singl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color w:val="FF0000"/>
          <w:kern w:val="0"/>
          <w:sz w:val="32"/>
          <w:szCs w:val="32"/>
          <w:u w:val="single"/>
          <w:lang w:val="en-US" w:eastAsia="zh-CN"/>
        </w:rPr>
        <w:t>17</w:t>
      </w:r>
      <w:r>
        <w:rPr>
          <w:rFonts w:hint="eastAsia" w:ascii="仿宋_GB2312" w:hAnsi="宋体" w:eastAsia="仿宋_GB2312" w:cs="Times New Roman"/>
          <w:kern w:val="0"/>
          <w:sz w:val="32"/>
          <w:szCs w:val="32"/>
        </w:rPr>
        <w:t>日至</w:t>
      </w:r>
      <w:r>
        <w:rPr>
          <w:rFonts w:hint="eastAsia" w:ascii="仿宋_GB2312" w:hAnsi="宋体" w:eastAsia="仿宋_GB2312" w:cs="Times New Roman"/>
          <w:color w:val="FF0000"/>
          <w:kern w:val="0"/>
          <w:sz w:val="32"/>
          <w:szCs w:val="32"/>
          <w:u w:val="single"/>
          <w:lang w:val="en-US" w:eastAsia="zh-CN"/>
        </w:rPr>
        <w:t>2022</w:t>
      </w:r>
      <w:r>
        <w:rPr>
          <w:rFonts w:hint="eastAsia" w:ascii="仿宋_GB2312" w:hAnsi="宋体" w:eastAsia="仿宋_GB2312" w:cs="Times New Roman"/>
          <w:kern w:val="0"/>
          <w:sz w:val="32"/>
          <w:szCs w:val="32"/>
          <w:lang w:val="en-US" w:eastAsia="zh-CN"/>
        </w:rPr>
        <w:t>年</w:t>
      </w:r>
      <w:r>
        <w:rPr>
          <w:rFonts w:hint="eastAsia" w:ascii="仿宋_GB2312" w:hAnsi="宋体" w:eastAsia="仿宋_GB2312" w:cs="Times New Roman"/>
          <w:color w:val="FF0000"/>
          <w:kern w:val="0"/>
          <w:sz w:val="32"/>
          <w:szCs w:val="32"/>
          <w:u w:val="singl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color w:val="FF0000"/>
          <w:kern w:val="0"/>
          <w:sz w:val="32"/>
          <w:szCs w:val="32"/>
          <w:u w:val="single"/>
          <w:lang w:val="en-US" w:eastAsia="zh-CN"/>
        </w:rPr>
        <w:t>21</w:t>
      </w:r>
      <w:r>
        <w:rPr>
          <w:rFonts w:hint="eastAsia" w:ascii="仿宋_GB2312" w:hAnsi="宋体" w:eastAsia="仿宋_GB2312" w:cs="Times New Roman"/>
          <w:kern w:val="0"/>
          <w:sz w:val="32"/>
          <w:szCs w:val="32"/>
        </w:rPr>
        <w:t>日（08:00—12:00，16:00—18:00）（北京时间、节假日除外）。</w:t>
      </w:r>
    </w:p>
    <w:p>
      <w:pPr>
        <w:tabs>
          <w:tab w:val="left" w:pos="0"/>
        </w:tabs>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医院</w:t>
      </w:r>
      <w:r>
        <w:rPr>
          <w:rFonts w:hint="eastAsia" w:ascii="仿宋_GB2312" w:hAnsi="Times New Roman" w:eastAsia="仿宋_GB2312" w:cs="Times New Roman"/>
          <w:kern w:val="0"/>
          <w:sz w:val="32"/>
          <w:szCs w:val="32"/>
          <w:u w:val="single"/>
        </w:rPr>
        <w:t>1号楼3楼</w:t>
      </w:r>
      <w:r>
        <w:rPr>
          <w:rFonts w:hint="eastAsia" w:ascii="仿宋_GB2312" w:hAnsi="宋体" w:eastAsia="仿宋_GB2312" w:cs="Times New Roman"/>
          <w:kern w:val="0"/>
          <w:sz w:val="32"/>
          <w:szCs w:val="32"/>
          <w:u w:val="single"/>
        </w:rPr>
        <w:t>采购办（现场报名）。</w:t>
      </w:r>
    </w:p>
    <w:p>
      <w:pPr>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（三）发售方式：供应商指定专人现场领取，不接受邮寄等其他方式。购买谈判文件时需提供以下材料原件及装订成册加盖单位公章的复印件1份。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1.供应商报名登记表（附件）；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4.税务登记证（三证合一的不需提供）；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5.法定代表人授权书（含法定代表人和被授权人身份证复印件）；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6.非外资企业或外资控股企业的书面声明；</w:t>
      </w:r>
      <w:bookmarkStart w:id="33" w:name="_GoBack"/>
      <w:bookmarkEnd w:id="33"/>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7.主要股东或出资人信息。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（四）谈判文件售价：</w:t>
      </w:r>
      <w:r>
        <w:rPr>
          <w:rFonts w:hint="eastAsia" w:ascii="仿宋_GB2312" w:hAnsi="宋体" w:eastAsia="仿宋_GB2312" w:cs="Times New Roman"/>
          <w:color w:val="FF0000"/>
          <w:kern w:val="0"/>
          <w:sz w:val="32"/>
          <w:szCs w:val="32"/>
          <w:u w:val="single"/>
        </w:rPr>
        <w:t xml:space="preserve"> 200 </w:t>
      </w:r>
      <w:r>
        <w:rPr>
          <w:rFonts w:hint="eastAsia" w:ascii="仿宋_GB2312" w:hAnsi="宋体" w:eastAsia="仿宋_GB2312" w:cs="Times New Roman"/>
          <w:kern w:val="0"/>
          <w:sz w:val="32"/>
          <w:szCs w:val="32"/>
        </w:rPr>
        <w:t>元/份(现金），售后不退。</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宋体" w:eastAsia="仿宋_GB2312" w:cs="Times New Roman"/>
          <w:color w:val="FF0000"/>
          <w:kern w:val="0"/>
          <w:sz w:val="32"/>
          <w:szCs w:val="32"/>
          <w:u w:val="single"/>
        </w:rPr>
        <w:t>202</w:t>
      </w:r>
      <w:r>
        <w:rPr>
          <w:rFonts w:hint="eastAsia" w:ascii="仿宋_GB2312" w:hAnsi="宋体" w:eastAsia="仿宋_GB2312" w:cs="Times New Roman"/>
          <w:color w:val="FF0000"/>
          <w:kern w:val="0"/>
          <w:sz w:val="32"/>
          <w:szCs w:val="32"/>
          <w:u w:val="single"/>
          <w:lang w:val="en-US" w:eastAsia="zh-CN"/>
        </w:rPr>
        <w:t>2</w:t>
      </w:r>
      <w:r>
        <w:rPr>
          <w:rFonts w:hint="eastAsia" w:ascii="仿宋_GB2312" w:hAnsi="宋体" w:eastAsia="仿宋_GB2312" w:cs="Times New Roman"/>
          <w:kern w:val="0"/>
          <w:sz w:val="32"/>
          <w:szCs w:val="32"/>
        </w:rPr>
        <w:t>年</w:t>
      </w:r>
      <w:r>
        <w:rPr>
          <w:rFonts w:hint="eastAsia" w:ascii="仿宋_GB2312" w:hAnsi="宋体" w:eastAsia="仿宋_GB2312" w:cs="Times New Roman"/>
          <w:color w:val="FF0000"/>
          <w:kern w:val="0"/>
          <w:sz w:val="32"/>
          <w:szCs w:val="32"/>
          <w:u w:val="singl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color w:val="FF0000"/>
          <w:kern w:val="0"/>
          <w:sz w:val="32"/>
          <w:szCs w:val="32"/>
          <w:u w:val="single"/>
          <w:lang w:val="en-US" w:eastAsia="zh-CN"/>
        </w:rPr>
        <w:t>25</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09</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30</w:t>
      </w:r>
      <w:r>
        <w:rPr>
          <w:rFonts w:hint="eastAsia" w:ascii="仿宋_GB2312" w:hAnsi="宋体" w:eastAsia="仿宋_GB2312" w:cs="Times New Roman"/>
          <w:kern w:val="0"/>
          <w:sz w:val="32"/>
          <w:szCs w:val="32"/>
        </w:rPr>
        <w:t>分至</w:t>
      </w:r>
      <w:r>
        <w:rPr>
          <w:rFonts w:hint="eastAsia" w:ascii="仿宋_GB2312" w:hAnsi="宋体" w:eastAsia="仿宋_GB2312" w:cs="Times New Roman"/>
          <w:kern w:val="0"/>
          <w:sz w:val="32"/>
          <w:szCs w:val="32"/>
          <w:u w:val="single"/>
        </w:rPr>
        <w:t>10</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00</w:t>
      </w:r>
      <w:r>
        <w:rPr>
          <w:rFonts w:hint="eastAsia" w:ascii="仿宋_GB2312" w:hAnsi="宋体" w:eastAsia="仿宋_GB2312" w:cs="Times New Roman"/>
          <w:kern w:val="0"/>
          <w:sz w:val="32"/>
          <w:szCs w:val="32"/>
        </w:rPr>
        <w:t>分（北京时间）。</w:t>
      </w:r>
    </w:p>
    <w:p>
      <w:pPr>
        <w:pStyle w:val="2"/>
        <w:ind w:firstLine="622" w:firstLineChars="200"/>
      </w:pPr>
      <w:r>
        <w:rPr>
          <w:rFonts w:hint="eastAsia" w:ascii="仿宋_GB2312" w:eastAsia="仿宋_GB2312"/>
          <w:sz w:val="32"/>
          <w:szCs w:val="32"/>
        </w:rPr>
        <w:t>（二）谈判开始时间：</w:t>
      </w:r>
      <w:r>
        <w:rPr>
          <w:rFonts w:hint="eastAsia" w:ascii="仿宋_GB2312" w:hAnsi="宋体" w:eastAsia="仿宋_GB2312"/>
          <w:color w:val="FF0000"/>
          <w:sz w:val="32"/>
          <w:szCs w:val="32"/>
          <w:u w:val="single"/>
        </w:rPr>
        <w:t>202</w:t>
      </w:r>
      <w:r>
        <w:rPr>
          <w:rFonts w:hint="eastAsia" w:ascii="仿宋_GB2312" w:hAnsi="宋体" w:eastAsia="仿宋_GB2312"/>
          <w:color w:val="FF0000"/>
          <w:sz w:val="32"/>
          <w:szCs w:val="32"/>
          <w:u w:val="single"/>
          <w:lang w:val="en-US" w:eastAsia="zh-CN"/>
        </w:rPr>
        <w:t>2</w:t>
      </w:r>
      <w:r>
        <w:rPr>
          <w:rFonts w:hint="eastAsia" w:ascii="仿宋_GB2312" w:hAnsi="宋体" w:eastAsia="仿宋_GB2312"/>
          <w:sz w:val="32"/>
          <w:szCs w:val="32"/>
        </w:rPr>
        <w:t>年</w:t>
      </w:r>
      <w:r>
        <w:rPr>
          <w:rFonts w:hint="eastAsia" w:ascii="仿宋_GB2312" w:hAnsi="宋体" w:eastAsia="仿宋_GB2312"/>
          <w:color w:val="FF0000"/>
          <w:sz w:val="32"/>
          <w:szCs w:val="32"/>
          <w:u w:val="single"/>
          <w:lang w:val="en-US" w:eastAsia="zh-CN"/>
        </w:rPr>
        <w:t>1</w:t>
      </w:r>
      <w:r>
        <w:rPr>
          <w:rFonts w:hint="eastAsia" w:ascii="仿宋_GB2312" w:hAnsi="宋体" w:eastAsia="仿宋_GB2312"/>
          <w:sz w:val="32"/>
          <w:szCs w:val="32"/>
        </w:rPr>
        <w:t>月</w:t>
      </w:r>
      <w:r>
        <w:rPr>
          <w:rFonts w:hint="eastAsia" w:ascii="仿宋_GB2312" w:hAnsi="宋体" w:eastAsia="仿宋_GB2312"/>
          <w:color w:val="FF0000"/>
          <w:sz w:val="32"/>
          <w:szCs w:val="32"/>
          <w:u w:val="single"/>
          <w:lang w:val="en-US" w:eastAsia="zh-CN"/>
        </w:rPr>
        <w:t>25</w:t>
      </w:r>
      <w:r>
        <w:rPr>
          <w:rFonts w:hint="eastAsia" w:ascii="仿宋_GB2312" w:hAnsi="宋体" w:eastAsia="仿宋_GB2312"/>
          <w:sz w:val="32"/>
          <w:szCs w:val="32"/>
        </w:rPr>
        <w:t>日</w:t>
      </w:r>
      <w:r>
        <w:rPr>
          <w:rFonts w:hint="eastAsia" w:ascii="仿宋_GB2312" w:hAnsi="宋体" w:eastAsia="仿宋_GB2312"/>
          <w:sz w:val="32"/>
          <w:szCs w:val="32"/>
          <w:u w:val="single"/>
        </w:rPr>
        <w:t>10</w:t>
      </w:r>
      <w:r>
        <w:rPr>
          <w:rFonts w:hint="eastAsia" w:ascii="仿宋_GB2312" w:hAnsi="宋体" w:eastAsia="仿宋_GB2312"/>
          <w:sz w:val="32"/>
          <w:szCs w:val="32"/>
        </w:rPr>
        <w:t>时</w:t>
      </w:r>
      <w:r>
        <w:rPr>
          <w:rFonts w:hint="eastAsia" w:ascii="仿宋_GB2312" w:hAnsi="宋体" w:eastAsia="仿宋_GB2312"/>
          <w:sz w:val="32"/>
          <w:szCs w:val="32"/>
          <w:u w:val="single"/>
        </w:rPr>
        <w:t>00</w:t>
      </w:r>
      <w:r>
        <w:rPr>
          <w:rFonts w:hint="eastAsia" w:ascii="仿宋_GB2312" w:hAnsi="宋体" w:eastAsia="仿宋_GB2312"/>
          <w:sz w:val="32"/>
          <w:szCs w:val="32"/>
        </w:rPr>
        <w:t>分（北京时间）。</w:t>
      </w:r>
    </w:p>
    <w:p>
      <w:pPr>
        <w:ind w:firstLine="622" w:firstLineChars="200"/>
        <w:jc w:val="left"/>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（二）报价文件递交地点： </w:t>
      </w:r>
      <w:r>
        <w:rPr>
          <w:rFonts w:hint="eastAsia" w:ascii="仿宋_GB2312" w:hAnsi="宋体" w:eastAsia="仿宋_GB2312" w:cs="Times New Roman"/>
          <w:kern w:val="0"/>
          <w:sz w:val="32"/>
          <w:szCs w:val="32"/>
          <w:u w:val="single"/>
        </w:rPr>
        <w:t>重庆某医院1号楼3楼。</w:t>
      </w:r>
      <w:r>
        <w:rPr>
          <w:rFonts w:hint="eastAsia" w:ascii="仿宋_GB2312" w:hAnsi="宋体" w:eastAsia="仿宋_GB2312" w:cs="Times New Roman"/>
          <w:kern w:val="0"/>
          <w:sz w:val="32"/>
          <w:szCs w:val="32"/>
        </w:rPr>
        <w:t xml:space="preserve">  </w:t>
      </w:r>
    </w:p>
    <w:p>
      <w:pPr>
        <w:ind w:firstLine="622" w:firstLineChars="200"/>
        <w:jc w:val="left"/>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谈判报价在同一地点进行。</w:t>
      </w:r>
    </w:p>
    <w:p>
      <w:pPr>
        <w:ind w:firstLine="622" w:firstLineChars="200"/>
        <w:jc w:val="left"/>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（三）报价方式：指定专人递交报价文件，不接受邮寄等其他方式。</w:t>
      </w:r>
    </w:p>
    <w:p>
      <w:pPr>
        <w:snapToGrid w:val="0"/>
        <w:spacing w:line="400" w:lineRule="exact"/>
        <w:ind w:firstLine="622" w:firstLineChars="200"/>
        <w:rPr>
          <w:rFonts w:ascii="黑体" w:hAnsi="黑体" w:eastAsia="黑体" w:cs="Times New Roman"/>
          <w:kern w:val="0"/>
          <w:sz w:val="32"/>
          <w:szCs w:val="32"/>
        </w:rPr>
      </w:pPr>
      <w:bookmarkStart w:id="3" w:name="_Toc516213246"/>
      <w:r>
        <w:rPr>
          <w:rFonts w:hint="eastAsia" w:ascii="黑体" w:hAnsi="黑体" w:eastAsia="黑体" w:cs="Times New Roman"/>
          <w:kern w:val="0"/>
          <w:sz w:val="32"/>
          <w:szCs w:val="32"/>
        </w:rPr>
        <w:t>八、投标、开标有关说明</w:t>
      </w:r>
      <w:bookmarkEnd w:id="3"/>
    </w:p>
    <w:p>
      <w:pPr>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凡有意参加本次投标的投标人，请在“中国招标网（www.zhaobiao.cn）及中国政府采购网（www.ccgp.gov.cn/）”下载本项目招标文件以及补遗等开标前公布的所有项目资料，无论投标人下载与否，均视为已知晓所有招标内容。</w:t>
      </w:r>
    </w:p>
    <w:p>
      <w:pPr>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（二）列入军队（如上级、大学及本院）黑名单的供应商，招标人有权禁止其投标，若投标人已经中标，招标人有权宣布中标无效。</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采购联系人：</w:t>
      </w:r>
      <w:r>
        <w:rPr>
          <w:rFonts w:hint="eastAsia" w:ascii="仿宋_GB2312" w:hAnsi="Times New Roman" w:eastAsia="仿宋_GB2312" w:cs="Times New Roman"/>
          <w:kern w:val="0"/>
          <w:sz w:val="32"/>
          <w:szCs w:val="32"/>
          <w:u w:val="single"/>
        </w:rPr>
        <w:t>罗助理</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电    话：</w:t>
      </w:r>
      <w:r>
        <w:rPr>
          <w:rFonts w:hint="eastAsia" w:ascii="仿宋_GB2312" w:hAnsi="Times New Roman" w:eastAsia="仿宋_GB2312" w:cs="Times New Roman"/>
          <w:kern w:val="0"/>
          <w:sz w:val="32"/>
          <w:szCs w:val="32"/>
          <w:u w:val="single"/>
        </w:rPr>
        <w:t>023-68762399</w:t>
      </w:r>
    </w:p>
    <w:p>
      <w:pPr>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Times New Roman"/>
          <w:kern w:val="0"/>
          <w:sz w:val="32"/>
          <w:szCs w:val="32"/>
        </w:rPr>
        <w:t>项目联系人：</w:t>
      </w:r>
      <w:r>
        <w:rPr>
          <w:rFonts w:hint="eastAsia" w:ascii="仿宋_GB2312" w:hAnsi="Times New Roman" w:eastAsia="仿宋_GB2312" w:cs="Times New Roman"/>
          <w:color w:val="000000" w:themeColor="text1"/>
          <w:kern w:val="0"/>
          <w:sz w:val="32"/>
          <w:szCs w:val="32"/>
          <w:u w:val="single"/>
        </w:rPr>
        <w:t xml:space="preserve">   杨助理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电    话：</w:t>
      </w:r>
      <w:r>
        <w:rPr>
          <w:rFonts w:hint="eastAsia" w:ascii="仿宋_GB2312" w:hAnsi="Times New Roman" w:eastAsia="仿宋_GB2312" w:cs="Times New Roman"/>
          <w:kern w:val="0"/>
          <w:sz w:val="32"/>
          <w:szCs w:val="32"/>
          <w:u w:val="single"/>
        </w:rPr>
        <w:t>023-68762041</w:t>
      </w:r>
    </w:p>
    <w:p>
      <w:pPr>
        <w:ind w:firstLine="622" w:firstLineChars="200"/>
        <w:rPr>
          <w:rFonts w:ascii="仿宋_GB2312" w:hAnsi="Times New Roman" w:eastAsia="仿宋_GB2312" w:cs="Times New Roman"/>
          <w:kern w:val="0"/>
          <w:sz w:val="32"/>
          <w:szCs w:val="32"/>
        </w:rPr>
      </w:pPr>
    </w:p>
    <w:p>
      <w:pPr>
        <w:pStyle w:val="2"/>
      </w:pPr>
    </w:p>
    <w:p>
      <w:pPr>
        <w:ind w:firstLine="5287" w:firstLineChars="17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重庆某医院采购办</w:t>
      </w:r>
    </w:p>
    <w:p>
      <w:pPr>
        <w:ind w:firstLine="5200" w:firstLineChars="1672"/>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r>
        <w:rPr>
          <w:rFonts w:hint="eastAsia" w:ascii="仿宋_GB2312" w:hAnsi="Times New Roman" w:eastAsia="仿宋_GB2312" w:cs="Times New Roman"/>
          <w:kern w:val="0"/>
          <w:sz w:val="32"/>
          <w:szCs w:val="32"/>
          <w:u w:val="single"/>
        </w:rPr>
        <w:t>202</w:t>
      </w:r>
      <w:r>
        <w:rPr>
          <w:rFonts w:hint="eastAsia" w:ascii="仿宋_GB2312" w:hAnsi="Times New Roman" w:eastAsia="仿宋_GB2312" w:cs="Times New Roman"/>
          <w:kern w:val="0"/>
          <w:sz w:val="32"/>
          <w:szCs w:val="32"/>
          <w:u w:val="single"/>
          <w:lang w:val="en-US" w:eastAsia="zh-CN"/>
        </w:rPr>
        <w:t>2</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lang w:val="en-US" w:eastAsia="zh-CN"/>
        </w:rPr>
        <w:t>1</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lang w:val="en-US" w:eastAsia="zh-CN"/>
        </w:rPr>
        <w:t>17</w:t>
      </w:r>
      <w:r>
        <w:rPr>
          <w:rFonts w:hint="eastAsia" w:ascii="仿宋_GB2312" w:hAnsi="Times New Roman" w:eastAsia="仿宋_GB2312" w:cs="Times New Roman"/>
          <w:kern w:val="0"/>
          <w:sz w:val="32"/>
          <w:szCs w:val="32"/>
        </w:rPr>
        <w:t>日</w:t>
      </w:r>
    </w:p>
    <w:p>
      <w:pPr>
        <w:pStyle w:val="49"/>
        <w:tabs>
          <w:tab w:val="left" w:pos="2526"/>
        </w:tabs>
        <w:ind w:firstLine="0" w:firstLineChars="0"/>
        <w:rPr>
          <w:rFonts w:ascii="仿宋_GB2312" w:hAnsi="Times New Roman" w:eastAsia="仿宋_GB2312" w:cs="Times New Roman"/>
          <w:kern w:val="0"/>
          <w:sz w:val="32"/>
          <w:szCs w:val="32"/>
        </w:rPr>
      </w:pPr>
      <w:bookmarkStart w:id="4" w:name="_Toc390713967"/>
      <w:bookmarkStart w:id="5" w:name="_Toc435540979"/>
      <w:bookmarkStart w:id="6" w:name="_Toc285612594"/>
      <w:r>
        <w:rPr>
          <w:rFonts w:hint="eastAsia" w:ascii="仿宋_GB2312" w:hAnsi="Times New Roman" w:eastAsia="仿宋_GB2312" w:cs="Times New Roman"/>
          <w:kern w:val="0"/>
          <w:sz w:val="32"/>
          <w:szCs w:val="32"/>
        </w:rPr>
        <w:t>附件</w:t>
      </w:r>
      <w:r>
        <w:rPr>
          <w:rFonts w:hint="eastAsia" w:ascii="仿宋_GB2312" w:hAnsi="Times New Roman" w:eastAsia="仿宋_GB2312" w:cs="Times New Roman"/>
          <w:kern w:val="0"/>
          <w:sz w:val="32"/>
          <w:szCs w:val="32"/>
        </w:rPr>
        <w:tab/>
      </w:r>
    </w:p>
    <w:p>
      <w:pPr>
        <w:spacing w:line="580" w:lineRule="exact"/>
        <w:jc w:val="center"/>
      </w:pPr>
      <w:r>
        <w:rPr>
          <w:rFonts w:hint="eastAsia" w:ascii="方正小标宋简体" w:hAnsi="方正小标宋简体" w:eastAsia="方正小标宋简体" w:cs="方正小标宋简体"/>
          <w:sz w:val="44"/>
          <w:szCs w:val="44"/>
        </w:rPr>
        <w:t>采购文件申请购买表</w:t>
      </w:r>
    </w:p>
    <w:tbl>
      <w:tblPr>
        <w:tblStyle w:val="20"/>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71" w:type="dxa"/>
            <w:tcBorders>
              <w:top w:val="single" w:color="auto" w:sz="12"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宋体" w:hAnsi="宋体" w:cs="宋体"/>
              </w:rPr>
            </w:pPr>
            <w:r>
              <w:rPr>
                <w:rFonts w:hint="eastAsia" w:ascii="宋体" w:hAnsi="宋体" w:cs="宋体"/>
              </w:rPr>
              <w:t>　</w:t>
            </w:r>
          </w:p>
        </w:tc>
        <w:tc>
          <w:tcPr>
            <w:tcW w:w="168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Cs w:val="21"/>
              </w:rPr>
            </w:pPr>
            <w:r>
              <w:rPr>
                <w:rFonts w:hint="eastAsia" w:ascii="宋体" w:hAnsi="宋体" w:cs="宋体"/>
                <w:szCs w:val="21"/>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widowControl/>
              <w:spacing w:line="300" w:lineRule="exact"/>
              <w:ind w:firstLine="420" w:firstLineChars="200"/>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一、严格遵守国家和军队保密法律法规和规章制度，履行保密义务。</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二、不以任何方式泄露或传播本次采购项目相关信息。</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三、不违规记录、存储、复制本次采购项目相关信息。</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四、招标文件以及相关技术文件专室放置、专盘存储、专人管理。</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widowControl/>
              <w:spacing w:line="300" w:lineRule="exact"/>
              <w:ind w:firstLine="422" w:firstLineChars="200"/>
              <w:rPr>
                <w:rFonts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widowControl/>
              <w:spacing w:line="300" w:lineRule="exact"/>
              <w:ind w:firstLine="420" w:firstLineChars="200"/>
              <w:rPr>
                <w:rFonts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widowControl/>
              <w:spacing w:line="300" w:lineRule="exact"/>
              <w:jc w:val="center"/>
              <w:rPr>
                <w:rFonts w:ascii="楷体_GB2312" w:hAnsi="宋体" w:eastAsia="楷体_GB2312" w:cs="宋体"/>
              </w:rPr>
            </w:pPr>
            <w:r>
              <w:rPr>
                <w:rFonts w:hint="eastAsia" w:ascii="楷体_GB2312" w:hAnsi="宋体" w:eastAsia="楷体_GB2312" w:cs="宋体"/>
              </w:rPr>
              <w:t xml:space="preserve">                            承诺人（签字）：</w:t>
            </w:r>
          </w:p>
          <w:p>
            <w:pPr>
              <w:widowControl/>
              <w:spacing w:line="300" w:lineRule="exact"/>
              <w:jc w:val="center"/>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07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tcPr>
          <w:p>
            <w:pPr>
              <w:spacing w:line="300" w:lineRule="exact"/>
            </w:pPr>
          </w:p>
          <w:p>
            <w:pPr>
              <w:widowControl/>
              <w:spacing w:line="300" w:lineRule="exact"/>
              <w:ind w:firstLine="420" w:firstLineChars="200"/>
            </w:pPr>
            <w:r>
              <w:rPr>
                <w:rFonts w:hint="eastAsia"/>
              </w:rPr>
              <w:t>1.经查询供应商（□有  □无）列入黑名单、灰名单。</w:t>
            </w:r>
          </w:p>
          <w:p>
            <w:pPr>
              <w:widowControl/>
              <w:spacing w:line="300" w:lineRule="exact"/>
              <w:ind w:firstLine="420" w:firstLineChars="200"/>
            </w:pPr>
            <w:r>
              <w:rPr>
                <w:rFonts w:hint="eastAsia"/>
              </w:rPr>
              <w:t>2.经核对资格条件，供应商（□符合  □不符合）购买采购文件条件。</w:t>
            </w:r>
          </w:p>
          <w:p>
            <w:pPr>
              <w:widowControl/>
              <w:spacing w:line="300" w:lineRule="exact"/>
              <w:ind w:firstLine="420" w:firstLineChars="200"/>
            </w:pPr>
            <w:r>
              <w:rPr>
                <w:rFonts w:hint="eastAsia"/>
              </w:rPr>
              <w:t>3.备注：</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71" w:type="dxa"/>
            <w:tcBorders>
              <w:top w:val="single" w:color="auto" w:sz="4" w:space="0"/>
              <w:left w:val="single" w:color="auto" w:sz="12" w:space="0"/>
              <w:bottom w:val="single" w:color="auto" w:sz="12" w:space="0"/>
              <w:right w:val="single" w:color="auto" w:sz="4" w:space="0"/>
            </w:tcBorders>
            <w:noWrap/>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rPr>
                <w:rFonts w:ascii="楷体_GB2312" w:hAnsi="宋体" w:eastAsia="楷体_GB2312" w:cs="宋体"/>
              </w:rPr>
            </w:pPr>
            <w:r>
              <w:rPr>
                <w:rFonts w:hint="eastAsia" w:ascii="楷体_GB2312" w:hAnsi="宋体" w:eastAsia="楷体_GB2312" w:cs="宋体"/>
              </w:rPr>
              <w:t xml:space="preserve">    本次资料核对结果仅作为供应商购买采购文件的依据，不作为供应商后续资格性和符合性审查依据。</w:t>
            </w:r>
          </w:p>
        </w:tc>
      </w:tr>
    </w:tbl>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r>
        <w:rPr>
          <w:rFonts w:hint="eastAsia" w:ascii="方正小标宋简体" w:hAnsi="Times New Roman" w:eastAsia="方正小标宋简体" w:cs="Times New Roman"/>
          <w:kern w:val="0"/>
          <w:sz w:val="44"/>
          <w:szCs w:val="44"/>
          <w:lang w:val="zh-CN"/>
        </w:rPr>
        <w:t>第二部分  采购项目技</w:t>
      </w:r>
      <w:r>
        <w:rPr>
          <w:rFonts w:hint="eastAsia" w:ascii="方正小标宋简体" w:hAnsi="宋体" w:eastAsia="方正小标宋简体" w:cs="宋体"/>
          <w:kern w:val="0"/>
          <w:sz w:val="44"/>
          <w:szCs w:val="44"/>
          <w:lang w:val="zh-CN"/>
        </w:rPr>
        <w:t>术</w:t>
      </w:r>
      <w:r>
        <w:rPr>
          <w:rFonts w:hint="eastAsia" w:ascii="方正小标宋简体" w:hAnsi="Dotum" w:eastAsia="方正小标宋简体" w:cs="Dotum"/>
          <w:kern w:val="0"/>
          <w:sz w:val="44"/>
          <w:szCs w:val="44"/>
          <w:lang w:val="zh-CN"/>
        </w:rPr>
        <w:t>和商</w:t>
      </w:r>
      <w:r>
        <w:rPr>
          <w:rFonts w:hint="eastAsia" w:ascii="方正小标宋简体" w:hAnsi="宋体" w:eastAsia="方正小标宋简体" w:cs="宋体"/>
          <w:kern w:val="0"/>
          <w:sz w:val="44"/>
          <w:szCs w:val="44"/>
          <w:lang w:val="zh-CN"/>
        </w:rPr>
        <w:t>务</w:t>
      </w:r>
      <w:r>
        <w:rPr>
          <w:rFonts w:hint="eastAsia" w:ascii="方正小标宋简体" w:hAnsi="Times New Roman" w:eastAsia="方正小标宋简体" w:cs="Times New Roman"/>
          <w:kern w:val="0"/>
          <w:sz w:val="44"/>
          <w:szCs w:val="44"/>
          <w:lang w:val="zh-CN"/>
        </w:rPr>
        <w:t>要求</w:t>
      </w:r>
      <w:bookmarkEnd w:id="4"/>
      <w:bookmarkEnd w:id="5"/>
      <w:bookmarkEnd w:id="6"/>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numPr>
          <w:ilvl w:val="0"/>
          <w:numId w:val="1"/>
        </w:numPr>
        <w:autoSpaceDE w:val="0"/>
        <w:autoSpaceDN w:val="0"/>
        <w:adjustRightInd w:val="0"/>
        <w:ind w:firstLine="640" w:firstLineChars="20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项目</w:t>
      </w:r>
      <w:r>
        <w:rPr>
          <w:rFonts w:ascii="Times New Roman" w:hAnsi="Times New Roman" w:eastAsia="黑体" w:cs="Times New Roman"/>
          <w:kern w:val="0"/>
          <w:sz w:val="32"/>
          <w:szCs w:val="32"/>
          <w:lang w:val="zh-CN"/>
        </w:rPr>
        <w:t>一览表</w:t>
      </w:r>
      <w:bookmarkStart w:id="7" w:name="_Toc285612596"/>
    </w:p>
    <w:bookmarkEnd w:id="7"/>
    <w:tbl>
      <w:tblPr>
        <w:tblStyle w:val="20"/>
        <w:tblpPr w:leftFromText="180" w:rightFromText="180" w:vertAnchor="text" w:horzAnchor="page" w:tblpX="1429" w:tblpY="559"/>
        <w:tblOverlap w:val="never"/>
        <w:tblW w:w="51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925"/>
        <w:gridCol w:w="1655"/>
        <w:gridCol w:w="1174"/>
        <w:gridCol w:w="1145"/>
        <w:gridCol w:w="1587"/>
        <w:gridCol w:w="1092"/>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265"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序号</w:t>
            </w:r>
          </w:p>
        </w:tc>
        <w:tc>
          <w:tcPr>
            <w:tcW w:w="980"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服务名称</w:t>
            </w:r>
          </w:p>
        </w:tc>
        <w:tc>
          <w:tcPr>
            <w:tcW w:w="843"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服务要求</w:t>
            </w:r>
          </w:p>
        </w:tc>
        <w:tc>
          <w:tcPr>
            <w:tcW w:w="597"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数量</w:t>
            </w:r>
          </w:p>
        </w:tc>
        <w:tc>
          <w:tcPr>
            <w:tcW w:w="583"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最高限价</w:t>
            </w:r>
          </w:p>
        </w:tc>
        <w:tc>
          <w:tcPr>
            <w:tcW w:w="808"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服务期限</w:t>
            </w:r>
          </w:p>
        </w:tc>
        <w:tc>
          <w:tcPr>
            <w:tcW w:w="556"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服务地点</w:t>
            </w:r>
          </w:p>
        </w:tc>
        <w:tc>
          <w:tcPr>
            <w:tcW w:w="364" w:type="pct"/>
            <w:vAlign w:val="center"/>
          </w:tcPr>
          <w:p>
            <w:pPr>
              <w:spacing w:line="419" w:lineRule="exac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265"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80" w:type="pct"/>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Times New Roman" w:eastAsia="仿宋_GB2312" w:cs="Times New Roman"/>
                <w:color w:val="FF0000"/>
                <w:kern w:val="0"/>
                <w:sz w:val="32"/>
                <w:szCs w:val="32"/>
                <w:lang w:eastAsia="zh-CN"/>
              </w:rPr>
              <w:t>护工服务（三次挂网）</w:t>
            </w:r>
          </w:p>
        </w:tc>
        <w:tc>
          <w:tcPr>
            <w:tcW w:w="1441" w:type="pct"/>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详见谈判文件</w:t>
            </w:r>
          </w:p>
        </w:tc>
        <w:tc>
          <w:tcPr>
            <w:tcW w:w="583"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57.8 万元</w:t>
            </w:r>
          </w:p>
        </w:tc>
        <w:tc>
          <w:tcPr>
            <w:tcW w:w="808"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12个    自然月</w:t>
            </w:r>
          </w:p>
        </w:tc>
        <w:tc>
          <w:tcPr>
            <w:tcW w:w="556" w:type="pc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重庆市</w:t>
            </w:r>
          </w:p>
        </w:tc>
        <w:tc>
          <w:tcPr>
            <w:tcW w:w="364" w:type="pct"/>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265" w:type="pct"/>
            <w:vAlign w:val="center"/>
          </w:tcPr>
          <w:p>
            <w:pPr>
              <w:pStyle w:val="50"/>
              <w:rPr>
                <w:rFonts w:ascii="仿宋_GB2312" w:hAnsi="仿宋_GB2312" w:eastAsia="仿宋_GB2312" w:cs="仿宋_GB2312"/>
              </w:rPr>
            </w:pPr>
            <w:r>
              <w:rPr>
                <w:rFonts w:hint="eastAsia" w:ascii="仿宋_GB2312" w:hAnsi="仿宋_GB2312" w:eastAsia="仿宋_GB2312" w:cs="仿宋_GB2312"/>
                <w:color w:val="000000"/>
                <w:sz w:val="28"/>
                <w:szCs w:val="28"/>
              </w:rPr>
              <w:t>说明</w:t>
            </w:r>
          </w:p>
        </w:tc>
        <w:tc>
          <w:tcPr>
            <w:tcW w:w="4734" w:type="pct"/>
            <w:gridSpan w:val="7"/>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1.本项目确定</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家成交供应商。</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2.报价方在成功获取谈判文件后，自行现场勘查。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3.供应商报价不得高于最高限价，否则视为无效报价。</w:t>
            </w:r>
          </w:p>
        </w:tc>
      </w:tr>
    </w:tbl>
    <w:p>
      <w:pPr>
        <w:ind w:firstLine="640" w:firstLineChars="200"/>
        <w:rPr>
          <w:rFonts w:ascii="仿宋_GB2312" w:hAnsi="宋体" w:eastAsia="仿宋_GB2312" w:cs="Times New Roman"/>
          <w:kern w:val="0"/>
          <w:sz w:val="32"/>
          <w:szCs w:val="32"/>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关键重要技术指标参数以★标记（有1项不满足即按无效报价处理），一般技术指标参数不作标记。报价方须提供技术支持资料。</w:t>
      </w:r>
    </w:p>
    <w:p>
      <w:pPr>
        <w:autoSpaceDE w:val="0"/>
        <w:autoSpaceDN w:val="0"/>
        <w:adjustRightInd w:val="0"/>
        <w:ind w:firstLine="640" w:firstLineChars="200"/>
        <w:rPr>
          <w:rFonts w:ascii="Times New Roman" w:hAnsi="Times New Roman" w:eastAsia="黑体" w:cs="Times New Roman"/>
          <w:kern w:val="0"/>
          <w:sz w:val="32"/>
          <w:szCs w:val="32"/>
        </w:rPr>
      </w:pPr>
      <w:bookmarkStart w:id="8" w:name="_Toc132181362"/>
      <w:bookmarkStart w:id="9" w:name="_Toc133112689"/>
      <w:bookmarkStart w:id="10" w:name="_Toc133332932"/>
      <w:bookmarkStart w:id="11" w:name="_Toc132986735"/>
      <w:bookmarkStart w:id="12" w:name="_Toc132181536"/>
      <w:bookmarkStart w:id="13" w:name="_Toc390256373"/>
      <w:bookmarkStart w:id="14" w:name="_Toc132186405"/>
      <w:bookmarkStart w:id="15" w:name="_Toc133113219"/>
      <w:bookmarkStart w:id="16" w:name="_Toc131922280"/>
      <w:bookmarkStart w:id="17" w:name="_Toc133112936"/>
      <w:bookmarkStart w:id="18" w:name="_Toc133113466"/>
      <w:bookmarkStart w:id="19" w:name="_Toc133112219"/>
      <w:bookmarkStart w:id="20" w:name="_Toc162854364"/>
      <w:bookmarkStart w:id="21" w:name="_Toc133113660"/>
      <w:r>
        <w:rPr>
          <w:rFonts w:hint="eastAsia" w:ascii="Times New Roman" w:hAnsi="Times New Roman" w:eastAsia="黑体" w:cs="Times New Roman"/>
          <w:kern w:val="0"/>
          <w:sz w:val="32"/>
          <w:szCs w:val="32"/>
        </w:rPr>
        <w:t>二、技术要求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zh-CN"/>
        </w:rPr>
        <w:t>）</w:t>
      </w:r>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hint="eastAsia" w:ascii="仿宋_GB2312" w:hAnsi="仿宋_GB2312" w:eastAsia="仿宋_GB2312" w:cs="仿宋_GB2312"/>
          <w:kern w:val="0"/>
          <w:sz w:val="32"/>
          <w:szCs w:val="32"/>
        </w:rPr>
        <w:t>基本情况</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lang w:val="zh-CN"/>
        </w:rPr>
        <w:t>重庆某医院位于</w:t>
      </w:r>
      <w:r>
        <w:rPr>
          <w:rFonts w:hint="eastAsia" w:ascii="仿宋_GB2312" w:hAnsi="仿宋_GB2312" w:eastAsia="仿宋_GB2312" w:cs="仿宋_GB2312"/>
          <w:kern w:val="0"/>
          <w:sz w:val="32"/>
          <w:szCs w:val="32"/>
        </w:rPr>
        <w:t>重庆市江北区</w:t>
      </w:r>
      <w:r>
        <w:rPr>
          <w:rFonts w:hint="eastAsia" w:ascii="仿宋_GB2312" w:hAnsi="仿宋_GB2312" w:eastAsia="仿宋_GB2312" w:cs="仿宋_GB2312"/>
          <w:kern w:val="0"/>
          <w:sz w:val="32"/>
          <w:szCs w:val="32"/>
          <w:lang w:val="zh-CN"/>
        </w:rPr>
        <w:t>，是一所集医疗、教学、科研于一体的大型综合性三级甲等医院，拥有价值约2亿元的国内外高新设备。医院现有科室39个，实开床位900余张，医疗用房9万余平方米，医务人员1000余人。本项目计划招标护工服务，其中护工费以服务区域根据工作完成情况进行考核后计酬。</w:t>
      </w:r>
      <w:r>
        <w:rPr>
          <w:rFonts w:hint="eastAsia" w:ascii="仿宋_GB2312" w:hAnsi="仿宋_GB2312" w:eastAsia="仿宋_GB2312" w:cs="仿宋_GB2312"/>
          <w:color w:val="FF0000"/>
          <w:kern w:val="0"/>
          <w:sz w:val="32"/>
          <w:szCs w:val="32"/>
          <w:lang w:val="zh-CN"/>
        </w:rPr>
        <w:t>按服务最高限价4</w:t>
      </w:r>
      <w:r>
        <w:rPr>
          <w:rFonts w:hint="eastAsia" w:ascii="仿宋_GB2312" w:hAnsi="仿宋_GB2312" w:eastAsia="仿宋_GB2312" w:cs="仿宋_GB2312"/>
          <w:color w:val="FF0000"/>
          <w:kern w:val="0"/>
          <w:sz w:val="32"/>
          <w:szCs w:val="32"/>
        </w:rPr>
        <w:t>000</w:t>
      </w:r>
      <w:r>
        <w:rPr>
          <w:rFonts w:hint="eastAsia" w:ascii="仿宋_GB2312" w:hAnsi="仿宋_GB2312" w:eastAsia="仿宋_GB2312" w:cs="仿宋_GB2312"/>
          <w:color w:val="FF0000"/>
          <w:kern w:val="0"/>
          <w:sz w:val="32"/>
          <w:szCs w:val="32"/>
          <w:lang w:val="zh-CN"/>
        </w:rPr>
        <w:t>元/人/月（</w:t>
      </w:r>
      <w:r>
        <w:rPr>
          <w:rFonts w:hint="eastAsia" w:ascii="仿宋_GB2312" w:hAnsi="仿宋_GB2312" w:eastAsia="仿宋_GB2312" w:cs="仿宋_GB2312"/>
          <w:color w:val="FF0000"/>
          <w:kern w:val="0"/>
          <w:sz w:val="32"/>
          <w:szCs w:val="32"/>
        </w:rPr>
        <w:t>含五险一金</w:t>
      </w:r>
      <w:r>
        <w:rPr>
          <w:rFonts w:hint="eastAsia" w:ascii="仿宋_GB2312" w:hAnsi="仿宋_GB2312" w:eastAsia="仿宋_GB2312" w:cs="仿宋_GB2312"/>
          <w:color w:val="FF0000"/>
          <w:kern w:val="0"/>
          <w:sz w:val="32"/>
          <w:szCs w:val="32"/>
          <w:lang w:val="zh-CN"/>
        </w:rPr>
        <w:t>）。</w:t>
      </w:r>
      <w:r>
        <w:rPr>
          <w:rFonts w:hint="eastAsia" w:ascii="仿宋_GB2312" w:hAnsi="仿宋_GB2312" w:eastAsia="仿宋_GB2312" w:cs="仿宋_GB2312"/>
          <w:color w:val="FF0000"/>
          <w:kern w:val="0"/>
          <w:sz w:val="32"/>
          <w:szCs w:val="32"/>
        </w:rPr>
        <w:t>护工如有夜班按30元</w:t>
      </w:r>
      <w:r>
        <w:rPr>
          <w:rFonts w:hint="eastAsia" w:ascii="仿宋_GB2312" w:hAnsi="仿宋_GB2312" w:eastAsia="仿宋_GB2312" w:cs="仿宋_GB2312"/>
          <w:color w:val="FF0000"/>
          <w:kern w:val="0"/>
          <w:sz w:val="32"/>
          <w:szCs w:val="32"/>
          <w:lang w:val="zh-CN"/>
        </w:rPr>
        <w:t>/</w:t>
      </w:r>
      <w:r>
        <w:rPr>
          <w:rFonts w:hint="eastAsia" w:ascii="仿宋_GB2312" w:hAnsi="仿宋_GB2312" w:eastAsia="仿宋_GB2312" w:cs="仿宋_GB2312"/>
          <w:color w:val="FF0000"/>
          <w:kern w:val="0"/>
          <w:sz w:val="32"/>
          <w:szCs w:val="32"/>
        </w:rPr>
        <w:t>人</w:t>
      </w:r>
      <w:r>
        <w:rPr>
          <w:rFonts w:hint="eastAsia" w:ascii="仿宋_GB2312" w:hAnsi="仿宋_GB2312" w:eastAsia="仿宋_GB2312" w:cs="仿宋_GB2312"/>
          <w:color w:val="FF0000"/>
          <w:kern w:val="0"/>
          <w:sz w:val="32"/>
          <w:szCs w:val="32"/>
          <w:lang w:val="zh-CN"/>
        </w:rPr>
        <w:t>/</w:t>
      </w:r>
      <w:r>
        <w:rPr>
          <w:rFonts w:hint="eastAsia" w:ascii="仿宋_GB2312" w:hAnsi="仿宋_GB2312" w:eastAsia="仿宋_GB2312" w:cs="仿宋_GB2312"/>
          <w:color w:val="FF0000"/>
          <w:kern w:val="0"/>
          <w:sz w:val="32"/>
          <w:szCs w:val="32"/>
        </w:rPr>
        <w:t>个（预估1668个），</w:t>
      </w:r>
      <w:r>
        <w:rPr>
          <w:rFonts w:hint="eastAsia" w:ascii="仿宋_GB2312" w:hAnsi="仿宋_GB2312" w:eastAsia="仿宋_GB2312" w:cs="仿宋_GB2312"/>
          <w:color w:val="FF0000"/>
          <w:kern w:val="0"/>
          <w:sz w:val="32"/>
          <w:szCs w:val="32"/>
          <w:lang w:val="zh-CN"/>
        </w:rPr>
        <w:t>据实列支结算。</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护工工作内容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护工在科主任、护士长的领导下，在医生和护士的指导下开展工作，主要负责病区病人的日常生活护理、标本送检、外带病人进行相关检查和治疗、以及协助做好病区的安全管理和安全巡视、掌握相应的保护性安全防护知识，</w:t>
      </w:r>
      <w:r>
        <w:rPr>
          <w:rFonts w:hint="eastAsia" w:ascii="仿宋_GB2312" w:hAnsi="仿宋_GB2312" w:eastAsia="仿宋_GB2312" w:cs="仿宋_GB2312"/>
          <w:kern w:val="0"/>
          <w:sz w:val="32"/>
          <w:szCs w:val="32"/>
        </w:rPr>
        <w:t>疫情防控知识等，</w:t>
      </w:r>
      <w:r>
        <w:rPr>
          <w:rFonts w:hint="eastAsia" w:ascii="仿宋_GB2312" w:hAnsi="仿宋_GB2312" w:eastAsia="仿宋_GB2312" w:cs="仿宋_GB2312"/>
          <w:kern w:val="0"/>
          <w:sz w:val="32"/>
          <w:szCs w:val="32"/>
          <w:lang w:val="zh-CN"/>
        </w:rPr>
        <w:t>以协助病区处理突发的安全状况等工作。</w:t>
      </w:r>
    </w:p>
    <w:p>
      <w:pPr>
        <w:spacing w:before="1" w:line="520" w:lineRule="exact"/>
        <w:ind w:firstLine="769"/>
        <w:outlineLvl w:val="1"/>
        <w:rPr>
          <w:rFonts w:ascii="仿宋_GB2312" w:hAnsi="仿宋_GB2312" w:eastAsia="仿宋_GB2312" w:cs="仿宋_GB2312"/>
          <w:sz w:val="32"/>
          <w:szCs w:val="32"/>
        </w:rPr>
      </w:pPr>
      <w:r>
        <w:rPr>
          <w:rFonts w:hint="eastAsia" w:ascii="仿宋_GB2312" w:hAnsi="仿宋_GB2312" w:eastAsia="仿宋_GB2312" w:cs="仿宋_GB2312"/>
          <w:color w:val="FF0000"/>
          <w:kern w:val="0"/>
          <w:sz w:val="32"/>
          <w:szCs w:val="32"/>
        </w:rPr>
        <w:t>★1.人员配置不少于下列要求</w:t>
      </w:r>
      <w:bookmarkStart w:id="22" w:name="_Toc285612601"/>
      <w:bookmarkStart w:id="23" w:name="_Toc390713968"/>
      <w:bookmarkStart w:id="24" w:name="_Toc240432230"/>
      <w:bookmarkStart w:id="25" w:name="_Toc435540980"/>
    </w:p>
    <w:p>
      <w:pPr>
        <w:spacing w:line="96" w:lineRule="exact"/>
      </w:pPr>
    </w:p>
    <w:tbl>
      <w:tblPr>
        <w:tblStyle w:val="20"/>
        <w:tblW w:w="89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3"/>
        <w:gridCol w:w="2229"/>
        <w:gridCol w:w="2539"/>
        <w:gridCol w:w="1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233" w:type="dxa"/>
          </w:tcPr>
          <w:p>
            <w:pPr>
              <w:spacing w:before="194" w:line="183" w:lineRule="auto"/>
              <w:ind w:firstLine="521"/>
              <w:rPr>
                <w:rFonts w:ascii="仿宋_GB2312" w:hAnsi="仿宋_GB2312" w:eastAsia="仿宋_GB2312" w:cs="仿宋_GB2312"/>
              </w:rPr>
            </w:pPr>
            <w:r>
              <w:rPr>
                <w:rFonts w:hint="eastAsia" w:ascii="仿宋_GB2312" w:hAnsi="仿宋_GB2312" w:eastAsia="仿宋_GB2312" w:cs="仿宋_GB2312"/>
                <w:spacing w:val="-17"/>
              </w:rPr>
              <w:t>科室（岗位）</w:t>
            </w:r>
          </w:p>
        </w:tc>
        <w:tc>
          <w:tcPr>
            <w:tcW w:w="2229" w:type="dxa"/>
          </w:tcPr>
          <w:p>
            <w:pPr>
              <w:spacing w:before="194" w:line="183" w:lineRule="auto"/>
              <w:ind w:firstLine="729"/>
              <w:rPr>
                <w:rFonts w:ascii="仿宋_GB2312" w:hAnsi="仿宋_GB2312" w:eastAsia="仿宋_GB2312" w:cs="仿宋_GB2312"/>
              </w:rPr>
            </w:pPr>
            <w:r>
              <w:rPr>
                <w:rFonts w:hint="eastAsia" w:ascii="仿宋_GB2312" w:hAnsi="仿宋_GB2312" w:eastAsia="仿宋_GB2312" w:cs="仿宋_GB2312"/>
                <w:spacing w:val="-10"/>
              </w:rPr>
              <w:t>护工人数</w:t>
            </w:r>
          </w:p>
        </w:tc>
        <w:tc>
          <w:tcPr>
            <w:tcW w:w="2539" w:type="dxa"/>
          </w:tcPr>
          <w:p>
            <w:pPr>
              <w:spacing w:before="194" w:line="183" w:lineRule="auto"/>
              <w:ind w:firstLine="226"/>
              <w:rPr>
                <w:rFonts w:ascii="仿宋_GB2312" w:hAnsi="仿宋_GB2312" w:eastAsia="仿宋_GB2312" w:cs="仿宋_GB2312"/>
              </w:rPr>
            </w:pPr>
            <w:r>
              <w:rPr>
                <w:rFonts w:hint="eastAsia" w:ascii="仿宋_GB2312" w:hAnsi="仿宋_GB2312" w:eastAsia="仿宋_GB2312" w:cs="仿宋_GB2312"/>
                <w:spacing w:val="-9"/>
              </w:rPr>
              <w:t>工作时间（含加班）</w:t>
            </w:r>
          </w:p>
        </w:tc>
        <w:tc>
          <w:tcPr>
            <w:tcW w:w="1923" w:type="dxa"/>
          </w:tcPr>
          <w:p>
            <w:pPr>
              <w:spacing w:before="194" w:line="183" w:lineRule="auto"/>
              <w:ind w:firstLine="923"/>
              <w:rPr>
                <w:rFonts w:ascii="仿宋_GB2312" w:hAnsi="仿宋_GB2312" w:eastAsia="仿宋_GB2312" w:cs="仿宋_GB2312"/>
              </w:rPr>
            </w:pPr>
            <w:r>
              <w:rPr>
                <w:rFonts w:hint="eastAsia" w:ascii="仿宋_GB2312" w:hAnsi="仿宋_GB2312" w:eastAsia="仿宋_GB2312" w:cs="仿宋_GB2312"/>
                <w:spacing w:val="-6"/>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33" w:type="dxa"/>
          </w:tcPr>
          <w:p>
            <w:pPr>
              <w:spacing w:before="190" w:line="183" w:lineRule="auto"/>
              <w:ind w:firstLine="829"/>
              <w:rPr>
                <w:rFonts w:ascii="仿宋_GB2312" w:hAnsi="仿宋_GB2312" w:eastAsia="仿宋_GB2312" w:cs="仿宋_GB2312"/>
              </w:rPr>
            </w:pPr>
            <w:r>
              <w:rPr>
                <w:rFonts w:hint="eastAsia" w:ascii="仿宋_GB2312" w:hAnsi="仿宋_GB2312" w:eastAsia="仿宋_GB2312" w:cs="仿宋_GB2312"/>
                <w:spacing w:val="-9"/>
              </w:rPr>
              <w:t>感染科</w:t>
            </w:r>
          </w:p>
        </w:tc>
        <w:tc>
          <w:tcPr>
            <w:tcW w:w="2229" w:type="dxa"/>
          </w:tcPr>
          <w:p>
            <w:pPr>
              <w:spacing w:before="217" w:line="180" w:lineRule="auto"/>
              <w:ind w:firstLine="1084"/>
              <w:rPr>
                <w:rFonts w:ascii="仿宋_GB2312" w:hAnsi="仿宋_GB2312" w:eastAsia="仿宋_GB2312" w:cs="仿宋_GB2312"/>
              </w:rPr>
            </w:pPr>
            <w:r>
              <w:rPr>
                <w:rFonts w:hint="eastAsia" w:ascii="仿宋_GB2312" w:hAnsi="仿宋_GB2312" w:eastAsia="仿宋_GB2312" w:cs="仿宋_GB2312"/>
                <w:color w:val="FF0000"/>
              </w:rPr>
              <w:t>1</w:t>
            </w:r>
          </w:p>
        </w:tc>
        <w:tc>
          <w:tcPr>
            <w:tcW w:w="2539" w:type="dxa"/>
            <w:vMerge w:val="restart"/>
            <w:tcBorders>
              <w:bottom w:val="nil"/>
            </w:tcBorders>
          </w:tcPr>
          <w:p>
            <w:pPr>
              <w:spacing w:line="302" w:lineRule="auto"/>
              <w:rPr>
                <w:rFonts w:ascii="仿宋_GB2312" w:hAnsi="仿宋_GB2312" w:eastAsia="仿宋_GB2312" w:cs="仿宋_GB2312"/>
              </w:rPr>
            </w:pPr>
          </w:p>
          <w:p>
            <w:pPr>
              <w:spacing w:before="69" w:line="360" w:lineRule="auto"/>
              <w:rPr>
                <w:rFonts w:ascii="仿宋_GB2312" w:hAnsi="仿宋_GB2312" w:eastAsia="仿宋_GB2312" w:cs="仿宋_GB2312"/>
              </w:rPr>
            </w:pPr>
            <w:r>
              <w:rPr>
                <w:rFonts w:hint="eastAsia" w:ascii="仿宋_GB2312" w:hAnsi="仿宋_GB2312" w:eastAsia="仿宋_GB2312" w:cs="仿宋_GB2312"/>
                <w:color w:val="FF0000"/>
                <w:spacing w:val="-4"/>
              </w:rPr>
              <w:t>护工每天24小时不间</w:t>
            </w:r>
            <w:r>
              <w:rPr>
                <w:rFonts w:hint="eastAsia" w:ascii="仿宋_GB2312" w:hAnsi="仿宋_GB2312" w:eastAsia="仿宋_GB2312" w:cs="仿宋_GB2312"/>
                <w:color w:val="FF0000"/>
                <w:spacing w:val="-10"/>
                <w:w w:val="99"/>
              </w:rPr>
              <w:t>断服务，</w:t>
            </w:r>
            <w:r>
              <w:rPr>
                <w:rFonts w:hint="eastAsia" w:ascii="仿宋_GB2312" w:hAnsi="仿宋_GB2312" w:eastAsia="仿宋_GB2312" w:cs="仿宋_GB2312"/>
                <w:color w:val="FF0000"/>
                <w:spacing w:val="-4"/>
              </w:rPr>
              <w:t>休息时间由科室根据工作安排进行调休。</w:t>
            </w:r>
          </w:p>
        </w:tc>
        <w:tc>
          <w:tcPr>
            <w:tcW w:w="1923" w:type="dxa"/>
            <w:vMerge w:val="restart"/>
            <w:tcBorders>
              <w:bottom w:val="nil"/>
            </w:tcBorders>
          </w:tcPr>
          <w:p>
            <w:pPr>
              <w:rPr>
                <w:rFonts w:ascii="仿宋_GB2312" w:hAnsi="仿宋_GB2312" w:eastAsia="仿宋_GB2312" w:cs="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33" w:type="dxa"/>
          </w:tcPr>
          <w:p>
            <w:pPr>
              <w:spacing w:before="190" w:line="183" w:lineRule="auto"/>
              <w:ind w:firstLine="628"/>
              <w:rPr>
                <w:rFonts w:ascii="仿宋_GB2312" w:hAnsi="仿宋_GB2312" w:eastAsia="仿宋_GB2312" w:cs="仿宋_GB2312"/>
              </w:rPr>
            </w:pPr>
            <w:r>
              <w:rPr>
                <w:rFonts w:hint="eastAsia" w:ascii="仿宋_GB2312" w:hAnsi="仿宋_GB2312" w:eastAsia="仿宋_GB2312" w:cs="仿宋_GB2312"/>
                <w:spacing w:val="-9"/>
              </w:rPr>
              <w:t>心血管内科</w:t>
            </w:r>
          </w:p>
        </w:tc>
        <w:tc>
          <w:tcPr>
            <w:tcW w:w="2229" w:type="dxa"/>
          </w:tcPr>
          <w:p>
            <w:pPr>
              <w:spacing w:before="218" w:line="180" w:lineRule="auto"/>
              <w:ind w:firstLine="1079"/>
              <w:rPr>
                <w:rFonts w:ascii="仿宋_GB2312" w:hAnsi="仿宋_GB2312" w:eastAsia="仿宋_GB2312" w:cs="仿宋_GB2312"/>
              </w:rPr>
            </w:pPr>
            <w:r>
              <w:rPr>
                <w:rFonts w:hint="eastAsia" w:ascii="仿宋_GB2312" w:hAnsi="仿宋_GB2312" w:eastAsia="仿宋_GB2312" w:cs="仿宋_GB2312"/>
                <w:color w:val="FF0000"/>
              </w:rPr>
              <w:t>1</w:t>
            </w:r>
          </w:p>
        </w:tc>
        <w:tc>
          <w:tcPr>
            <w:tcW w:w="2539" w:type="dxa"/>
            <w:vMerge w:val="continue"/>
            <w:tcBorders>
              <w:top w:val="nil"/>
              <w:bottom w:val="nil"/>
            </w:tcBorders>
          </w:tcPr>
          <w:p>
            <w:pPr>
              <w:rPr>
                <w:rFonts w:ascii="仿宋_GB2312" w:hAnsi="仿宋_GB2312" w:eastAsia="仿宋_GB2312" w:cs="仿宋_GB2312"/>
              </w:rPr>
            </w:pPr>
          </w:p>
        </w:tc>
        <w:tc>
          <w:tcPr>
            <w:tcW w:w="1923" w:type="dxa"/>
            <w:vMerge w:val="continue"/>
            <w:tcBorders>
              <w:top w:val="nil"/>
              <w:bottom w:val="nil"/>
            </w:tcBorders>
          </w:tcPr>
          <w:p>
            <w:pPr>
              <w:rPr>
                <w:rFonts w:ascii="仿宋_GB2312" w:hAnsi="仿宋_GB2312" w:eastAsia="仿宋_GB2312" w:cs="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2233" w:type="dxa"/>
          </w:tcPr>
          <w:p>
            <w:pPr>
              <w:spacing w:before="190" w:line="183" w:lineRule="auto"/>
              <w:ind w:firstLine="629"/>
              <w:rPr>
                <w:rFonts w:ascii="仿宋_GB2312" w:hAnsi="仿宋_GB2312" w:eastAsia="仿宋_GB2312" w:cs="仿宋_GB2312"/>
              </w:rPr>
            </w:pPr>
            <w:r>
              <w:rPr>
                <w:rFonts w:hint="eastAsia" w:ascii="仿宋_GB2312" w:hAnsi="仿宋_GB2312" w:eastAsia="仿宋_GB2312" w:cs="仿宋_GB2312"/>
                <w:spacing w:val="-9"/>
              </w:rPr>
              <w:t>消毒供应室</w:t>
            </w:r>
          </w:p>
        </w:tc>
        <w:tc>
          <w:tcPr>
            <w:tcW w:w="2229" w:type="dxa"/>
          </w:tcPr>
          <w:p>
            <w:pPr>
              <w:spacing w:before="218" w:line="180" w:lineRule="auto"/>
              <w:ind w:firstLine="1084"/>
              <w:rPr>
                <w:rFonts w:ascii="仿宋_GB2312" w:hAnsi="仿宋_GB2312" w:eastAsia="仿宋_GB2312" w:cs="仿宋_GB2312"/>
              </w:rPr>
            </w:pPr>
            <w:r>
              <w:rPr>
                <w:rFonts w:hint="eastAsia" w:ascii="仿宋_GB2312" w:hAnsi="仿宋_GB2312" w:eastAsia="仿宋_GB2312" w:cs="仿宋_GB2312"/>
                <w:color w:val="FF0000"/>
              </w:rPr>
              <w:t>4</w:t>
            </w:r>
          </w:p>
        </w:tc>
        <w:tc>
          <w:tcPr>
            <w:tcW w:w="2539" w:type="dxa"/>
            <w:vMerge w:val="continue"/>
            <w:tcBorders>
              <w:top w:val="nil"/>
              <w:bottom w:val="nil"/>
            </w:tcBorders>
          </w:tcPr>
          <w:p>
            <w:pPr>
              <w:rPr>
                <w:rFonts w:ascii="仿宋_GB2312" w:hAnsi="仿宋_GB2312" w:eastAsia="仿宋_GB2312" w:cs="仿宋_GB2312"/>
              </w:rPr>
            </w:pPr>
          </w:p>
        </w:tc>
        <w:tc>
          <w:tcPr>
            <w:tcW w:w="1923" w:type="dxa"/>
            <w:vMerge w:val="continue"/>
            <w:tcBorders>
              <w:top w:val="nil"/>
              <w:bottom w:val="nil"/>
            </w:tcBorders>
          </w:tcPr>
          <w:p>
            <w:pPr>
              <w:rPr>
                <w:rFonts w:ascii="仿宋_GB2312" w:hAnsi="仿宋_GB2312" w:eastAsia="仿宋_GB2312" w:cs="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33" w:type="dxa"/>
          </w:tcPr>
          <w:p>
            <w:pPr>
              <w:spacing w:before="193" w:line="183" w:lineRule="auto"/>
              <w:ind w:firstLine="816"/>
              <w:rPr>
                <w:rFonts w:ascii="仿宋_GB2312" w:hAnsi="仿宋_GB2312" w:eastAsia="仿宋_GB2312" w:cs="仿宋_GB2312"/>
              </w:rPr>
            </w:pPr>
            <w:r>
              <w:rPr>
                <w:rFonts w:hint="eastAsia" w:ascii="仿宋_GB2312" w:hAnsi="仿宋_GB2312" w:eastAsia="仿宋_GB2312" w:cs="仿宋_GB2312"/>
                <w:spacing w:val="-4"/>
              </w:rPr>
              <w:t>麻醉科</w:t>
            </w:r>
          </w:p>
        </w:tc>
        <w:tc>
          <w:tcPr>
            <w:tcW w:w="2229" w:type="dxa"/>
          </w:tcPr>
          <w:p>
            <w:pPr>
              <w:spacing w:before="221" w:line="180" w:lineRule="auto"/>
              <w:ind w:firstLine="1079"/>
              <w:rPr>
                <w:rFonts w:ascii="仿宋_GB2312" w:hAnsi="仿宋_GB2312" w:eastAsia="仿宋_GB2312" w:cs="仿宋_GB2312"/>
              </w:rPr>
            </w:pPr>
            <w:r>
              <w:rPr>
                <w:rFonts w:hint="eastAsia" w:ascii="仿宋_GB2312" w:hAnsi="仿宋_GB2312" w:eastAsia="仿宋_GB2312" w:cs="仿宋_GB2312"/>
                <w:color w:val="FF0000"/>
              </w:rPr>
              <w:t>3</w:t>
            </w:r>
          </w:p>
        </w:tc>
        <w:tc>
          <w:tcPr>
            <w:tcW w:w="2539" w:type="dxa"/>
            <w:vMerge w:val="continue"/>
            <w:tcBorders>
              <w:top w:val="nil"/>
              <w:bottom w:val="nil"/>
            </w:tcBorders>
          </w:tcPr>
          <w:p>
            <w:pPr>
              <w:rPr>
                <w:rFonts w:ascii="仿宋_GB2312" w:hAnsi="仿宋_GB2312" w:eastAsia="仿宋_GB2312" w:cs="仿宋_GB2312"/>
              </w:rPr>
            </w:pPr>
          </w:p>
        </w:tc>
        <w:tc>
          <w:tcPr>
            <w:tcW w:w="1923" w:type="dxa"/>
            <w:vMerge w:val="continue"/>
            <w:tcBorders>
              <w:top w:val="nil"/>
              <w:bottom w:val="nil"/>
            </w:tcBorders>
          </w:tcPr>
          <w:p>
            <w:pPr>
              <w:rPr>
                <w:rFonts w:ascii="仿宋_GB2312" w:hAnsi="仿宋_GB2312" w:eastAsia="仿宋_GB2312" w:cs="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233" w:type="dxa"/>
          </w:tcPr>
          <w:p>
            <w:pPr>
              <w:spacing w:before="198" w:line="183" w:lineRule="auto"/>
              <w:ind w:firstLine="332"/>
              <w:rPr>
                <w:rFonts w:ascii="仿宋_GB2312" w:hAnsi="仿宋_GB2312" w:eastAsia="仿宋_GB2312" w:cs="仿宋_GB2312"/>
              </w:rPr>
            </w:pPr>
            <w:r>
              <w:rPr>
                <w:rFonts w:hint="eastAsia" w:ascii="仿宋_GB2312" w:hAnsi="仿宋_GB2312" w:eastAsia="仿宋_GB2312" w:cs="仿宋_GB2312"/>
                <w:spacing w:val="-10"/>
              </w:rPr>
              <w:t>呼吸与危重症医学科</w:t>
            </w:r>
          </w:p>
        </w:tc>
        <w:tc>
          <w:tcPr>
            <w:tcW w:w="2229" w:type="dxa"/>
          </w:tcPr>
          <w:p>
            <w:pPr>
              <w:spacing w:before="226" w:line="180" w:lineRule="auto"/>
              <w:ind w:firstLine="1087"/>
              <w:rPr>
                <w:rFonts w:ascii="仿宋_GB2312" w:hAnsi="仿宋_GB2312" w:eastAsia="仿宋_GB2312" w:cs="仿宋_GB2312"/>
              </w:rPr>
            </w:pPr>
            <w:r>
              <w:rPr>
                <w:rFonts w:hint="eastAsia" w:ascii="仿宋_GB2312" w:hAnsi="仿宋_GB2312" w:eastAsia="仿宋_GB2312" w:cs="仿宋_GB2312"/>
                <w:color w:val="FF0000"/>
              </w:rPr>
              <w:t>2</w:t>
            </w:r>
          </w:p>
        </w:tc>
        <w:tc>
          <w:tcPr>
            <w:tcW w:w="2539" w:type="dxa"/>
            <w:vMerge w:val="continue"/>
            <w:tcBorders>
              <w:top w:val="nil"/>
            </w:tcBorders>
          </w:tcPr>
          <w:p>
            <w:pPr>
              <w:rPr>
                <w:rFonts w:ascii="仿宋_GB2312" w:hAnsi="仿宋_GB2312" w:eastAsia="仿宋_GB2312" w:cs="仿宋_GB2312"/>
              </w:rPr>
            </w:pPr>
          </w:p>
        </w:tc>
        <w:tc>
          <w:tcPr>
            <w:tcW w:w="1923" w:type="dxa"/>
            <w:vMerge w:val="continue"/>
            <w:tcBorders>
              <w:top w:val="nil"/>
            </w:tcBorders>
          </w:tcPr>
          <w:p>
            <w:pPr>
              <w:rPr>
                <w:rFonts w:ascii="仿宋_GB2312" w:hAnsi="仿宋_GB2312" w:eastAsia="仿宋_GB2312" w:cs="仿宋_GB2312"/>
              </w:rPr>
            </w:pPr>
          </w:p>
        </w:tc>
      </w:tr>
    </w:tbl>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2.人员要求</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（1）人员素质要求</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身体健康，相貌端正，初中以上文化程度，年龄在</w:t>
      </w:r>
      <w:r>
        <w:rPr>
          <w:rFonts w:hint="eastAsia" w:ascii="仿宋_GB2312" w:hAnsi="仿宋_GB2312" w:eastAsia="仿宋_GB2312" w:cs="仿宋_GB2312"/>
          <w:kern w:val="0"/>
          <w:sz w:val="32"/>
          <w:szCs w:val="32"/>
        </w:rPr>
        <w:t>55周</w:t>
      </w:r>
      <w:r>
        <w:rPr>
          <w:rFonts w:hint="eastAsia" w:ascii="仿宋_GB2312" w:hAnsi="仿宋_GB2312" w:eastAsia="仿宋_GB2312" w:cs="仿宋_GB2312"/>
          <w:kern w:val="0"/>
          <w:sz w:val="32"/>
          <w:szCs w:val="32"/>
          <w:lang w:val="zh-CN"/>
        </w:rPr>
        <w:t>岁以下，自愿从事护工工作，不怕脏，工作积极主动，有爱心者。有护理经验者优先考虑。通过健康体检（费用自理）、面试合格后进行</w:t>
      </w:r>
      <w:r>
        <w:rPr>
          <w:rFonts w:hint="eastAsia" w:ascii="仿宋_GB2312" w:hAnsi="仿宋_GB2312" w:eastAsia="仿宋_GB2312" w:cs="仿宋_GB2312"/>
          <w:kern w:val="0"/>
          <w:sz w:val="32"/>
          <w:szCs w:val="32"/>
        </w:rPr>
        <w:t>岗前</w:t>
      </w:r>
      <w:r>
        <w:rPr>
          <w:rFonts w:hint="eastAsia" w:ascii="仿宋_GB2312" w:hAnsi="仿宋_GB2312" w:eastAsia="仿宋_GB2312" w:cs="仿宋_GB2312"/>
          <w:kern w:val="0"/>
          <w:sz w:val="32"/>
          <w:szCs w:val="32"/>
          <w:lang w:val="zh-CN"/>
        </w:rPr>
        <w:t>培训。对考核不合格的护工人员可以随时更换。</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（2）岗前培训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由公司组织培训，培训内容包括：职业道德规范，</w:t>
      </w:r>
      <w:r>
        <w:rPr>
          <w:rFonts w:hint="eastAsia" w:ascii="仿宋_GB2312" w:hAnsi="仿宋_GB2312" w:eastAsia="仿宋_GB2312" w:cs="仿宋_GB2312"/>
          <w:kern w:val="0"/>
          <w:sz w:val="32"/>
          <w:szCs w:val="32"/>
        </w:rPr>
        <w:t>礼节礼貌，服务意识，</w:t>
      </w:r>
      <w:r>
        <w:rPr>
          <w:rFonts w:hint="eastAsia" w:ascii="仿宋_GB2312" w:hAnsi="仿宋_GB2312" w:eastAsia="仿宋_GB2312" w:cs="仿宋_GB2312"/>
          <w:kern w:val="0"/>
          <w:sz w:val="32"/>
          <w:szCs w:val="32"/>
          <w:lang w:val="zh-CN"/>
        </w:rPr>
        <w:t>医院规章制度，护工人员工作职责，基础护理技能如：喂食、病人搬运法、 床上擦澡法、翻身拍背的方法、便器的使用、配合护士为卧床病人更换衣服、更换卧位、更换床单法以及应急处理（如发生窒息的紧急处理等）。另外还包括卫生洗手，一次性物品的使用管理知识及一般消毒隔离知识、掌握生活垃圾、医疗垃圾分类处理、专科护理知识和技能、</w:t>
      </w:r>
      <w:r>
        <w:rPr>
          <w:rFonts w:hint="eastAsia" w:ascii="仿宋_GB2312" w:hAnsi="仿宋_GB2312" w:eastAsia="仿宋_GB2312" w:cs="仿宋_GB2312"/>
          <w:kern w:val="0"/>
          <w:sz w:val="32"/>
          <w:szCs w:val="32"/>
        </w:rPr>
        <w:t>疫情防控知识和技能等。</w:t>
      </w:r>
      <w:r>
        <w:rPr>
          <w:rFonts w:hint="eastAsia" w:ascii="仿宋_GB2312" w:hAnsi="仿宋_GB2312" w:eastAsia="仿宋_GB2312" w:cs="仿宋_GB2312"/>
          <w:kern w:val="0"/>
          <w:sz w:val="32"/>
          <w:szCs w:val="32"/>
          <w:lang w:val="zh-CN"/>
        </w:rPr>
        <w:t xml:space="preserve">培训结束进行考核，考核合格后由公司发放护工上岗证。                                                                         </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岗前</w:t>
      </w:r>
      <w:r>
        <w:rPr>
          <w:rFonts w:hint="eastAsia" w:ascii="仿宋_GB2312" w:hAnsi="仿宋_GB2312" w:eastAsia="仿宋_GB2312" w:cs="仿宋_GB2312"/>
          <w:kern w:val="0"/>
          <w:sz w:val="32"/>
          <w:szCs w:val="32"/>
          <w:lang w:val="zh-CN"/>
        </w:rPr>
        <w:t>培训考核护工人员上岗后，仍需定期组织培训，定期考核，尤其是</w:t>
      </w:r>
      <w:r>
        <w:rPr>
          <w:rFonts w:hint="eastAsia" w:ascii="仿宋_GB2312" w:hAnsi="仿宋_GB2312" w:eastAsia="仿宋_GB2312" w:cs="仿宋_GB2312"/>
          <w:kern w:val="0"/>
          <w:sz w:val="32"/>
          <w:szCs w:val="32"/>
        </w:rPr>
        <w:t>科室主任、护士长及</w:t>
      </w:r>
      <w:r>
        <w:rPr>
          <w:rFonts w:hint="eastAsia" w:ascii="仿宋_GB2312" w:hAnsi="仿宋_GB2312" w:eastAsia="仿宋_GB2312" w:cs="仿宋_GB2312"/>
          <w:kern w:val="0"/>
          <w:sz w:val="32"/>
          <w:szCs w:val="32"/>
          <w:lang w:val="zh-CN"/>
        </w:rPr>
        <w:t>病人</w:t>
      </w:r>
      <w:r>
        <w:rPr>
          <w:rFonts w:hint="eastAsia" w:ascii="仿宋_GB2312" w:hAnsi="仿宋_GB2312" w:eastAsia="仿宋_GB2312" w:cs="仿宋_GB2312"/>
          <w:kern w:val="0"/>
          <w:sz w:val="32"/>
          <w:szCs w:val="32"/>
        </w:rPr>
        <w:t>反映</w:t>
      </w:r>
      <w:r>
        <w:rPr>
          <w:rFonts w:hint="eastAsia" w:ascii="仿宋_GB2312" w:hAnsi="仿宋_GB2312" w:eastAsia="仿宋_GB2312" w:cs="仿宋_GB2312"/>
          <w:kern w:val="0"/>
          <w:sz w:val="32"/>
          <w:szCs w:val="32"/>
          <w:lang w:val="zh-CN"/>
        </w:rPr>
        <w:t>较大的</w:t>
      </w:r>
      <w:r>
        <w:rPr>
          <w:rFonts w:hint="eastAsia" w:ascii="仿宋_GB2312" w:hAnsi="仿宋_GB2312" w:eastAsia="仿宋_GB2312" w:cs="仿宋_GB2312"/>
          <w:kern w:val="0"/>
          <w:sz w:val="32"/>
          <w:szCs w:val="32"/>
        </w:rPr>
        <w:t>服务较差</w:t>
      </w:r>
      <w:r>
        <w:rPr>
          <w:rFonts w:hint="eastAsia" w:ascii="仿宋_GB2312" w:hAnsi="仿宋_GB2312" w:eastAsia="仿宋_GB2312" w:cs="仿宋_GB2312"/>
          <w:kern w:val="0"/>
          <w:sz w:val="32"/>
          <w:szCs w:val="32"/>
          <w:lang w:val="zh-CN"/>
        </w:rPr>
        <w:t>人员，培训内容包括岗前培训知识及实际工作中缺陷。</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zh-CN"/>
        </w:rPr>
        <w:t>护工工作内容</w:t>
      </w:r>
    </w:p>
    <w:p>
      <w:pPr>
        <w:spacing w:line="560" w:lineRule="exact"/>
        <w:ind w:firstLine="640" w:firstLineChars="200"/>
        <w:rPr>
          <w:rFonts w:ascii="仿宋_GB2312" w:hAnsi="仿宋_GB2312" w:eastAsia="仿宋_GB2312" w:cs="仿宋_GB2312"/>
          <w:color w:val="FF0000"/>
          <w:kern w:val="0"/>
          <w:sz w:val="32"/>
          <w:szCs w:val="32"/>
          <w:lang w:val="zh-CN"/>
        </w:rPr>
      </w:pPr>
      <w:r>
        <w:rPr>
          <w:rFonts w:hint="eastAsia" w:ascii="仿宋_GB2312" w:hAnsi="仿宋_GB2312" w:eastAsia="仿宋_GB2312" w:cs="仿宋_GB2312"/>
          <w:color w:val="FF0000"/>
          <w:kern w:val="0"/>
          <w:sz w:val="32"/>
          <w:szCs w:val="32"/>
          <w:lang w:val="zh-CN"/>
        </w:rPr>
        <w:t>（1） 普通病区护工工作内容（感染科、心血管内科）</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1.1 院内运送常规及急诊检验标本，如大小便标本、血液标本、病理标本等。</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1.2 负责住院药房药品、保障性物资及耗材、消毒包等医疗用品及器械的送取。</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1.3 负责院内各类文书，如病历、检查单、记帐单等的运送，报告单领取。</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1.4 协助患者外出检查，并负责协助科室手术病人的转运。</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1.5 做好床单元的准备、床单被套更换及终末处理。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1.6 协助科室完成临时小件物品、设备的搬运。</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1.7 协助科室完成被服清点、领用、补充。</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1.8 根据科室工作需要，完成各类特定配送服务。</w:t>
      </w:r>
    </w:p>
    <w:p>
      <w:pPr>
        <w:spacing w:line="560" w:lineRule="exact"/>
        <w:ind w:firstLine="640" w:firstLineChars="200"/>
        <w:rPr>
          <w:rFonts w:ascii="仿宋_GB2312" w:hAnsi="仿宋_GB2312" w:eastAsia="仿宋_GB2312" w:cs="仿宋_GB2312"/>
          <w:color w:val="FF0000"/>
          <w:kern w:val="0"/>
          <w:sz w:val="32"/>
          <w:szCs w:val="32"/>
          <w:lang w:val="zh-CN"/>
        </w:rPr>
      </w:pPr>
      <w:r>
        <w:rPr>
          <w:rFonts w:hint="eastAsia" w:ascii="仿宋_GB2312" w:hAnsi="仿宋_GB2312" w:eastAsia="仿宋_GB2312" w:cs="仿宋_GB2312"/>
          <w:color w:val="FF0000"/>
          <w:kern w:val="0"/>
          <w:sz w:val="32"/>
          <w:szCs w:val="32"/>
          <w:lang w:val="zh-CN"/>
        </w:rPr>
        <w:t>（2）手术室护工工作内容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2.1 协助医护人员安全接送、转运手术患者。</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2.2 负责整理更衣间，及时增减准备口罩、帽子、洗手衣等物品。</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2.3 更换手术床、转运床上的盖被、垫单。</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2.4 负责送取化验标本、合血标本、病理标本等。</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2.5 负责清洗、送消工作鞋、洗手刷等。</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2.6 其他工作内容参照病区护工服务内容。</w:t>
      </w:r>
    </w:p>
    <w:p>
      <w:pPr>
        <w:spacing w:line="560" w:lineRule="exact"/>
        <w:ind w:firstLine="640" w:firstLineChars="200"/>
        <w:rPr>
          <w:rFonts w:ascii="仿宋_GB2312" w:hAnsi="仿宋_GB2312" w:eastAsia="仿宋_GB2312" w:cs="仿宋_GB2312"/>
          <w:color w:val="FF0000"/>
          <w:kern w:val="0"/>
          <w:sz w:val="32"/>
          <w:szCs w:val="32"/>
          <w:lang w:val="zh-CN"/>
        </w:rPr>
      </w:pPr>
      <w:r>
        <w:rPr>
          <w:rFonts w:hint="eastAsia" w:ascii="仿宋_GB2312" w:hAnsi="仿宋_GB2312" w:eastAsia="仿宋_GB2312" w:cs="仿宋_GB2312"/>
          <w:color w:val="FF0000"/>
          <w:kern w:val="0"/>
          <w:sz w:val="32"/>
          <w:szCs w:val="32"/>
          <w:lang w:val="zh-CN"/>
        </w:rPr>
        <w:t>（3）呼吸与危重症医学科护工工作内容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3.1 协助晨晚间护理。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3.2 在护士指导下，协助生活不能自理的患者进食、起床活动及递送便器等。</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3.3 随时保持大小便失禁患者床单位干燥清洁。</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3.4 每日清洁消毒床单元及仪器设备。 </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3.5 在护士指导下，协助卧床患者翻身。</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3.6 接送患者外出检查治疗，院内运送常规及急诊检验标本，如大小便标本、血液标本、病理标本等。</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3.7 在探视时间，负责维持病房秩序，按时劝离探视者。</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3.8 其他工作内容参照病区护工服务内容。</w:t>
      </w:r>
    </w:p>
    <w:p>
      <w:pPr>
        <w:spacing w:line="560" w:lineRule="exact"/>
        <w:ind w:firstLine="640" w:firstLineChars="200"/>
        <w:rPr>
          <w:rFonts w:ascii="仿宋_GB2312" w:hAnsi="仿宋_GB2312" w:eastAsia="仿宋_GB2312" w:cs="仿宋_GB2312"/>
          <w:color w:val="FF0000"/>
          <w:kern w:val="0"/>
          <w:sz w:val="32"/>
          <w:szCs w:val="32"/>
          <w:lang w:val="zh-CN"/>
        </w:rPr>
      </w:pPr>
      <w:r>
        <w:rPr>
          <w:rFonts w:hint="eastAsia" w:ascii="仿宋_GB2312" w:hAnsi="仿宋_GB2312" w:eastAsia="仿宋_GB2312" w:cs="仿宋_GB2312"/>
          <w:color w:val="FF0000"/>
          <w:kern w:val="0"/>
          <w:sz w:val="32"/>
          <w:szCs w:val="32"/>
          <w:lang w:val="zh-CN"/>
        </w:rPr>
        <w:t>（4）消毒供应室护工服务内容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4.1 从事下收下送，清洗、包装和消毒医疗包等辅助工作。</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4.2 其他工作内容参照病区护工服务内容。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zh-CN"/>
        </w:rPr>
        <w:t>.考核</w:t>
      </w:r>
      <w:r>
        <w:rPr>
          <w:rFonts w:hint="eastAsia" w:ascii="仿宋_GB2312" w:hAnsi="仿宋_GB2312" w:eastAsia="仿宋_GB2312" w:cs="仿宋_GB2312"/>
          <w:kern w:val="0"/>
          <w:sz w:val="32"/>
          <w:szCs w:val="32"/>
        </w:rPr>
        <w:t>机制</w:t>
      </w:r>
    </w:p>
    <w:p>
      <w:pPr>
        <w:spacing w:before="177" w:line="185" w:lineRule="auto"/>
        <w:rPr>
          <w:rFonts w:ascii="宋体" w:hAnsi="宋体" w:cs="宋体"/>
          <w:b/>
          <w:bCs/>
          <w:spacing w:val="-8"/>
          <w:sz w:val="32"/>
          <w:szCs w:val="32"/>
        </w:rPr>
      </w:pPr>
    </w:p>
    <w:p>
      <w:pPr>
        <w:spacing w:before="177" w:line="185" w:lineRule="auto"/>
        <w:jc w:val="center"/>
        <w:rPr>
          <w:rFonts w:ascii="宋体" w:cs="宋体"/>
          <w:b/>
          <w:bCs/>
          <w:spacing w:val="-8"/>
          <w:sz w:val="32"/>
          <w:szCs w:val="32"/>
        </w:rPr>
      </w:pPr>
      <w:r>
        <w:rPr>
          <w:rFonts w:hint="eastAsia" w:ascii="宋体" w:hAnsi="宋体" w:cs="宋体"/>
          <w:b/>
          <w:bCs/>
          <w:spacing w:val="-8"/>
          <w:sz w:val="32"/>
          <w:szCs w:val="32"/>
        </w:rPr>
        <w:t>护工每月工作质量检查考评表</w:t>
      </w:r>
    </w:p>
    <w:p>
      <w:pPr>
        <w:spacing w:before="177" w:line="185" w:lineRule="auto"/>
        <w:jc w:val="center"/>
        <w:rPr>
          <w:rFonts w:ascii="宋体" w:cs="宋体"/>
          <w:b/>
          <w:bCs/>
          <w:spacing w:val="-8"/>
          <w:sz w:val="32"/>
          <w:szCs w:val="32"/>
        </w:rPr>
      </w:pPr>
    </w:p>
    <w:p>
      <w:pPr>
        <w:spacing w:before="141" w:line="183" w:lineRule="auto"/>
        <w:ind w:firstLine="278"/>
        <w:rPr>
          <w:rFonts w:ascii="仿宋_GB2312" w:hAnsi="仿宋_GB2312" w:eastAsia="仿宋_GB2312" w:cs="仿宋_GB2312"/>
          <w:sz w:val="24"/>
          <w:szCs w:val="24"/>
        </w:rPr>
      </w:pPr>
      <w:r>
        <w:rPr>
          <w:rFonts w:hint="eastAsia" w:ascii="仿宋_GB2312" w:hAnsi="仿宋_GB2312" w:eastAsia="仿宋_GB2312" w:cs="仿宋_GB2312"/>
          <w:spacing w:val="-18"/>
          <w:w w:val="89"/>
          <w:sz w:val="24"/>
          <w:szCs w:val="24"/>
        </w:rPr>
        <w:t>科室：评价人：评价时间：年月     日</w:t>
      </w:r>
    </w:p>
    <w:p>
      <w:pPr>
        <w:rPr>
          <w:rFonts w:ascii="仿宋_GB2312" w:hAnsi="仿宋_GB2312" w:eastAsia="仿宋_GB2312" w:cs="仿宋_GB2312"/>
        </w:rPr>
      </w:pPr>
    </w:p>
    <w:p>
      <w:pPr>
        <w:spacing w:line="18" w:lineRule="exact"/>
      </w:pPr>
    </w:p>
    <w:tbl>
      <w:tblPr>
        <w:tblStyle w:val="20"/>
        <w:tblW w:w="99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9"/>
        <w:gridCol w:w="4493"/>
        <w:gridCol w:w="3558"/>
        <w:gridCol w:w="716"/>
        <w:gridCol w:w="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jc w:val="center"/>
        </w:trPr>
        <w:tc>
          <w:tcPr>
            <w:tcW w:w="489" w:type="dxa"/>
          </w:tcPr>
          <w:p>
            <w:pPr>
              <w:spacing w:before="268" w:line="184" w:lineRule="auto"/>
              <w:ind w:firstLine="69"/>
              <w:rPr>
                <w:rFonts w:ascii="仿宋_GB2312" w:hAnsi="仿宋_GB2312" w:eastAsia="仿宋_GB2312" w:cs="仿宋_GB2312"/>
                <w:sz w:val="18"/>
                <w:szCs w:val="18"/>
              </w:rPr>
            </w:pPr>
            <w:r>
              <w:rPr>
                <w:rFonts w:hint="eastAsia" w:ascii="仿宋_GB2312" w:hAnsi="仿宋_GB2312" w:eastAsia="仿宋_GB2312" w:cs="仿宋_GB2312"/>
                <w:spacing w:val="-3"/>
                <w:sz w:val="18"/>
                <w:szCs w:val="18"/>
              </w:rPr>
              <w:t>序号</w:t>
            </w:r>
          </w:p>
        </w:tc>
        <w:tc>
          <w:tcPr>
            <w:tcW w:w="4493" w:type="dxa"/>
          </w:tcPr>
          <w:p>
            <w:pPr>
              <w:spacing w:before="268" w:line="184" w:lineRule="auto"/>
              <w:ind w:firstLine="1901"/>
              <w:rPr>
                <w:rFonts w:ascii="仿宋_GB2312" w:hAnsi="仿宋_GB2312" w:eastAsia="仿宋_GB2312" w:cs="仿宋_GB2312"/>
                <w:sz w:val="18"/>
                <w:szCs w:val="18"/>
              </w:rPr>
            </w:pPr>
            <w:r>
              <w:rPr>
                <w:rFonts w:hint="eastAsia" w:ascii="仿宋_GB2312" w:hAnsi="仿宋_GB2312" w:eastAsia="仿宋_GB2312" w:cs="仿宋_GB2312"/>
                <w:spacing w:val="-7"/>
                <w:sz w:val="18"/>
                <w:szCs w:val="18"/>
              </w:rPr>
              <w:t>考核内容</w:t>
            </w:r>
          </w:p>
        </w:tc>
        <w:tc>
          <w:tcPr>
            <w:tcW w:w="3558" w:type="dxa"/>
          </w:tcPr>
          <w:p>
            <w:pPr>
              <w:spacing w:before="268" w:line="184" w:lineRule="auto"/>
              <w:ind w:firstLine="1442"/>
              <w:rPr>
                <w:rFonts w:ascii="仿宋_GB2312" w:hAnsi="仿宋_GB2312" w:eastAsia="仿宋_GB2312" w:cs="仿宋_GB2312"/>
                <w:sz w:val="18"/>
                <w:szCs w:val="18"/>
              </w:rPr>
            </w:pPr>
            <w:r>
              <w:rPr>
                <w:rFonts w:hint="eastAsia" w:ascii="仿宋_GB2312" w:hAnsi="仿宋_GB2312" w:eastAsia="仿宋_GB2312" w:cs="仿宋_GB2312"/>
                <w:spacing w:val="-7"/>
                <w:sz w:val="18"/>
                <w:szCs w:val="18"/>
              </w:rPr>
              <w:t>评分标准</w:t>
            </w:r>
          </w:p>
        </w:tc>
        <w:tc>
          <w:tcPr>
            <w:tcW w:w="716" w:type="dxa"/>
            <w:vAlign w:val="center"/>
          </w:tcPr>
          <w:p>
            <w:pPr>
              <w:spacing w:line="204" w:lineRule="auto"/>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标准分</w:t>
            </w:r>
          </w:p>
        </w:tc>
        <w:tc>
          <w:tcPr>
            <w:tcW w:w="716" w:type="dxa"/>
          </w:tcPr>
          <w:p>
            <w:pPr>
              <w:spacing w:line="204" w:lineRule="auto"/>
              <w:jc w:val="center"/>
              <w:rPr>
                <w:rFonts w:ascii="仿宋_GB2312" w:hAnsi="仿宋_GB2312" w:eastAsia="仿宋_GB2312" w:cs="仿宋_GB2312"/>
                <w:spacing w:val="-7"/>
                <w:position w:val="10"/>
                <w:sz w:val="18"/>
                <w:szCs w:val="18"/>
              </w:rPr>
            </w:pPr>
          </w:p>
          <w:p>
            <w:pPr>
              <w:spacing w:line="204" w:lineRule="auto"/>
              <w:jc w:val="center"/>
              <w:rPr>
                <w:rFonts w:ascii="仿宋_GB2312" w:hAnsi="仿宋_GB2312" w:eastAsia="仿宋_GB2312" w:cs="仿宋_GB2312"/>
                <w:spacing w:val="-3"/>
                <w:sz w:val="18"/>
                <w:szCs w:val="18"/>
              </w:rPr>
            </w:pPr>
            <w:r>
              <w:rPr>
                <w:rFonts w:hint="eastAsia" w:ascii="仿宋_GB2312" w:hAnsi="仿宋_GB2312" w:eastAsia="仿宋_GB2312" w:cs="仿宋_GB2312"/>
                <w:spacing w:val="-7"/>
                <w:position w:val="10"/>
                <w:sz w:val="18"/>
                <w:szCs w:val="18"/>
              </w:rPr>
              <w:t>扣分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jc w:val="center"/>
        </w:trPr>
        <w:tc>
          <w:tcPr>
            <w:tcW w:w="489" w:type="dxa"/>
            <w:vAlign w:val="center"/>
          </w:tcPr>
          <w:p>
            <w:pPr>
              <w:spacing w:before="123" w:line="180" w:lineRule="auto"/>
              <w:ind w:firstLine="209"/>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4493" w:type="dxa"/>
            <w:vAlign w:val="center"/>
          </w:tcPr>
          <w:p>
            <w:pPr>
              <w:spacing w:before="99" w:line="184" w:lineRule="auto"/>
              <w:ind w:firstLine="24"/>
              <w:rPr>
                <w:rFonts w:ascii="仿宋_GB2312" w:hAnsi="仿宋_GB2312" w:eastAsia="仿宋_GB2312" w:cs="仿宋_GB2312"/>
                <w:sz w:val="18"/>
                <w:szCs w:val="18"/>
              </w:rPr>
            </w:pPr>
            <w:r>
              <w:rPr>
                <w:rFonts w:hint="eastAsia" w:ascii="仿宋_GB2312" w:hAnsi="仿宋_GB2312" w:eastAsia="仿宋_GB2312" w:cs="仿宋_GB2312"/>
                <w:spacing w:val="-10"/>
                <w:sz w:val="18"/>
                <w:szCs w:val="18"/>
              </w:rPr>
              <w:t>当班期间，衣着整洁，着统一工作服、佩戴工作证</w:t>
            </w:r>
          </w:p>
        </w:tc>
        <w:tc>
          <w:tcPr>
            <w:tcW w:w="3558" w:type="dxa"/>
            <w:vAlign w:val="center"/>
          </w:tcPr>
          <w:p>
            <w:pPr>
              <w:spacing w:before="133" w:line="184" w:lineRule="auto"/>
              <w:ind w:firstLine="844"/>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未按要求，每次扣0.2分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489" w:type="dxa"/>
            <w:vAlign w:val="center"/>
          </w:tcPr>
          <w:p>
            <w:pPr>
              <w:spacing w:before="124" w:line="180" w:lineRule="auto"/>
              <w:ind w:firstLine="205"/>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493" w:type="dxa"/>
            <w:vAlign w:val="center"/>
          </w:tcPr>
          <w:p>
            <w:pPr>
              <w:spacing w:before="100" w:line="184" w:lineRule="auto"/>
              <w:rPr>
                <w:rFonts w:ascii="仿宋_GB2312" w:hAnsi="仿宋_GB2312" w:eastAsia="仿宋_GB2312" w:cs="仿宋_GB2312"/>
                <w:sz w:val="18"/>
                <w:szCs w:val="18"/>
              </w:rPr>
            </w:pPr>
            <w:r>
              <w:rPr>
                <w:rFonts w:hint="eastAsia" w:ascii="仿宋_GB2312" w:hAnsi="仿宋_GB2312" w:eastAsia="仿宋_GB2312" w:cs="仿宋_GB2312"/>
                <w:spacing w:val="-7"/>
                <w:sz w:val="18"/>
                <w:szCs w:val="18"/>
              </w:rPr>
              <w:t>严禁酒后上岗</w:t>
            </w:r>
          </w:p>
        </w:tc>
        <w:tc>
          <w:tcPr>
            <w:tcW w:w="3558" w:type="dxa"/>
            <w:vAlign w:val="center"/>
          </w:tcPr>
          <w:p>
            <w:pPr>
              <w:spacing w:before="100" w:line="184" w:lineRule="auto"/>
              <w:ind w:firstLine="1101"/>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每发现一次扣10分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10</w:t>
            </w:r>
          </w:p>
        </w:tc>
        <w:tc>
          <w:tcPr>
            <w:tcW w:w="716" w:type="dxa"/>
            <w:vAlign w:val="center"/>
          </w:tcPr>
          <w:p>
            <w:pPr>
              <w:spacing w:line="324" w:lineRule="exact"/>
              <w:rPr>
                <w:rFonts w:ascii="仿宋_GB2312" w:hAnsi="仿宋_GB2312" w:eastAsia="仿宋_GB2312" w:cs="仿宋_GB2312"/>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jc w:val="center"/>
        </w:trPr>
        <w:tc>
          <w:tcPr>
            <w:tcW w:w="489" w:type="dxa"/>
            <w:vAlign w:val="center"/>
          </w:tcPr>
          <w:p>
            <w:pPr>
              <w:spacing w:before="126" w:line="180" w:lineRule="auto"/>
              <w:ind w:firstLine="212"/>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4493" w:type="dxa"/>
            <w:vAlign w:val="center"/>
          </w:tcPr>
          <w:p>
            <w:pPr>
              <w:spacing w:before="102" w:line="184" w:lineRule="auto"/>
              <w:ind w:firstLine="24"/>
              <w:rPr>
                <w:rFonts w:ascii="仿宋_GB2312" w:hAnsi="仿宋_GB2312" w:eastAsia="仿宋_GB2312" w:cs="仿宋_GB2312"/>
                <w:sz w:val="18"/>
                <w:szCs w:val="18"/>
              </w:rPr>
            </w:pPr>
            <w:r>
              <w:rPr>
                <w:rFonts w:hint="eastAsia" w:ascii="仿宋_GB2312" w:hAnsi="仿宋_GB2312" w:eastAsia="仿宋_GB2312" w:cs="仿宋_GB2312"/>
                <w:spacing w:val="-10"/>
                <w:sz w:val="18"/>
                <w:szCs w:val="18"/>
              </w:rPr>
              <w:t>当班期间无迟到、早退、漏岗等现象</w:t>
            </w:r>
          </w:p>
        </w:tc>
        <w:tc>
          <w:tcPr>
            <w:tcW w:w="3558" w:type="dxa"/>
            <w:vAlign w:val="center"/>
          </w:tcPr>
          <w:p>
            <w:pPr>
              <w:spacing w:before="124" w:line="184" w:lineRule="auto"/>
              <w:ind w:firstLine="1015"/>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每发现一次扣0.5分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jc w:val="center"/>
        </w:trPr>
        <w:tc>
          <w:tcPr>
            <w:tcW w:w="489" w:type="dxa"/>
            <w:vAlign w:val="center"/>
          </w:tcPr>
          <w:p>
            <w:pPr>
              <w:spacing w:before="127" w:line="180" w:lineRule="auto"/>
              <w:ind w:firstLine="204"/>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4493" w:type="dxa"/>
            <w:vAlign w:val="center"/>
          </w:tcPr>
          <w:p>
            <w:pPr>
              <w:spacing w:before="103" w:line="184" w:lineRule="auto"/>
              <w:ind w:firstLine="6"/>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不私自放患者外出或私自将公匙给家属/陪护自行开门</w:t>
            </w:r>
          </w:p>
        </w:tc>
        <w:tc>
          <w:tcPr>
            <w:tcW w:w="3558" w:type="dxa"/>
            <w:vAlign w:val="center"/>
          </w:tcPr>
          <w:p>
            <w:pPr>
              <w:spacing w:before="113" w:line="184" w:lineRule="auto"/>
              <w:ind w:firstLine="1185"/>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每次发现扣</w:t>
            </w:r>
            <w:r>
              <w:rPr>
                <w:rFonts w:hint="eastAsia" w:ascii="仿宋_GB2312" w:hAnsi="仿宋_GB2312" w:eastAsia="仿宋_GB2312" w:cs="仿宋_GB2312"/>
                <w:spacing w:val="-37"/>
                <w:sz w:val="18"/>
                <w:szCs w:val="18"/>
              </w:rPr>
              <w:t xml:space="preserve"> 5</w:t>
            </w:r>
            <w:r>
              <w:rPr>
                <w:rFonts w:hint="eastAsia" w:ascii="仿宋_GB2312" w:hAnsi="仿宋_GB2312" w:eastAsia="仿宋_GB2312" w:cs="仿宋_GB2312"/>
                <w:spacing w:val="-9"/>
                <w:sz w:val="18"/>
                <w:szCs w:val="18"/>
              </w:rPr>
              <w:t>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spacing w:line="344" w:lineRule="exact"/>
              <w:rPr>
                <w:rFonts w:ascii="仿宋_GB2312" w:hAnsi="仿宋_GB2312" w:eastAsia="仿宋_GB2312" w:cs="仿宋_GB2312"/>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jc w:val="center"/>
        </w:trPr>
        <w:tc>
          <w:tcPr>
            <w:tcW w:w="489" w:type="dxa"/>
            <w:vAlign w:val="center"/>
          </w:tcPr>
          <w:p>
            <w:pPr>
              <w:spacing w:before="131" w:line="180" w:lineRule="auto"/>
              <w:ind w:firstLine="207"/>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4493" w:type="dxa"/>
            <w:vAlign w:val="center"/>
          </w:tcPr>
          <w:p>
            <w:pPr>
              <w:spacing w:before="104" w:line="184" w:lineRule="auto"/>
              <w:ind w:firstLine="4"/>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服从工作安排，完成院方交予的其他工作任务</w:t>
            </w:r>
          </w:p>
        </w:tc>
        <w:tc>
          <w:tcPr>
            <w:tcW w:w="3558" w:type="dxa"/>
            <w:vAlign w:val="center"/>
          </w:tcPr>
          <w:p>
            <w:pPr>
              <w:spacing w:before="138" w:line="184" w:lineRule="auto"/>
              <w:ind w:firstLine="85"/>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不服从工作安排，视情节轻重，每次扣1-5分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jc w:val="center"/>
        </w:trPr>
        <w:tc>
          <w:tcPr>
            <w:tcW w:w="489" w:type="dxa"/>
            <w:vAlign w:val="center"/>
          </w:tcPr>
          <w:p>
            <w:pPr>
              <w:spacing w:before="129" w:line="180" w:lineRule="auto"/>
              <w:ind w:firstLine="207"/>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4493" w:type="dxa"/>
            <w:vAlign w:val="center"/>
          </w:tcPr>
          <w:p>
            <w:pPr>
              <w:spacing w:before="105" w:line="256" w:lineRule="auto"/>
              <w:ind w:left="5" w:firstLine="8"/>
              <w:rPr>
                <w:rFonts w:ascii="仿宋_GB2312" w:hAnsi="仿宋_GB2312" w:eastAsia="仿宋_GB2312" w:cs="仿宋_GB2312"/>
                <w:sz w:val="18"/>
                <w:szCs w:val="18"/>
              </w:rPr>
            </w:pPr>
            <w:r>
              <w:rPr>
                <w:rFonts w:hint="eastAsia" w:ascii="仿宋_GB2312" w:hAnsi="仿宋_GB2312" w:eastAsia="仿宋_GB2312" w:cs="仿宋_GB2312"/>
                <w:spacing w:val="-12"/>
                <w:sz w:val="18"/>
                <w:szCs w:val="18"/>
              </w:rPr>
              <w:t>熟悉病区各种消防设施、防暴装备及抢救设施的存放位置，</w:t>
            </w:r>
            <w:r>
              <w:rPr>
                <w:rFonts w:hint="eastAsia" w:ascii="仿宋_GB2312" w:hAnsi="仿宋_GB2312" w:eastAsia="仿宋_GB2312" w:cs="仿宋_GB2312"/>
                <w:spacing w:val="-11"/>
                <w:sz w:val="18"/>
                <w:szCs w:val="18"/>
              </w:rPr>
              <w:t>会使用科室及院内各种消防设施、防暴装备。</w:t>
            </w:r>
          </w:p>
        </w:tc>
        <w:tc>
          <w:tcPr>
            <w:tcW w:w="3558" w:type="dxa"/>
            <w:vAlign w:val="center"/>
          </w:tcPr>
          <w:p>
            <w:pPr>
              <w:spacing w:before="275" w:line="184" w:lineRule="auto"/>
              <w:ind w:firstLine="1015"/>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抽查不熟悉一次扣1分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2" w:hRule="atLeast"/>
          <w:jc w:val="center"/>
        </w:trPr>
        <w:tc>
          <w:tcPr>
            <w:tcW w:w="489" w:type="dxa"/>
            <w:vAlign w:val="center"/>
          </w:tcPr>
          <w:p>
            <w:pPr>
              <w:spacing w:line="260" w:lineRule="auto"/>
              <w:rPr>
                <w:rFonts w:ascii="仿宋_GB2312" w:hAnsi="仿宋_GB2312" w:eastAsia="仿宋_GB2312" w:cs="仿宋_GB2312"/>
              </w:rPr>
            </w:pPr>
          </w:p>
          <w:p>
            <w:pPr>
              <w:spacing w:before="58" w:line="180" w:lineRule="auto"/>
              <w:ind w:firstLine="207"/>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4493" w:type="dxa"/>
            <w:vAlign w:val="center"/>
          </w:tcPr>
          <w:p>
            <w:pPr>
              <w:spacing w:before="106" w:line="256" w:lineRule="auto"/>
              <w:ind w:left="4" w:firstLine="6"/>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掌握生活垃圾、医疗垃圾、传染病人的衣物及垃圾的正确处</w:t>
            </w:r>
            <w:r>
              <w:rPr>
                <w:rFonts w:hint="eastAsia" w:ascii="仿宋_GB2312" w:hAnsi="仿宋_GB2312" w:eastAsia="仿宋_GB2312" w:cs="仿宋_GB2312"/>
                <w:spacing w:val="-8"/>
                <w:sz w:val="18"/>
                <w:szCs w:val="18"/>
              </w:rPr>
              <w:t>理方法</w:t>
            </w:r>
          </w:p>
        </w:tc>
        <w:tc>
          <w:tcPr>
            <w:tcW w:w="3558" w:type="dxa"/>
            <w:vAlign w:val="center"/>
          </w:tcPr>
          <w:p>
            <w:pPr>
              <w:spacing w:before="298" w:line="184" w:lineRule="auto"/>
              <w:ind w:firstLine="760"/>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抽查不熟悉，每次扣0.5分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jc w:val="center"/>
        </w:trPr>
        <w:tc>
          <w:tcPr>
            <w:tcW w:w="489" w:type="dxa"/>
            <w:vAlign w:val="center"/>
          </w:tcPr>
          <w:p>
            <w:pPr>
              <w:spacing w:line="258" w:lineRule="auto"/>
              <w:rPr>
                <w:rFonts w:ascii="仿宋_GB2312" w:hAnsi="仿宋_GB2312" w:eastAsia="仿宋_GB2312" w:cs="仿宋_GB2312"/>
              </w:rPr>
            </w:pPr>
          </w:p>
          <w:p>
            <w:pPr>
              <w:spacing w:before="59" w:line="180" w:lineRule="auto"/>
              <w:ind w:firstLine="207"/>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4493" w:type="dxa"/>
            <w:vAlign w:val="center"/>
          </w:tcPr>
          <w:p>
            <w:pPr>
              <w:spacing w:line="242" w:lineRule="auto"/>
              <w:rPr>
                <w:rFonts w:ascii="仿宋_GB2312" w:hAnsi="仿宋_GB2312" w:eastAsia="仿宋_GB2312" w:cs="仿宋_GB2312"/>
              </w:rPr>
            </w:pPr>
          </w:p>
          <w:p>
            <w:pPr>
              <w:spacing w:before="59" w:line="184" w:lineRule="auto"/>
              <w:ind w:firstLine="24"/>
              <w:rPr>
                <w:rFonts w:ascii="仿宋_GB2312" w:hAnsi="仿宋_GB2312" w:eastAsia="仿宋_GB2312" w:cs="仿宋_GB2312"/>
                <w:sz w:val="18"/>
                <w:szCs w:val="18"/>
              </w:rPr>
            </w:pPr>
            <w:r>
              <w:rPr>
                <w:rFonts w:hint="eastAsia" w:ascii="仿宋_GB2312" w:hAnsi="仿宋_GB2312" w:eastAsia="仿宋_GB2312" w:cs="仿宋_GB2312"/>
                <w:spacing w:val="-13"/>
                <w:sz w:val="18"/>
                <w:szCs w:val="18"/>
              </w:rPr>
              <w:t>当班期间科室无暴力、消防、外走、跌倒等不良事件发生。</w:t>
            </w:r>
          </w:p>
        </w:tc>
        <w:tc>
          <w:tcPr>
            <w:tcW w:w="3558" w:type="dxa"/>
            <w:vAlign w:val="center"/>
          </w:tcPr>
          <w:p>
            <w:pPr>
              <w:spacing w:before="142" w:line="184" w:lineRule="auto"/>
              <w:ind w:firstLine="81"/>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发生上述不良事件，经核实与护工工作疏忽相</w:t>
            </w:r>
          </w:p>
          <w:p>
            <w:pPr>
              <w:spacing w:before="139" w:line="184" w:lineRule="auto"/>
              <w:ind w:firstLine="26"/>
              <w:rPr>
                <w:rFonts w:ascii="仿宋_GB2312" w:hAnsi="仿宋_GB2312" w:eastAsia="仿宋_GB2312" w:cs="仿宋_GB2312"/>
                <w:sz w:val="18"/>
                <w:szCs w:val="18"/>
              </w:rPr>
            </w:pPr>
            <w:r>
              <w:rPr>
                <w:rFonts w:hint="eastAsia" w:ascii="仿宋_GB2312" w:hAnsi="仿宋_GB2312" w:eastAsia="仿宋_GB2312" w:cs="仿宋_GB2312"/>
                <w:spacing w:val="-11"/>
                <w:sz w:val="18"/>
                <w:szCs w:val="18"/>
              </w:rPr>
              <w:t>关，扣1-10分，必要时追究护工服务公司相关</w:t>
            </w:r>
          </w:p>
          <w:p>
            <w:pPr>
              <w:spacing w:before="142" w:line="184" w:lineRule="auto"/>
              <w:ind w:firstLine="1618"/>
              <w:rPr>
                <w:rFonts w:ascii="仿宋_GB2312" w:hAnsi="仿宋_GB2312" w:eastAsia="仿宋_GB2312" w:cs="仿宋_GB2312"/>
                <w:sz w:val="18"/>
                <w:szCs w:val="18"/>
              </w:rPr>
            </w:pPr>
            <w:r>
              <w:rPr>
                <w:rFonts w:hint="eastAsia" w:ascii="仿宋_GB2312" w:hAnsi="仿宋_GB2312" w:eastAsia="仿宋_GB2312" w:cs="仿宋_GB2312"/>
                <w:spacing w:val="-7"/>
                <w:sz w:val="18"/>
                <w:szCs w:val="18"/>
              </w:rPr>
              <w:t>责任</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10</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jc w:val="center"/>
        </w:trPr>
        <w:tc>
          <w:tcPr>
            <w:tcW w:w="489" w:type="dxa"/>
            <w:vAlign w:val="center"/>
          </w:tcPr>
          <w:p>
            <w:pPr>
              <w:spacing w:before="131" w:line="180" w:lineRule="auto"/>
              <w:ind w:firstLine="207"/>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4493" w:type="dxa"/>
            <w:vAlign w:val="center"/>
          </w:tcPr>
          <w:p>
            <w:pPr>
              <w:spacing w:before="107" w:line="184" w:lineRule="auto"/>
              <w:ind w:firstLine="6"/>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从常用通道出入，出入通道及时上锁</w:t>
            </w:r>
          </w:p>
        </w:tc>
        <w:tc>
          <w:tcPr>
            <w:tcW w:w="3558" w:type="dxa"/>
            <w:vAlign w:val="center"/>
          </w:tcPr>
          <w:p>
            <w:pPr>
              <w:spacing w:before="122" w:line="184" w:lineRule="auto"/>
              <w:ind w:firstLine="1185"/>
              <w:rPr>
                <w:rFonts w:ascii="仿宋_GB2312" w:hAnsi="仿宋_GB2312" w:eastAsia="仿宋_GB2312" w:cs="仿宋_GB2312"/>
                <w:sz w:val="18"/>
                <w:szCs w:val="18"/>
              </w:rPr>
            </w:pPr>
            <w:r>
              <w:rPr>
                <w:rFonts w:hint="eastAsia" w:ascii="仿宋_GB2312" w:hAnsi="仿宋_GB2312" w:eastAsia="仿宋_GB2312" w:cs="仿宋_GB2312"/>
                <w:spacing w:val="-9"/>
                <w:sz w:val="18"/>
                <w:szCs w:val="18"/>
              </w:rPr>
              <w:t>未按要求扣1分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spacing w:line="352" w:lineRule="exact"/>
              <w:rPr>
                <w:rFonts w:ascii="仿宋_GB2312" w:hAnsi="仿宋_GB2312" w:eastAsia="仿宋_GB2312" w:cs="仿宋_GB2312"/>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489" w:type="dxa"/>
            <w:vAlign w:val="center"/>
          </w:tcPr>
          <w:p>
            <w:pPr>
              <w:spacing w:before="134" w:line="180" w:lineRule="auto"/>
              <w:ind w:firstLine="166"/>
              <w:rPr>
                <w:rFonts w:ascii="仿宋_GB2312" w:hAnsi="仿宋_GB2312" w:eastAsia="仿宋_GB2312" w:cs="仿宋_GB2312"/>
                <w:sz w:val="18"/>
                <w:szCs w:val="18"/>
              </w:rPr>
            </w:pPr>
            <w:r>
              <w:rPr>
                <w:rFonts w:hint="eastAsia" w:ascii="仿宋_GB2312" w:hAnsi="仿宋_GB2312" w:eastAsia="仿宋_GB2312" w:cs="仿宋_GB2312"/>
                <w:spacing w:val="-9"/>
                <w:w w:val="99"/>
                <w:sz w:val="18"/>
                <w:szCs w:val="18"/>
              </w:rPr>
              <w:t>10</w:t>
            </w:r>
          </w:p>
        </w:tc>
        <w:tc>
          <w:tcPr>
            <w:tcW w:w="4493" w:type="dxa"/>
            <w:vAlign w:val="center"/>
          </w:tcPr>
          <w:p>
            <w:pPr>
              <w:spacing w:before="110" w:line="184" w:lineRule="auto"/>
              <w:ind w:firstLine="10"/>
              <w:rPr>
                <w:rFonts w:ascii="仿宋_GB2312" w:hAnsi="仿宋_GB2312" w:eastAsia="仿宋_GB2312" w:cs="仿宋_GB2312"/>
                <w:sz w:val="18"/>
                <w:szCs w:val="18"/>
              </w:rPr>
            </w:pPr>
            <w:r>
              <w:rPr>
                <w:rFonts w:hint="eastAsia" w:ascii="仿宋_GB2312" w:hAnsi="仿宋_GB2312" w:eastAsia="仿宋_GB2312" w:cs="仿宋_GB2312"/>
                <w:spacing w:val="-18"/>
                <w:sz w:val="18"/>
                <w:szCs w:val="18"/>
              </w:rPr>
              <w:t>掌握治安、消防、暴力、自伤自杀、外走等突发事件的处置、</w:t>
            </w:r>
          </w:p>
          <w:p>
            <w:pPr>
              <w:spacing w:before="139" w:line="184" w:lineRule="auto"/>
              <w:ind w:firstLine="6"/>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上报流程</w:t>
            </w:r>
          </w:p>
        </w:tc>
        <w:tc>
          <w:tcPr>
            <w:tcW w:w="3558" w:type="dxa"/>
            <w:vAlign w:val="center"/>
          </w:tcPr>
          <w:p>
            <w:pPr>
              <w:spacing w:before="302" w:line="184" w:lineRule="auto"/>
              <w:ind w:firstLine="1015"/>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抽查不熟悉扣0.5分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35" w:line="180" w:lineRule="auto"/>
              <w:ind w:firstLine="166"/>
              <w:rPr>
                <w:rFonts w:ascii="仿宋_GB2312" w:hAnsi="仿宋_GB2312" w:eastAsia="仿宋_GB2312" w:cs="仿宋_GB2312"/>
                <w:sz w:val="18"/>
                <w:szCs w:val="18"/>
              </w:rPr>
            </w:pPr>
            <w:r>
              <w:rPr>
                <w:rFonts w:hint="eastAsia" w:ascii="仿宋_GB2312" w:hAnsi="仿宋_GB2312" w:eastAsia="仿宋_GB2312" w:cs="仿宋_GB2312"/>
                <w:spacing w:val="-9"/>
                <w:w w:val="99"/>
                <w:sz w:val="18"/>
                <w:szCs w:val="18"/>
              </w:rPr>
              <w:t>11</w:t>
            </w:r>
          </w:p>
        </w:tc>
        <w:tc>
          <w:tcPr>
            <w:tcW w:w="4493" w:type="dxa"/>
            <w:vAlign w:val="center"/>
          </w:tcPr>
          <w:p>
            <w:pPr>
              <w:spacing w:before="111" w:line="256" w:lineRule="auto"/>
              <w:ind w:left="4" w:right="1" w:hanging="4"/>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严禁私自给病人买任何物品，病区内未出现打火机、利器、绳索等危险物品</w:t>
            </w:r>
          </w:p>
        </w:tc>
        <w:tc>
          <w:tcPr>
            <w:tcW w:w="3558" w:type="dxa"/>
            <w:vAlign w:val="center"/>
          </w:tcPr>
          <w:p>
            <w:pPr>
              <w:spacing w:before="310" w:line="184" w:lineRule="auto"/>
              <w:ind w:firstLine="1015"/>
              <w:rPr>
                <w:rFonts w:ascii="仿宋_GB2312" w:hAnsi="仿宋_GB2312" w:eastAsia="仿宋_GB2312" w:cs="仿宋_GB2312"/>
                <w:sz w:val="18"/>
                <w:szCs w:val="18"/>
              </w:rPr>
            </w:pPr>
            <w:r>
              <w:rPr>
                <w:rFonts w:hint="eastAsia" w:ascii="仿宋_GB2312" w:hAnsi="仿宋_GB2312" w:eastAsia="仿宋_GB2312" w:cs="仿宋_GB2312"/>
                <w:spacing w:val="-8"/>
                <w:sz w:val="18"/>
                <w:szCs w:val="18"/>
              </w:rPr>
              <w:t>每发现一次扣1-5分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30"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12</w:t>
            </w:r>
          </w:p>
        </w:tc>
        <w:tc>
          <w:tcPr>
            <w:tcW w:w="4493" w:type="dxa"/>
            <w:vAlign w:val="center"/>
          </w:tcPr>
          <w:p>
            <w:pPr>
              <w:spacing w:before="107" w:line="184" w:lineRule="auto"/>
              <w:ind w:firstLine="3"/>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床单位整洁、物品摆放整齐</w:t>
            </w:r>
          </w:p>
        </w:tc>
        <w:tc>
          <w:tcPr>
            <w:tcW w:w="3558" w:type="dxa"/>
            <w:vAlign w:val="center"/>
          </w:tcPr>
          <w:p>
            <w:pPr>
              <w:spacing w:before="114" w:line="184" w:lineRule="auto"/>
              <w:ind w:firstLine="844"/>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发现不合格，每次扣1分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spacing w:line="350" w:lineRule="exac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23"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13</w:t>
            </w:r>
          </w:p>
        </w:tc>
        <w:tc>
          <w:tcPr>
            <w:tcW w:w="4493" w:type="dxa"/>
            <w:vAlign w:val="center"/>
          </w:tcPr>
          <w:p>
            <w:pPr>
              <w:spacing w:before="99" w:line="184" w:lineRule="auto"/>
              <w:ind w:firstLine="2"/>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便盆、尿壶使用后及时清洁消毒</w:t>
            </w:r>
          </w:p>
        </w:tc>
        <w:tc>
          <w:tcPr>
            <w:tcW w:w="3558" w:type="dxa"/>
            <w:vAlign w:val="center"/>
          </w:tcPr>
          <w:p>
            <w:pPr>
              <w:spacing w:before="143" w:line="184" w:lineRule="auto"/>
              <w:ind w:firstLine="1015"/>
              <w:rPr>
                <w:rFonts w:ascii="仿宋_GB2312" w:hAnsi="仿宋_GB2312" w:eastAsia="仿宋_GB2312" w:cs="仿宋_GB2312"/>
                <w:spacing w:val="-8"/>
                <w:sz w:val="18"/>
                <w:szCs w:val="18"/>
              </w:rPr>
            </w:pPr>
            <w:r>
              <w:rPr>
                <w:rFonts w:hint="eastAsia" w:ascii="仿宋_GB2312" w:hAnsi="仿宋_GB2312" w:eastAsia="仿宋_GB2312" w:cs="仿宋_GB2312"/>
                <w:spacing w:val="-8"/>
                <w:sz w:val="18"/>
                <w:szCs w:val="18"/>
              </w:rPr>
              <w:t>每发现一次扣0.5分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24"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14</w:t>
            </w:r>
          </w:p>
        </w:tc>
        <w:tc>
          <w:tcPr>
            <w:tcW w:w="4493" w:type="dxa"/>
            <w:vAlign w:val="center"/>
          </w:tcPr>
          <w:p>
            <w:pPr>
              <w:spacing w:before="101" w:line="184" w:lineRule="auto"/>
              <w:ind w:firstLine="8"/>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无清洁工时段，病区内环境卫生达标，使用专用工具清洁</w:t>
            </w:r>
          </w:p>
        </w:tc>
        <w:tc>
          <w:tcPr>
            <w:tcW w:w="3558" w:type="dxa"/>
            <w:vAlign w:val="center"/>
          </w:tcPr>
          <w:p>
            <w:pPr>
              <w:spacing w:before="146" w:line="184" w:lineRule="auto"/>
              <w:ind w:firstLine="19"/>
              <w:rPr>
                <w:rFonts w:ascii="仿宋_GB2312" w:hAnsi="仿宋_GB2312" w:eastAsia="仿宋_GB2312" w:cs="仿宋_GB2312"/>
                <w:spacing w:val="-8"/>
                <w:sz w:val="18"/>
                <w:szCs w:val="18"/>
              </w:rPr>
            </w:pPr>
            <w:r>
              <w:rPr>
                <w:rFonts w:hint="eastAsia" w:ascii="仿宋_GB2312" w:hAnsi="仿宋_GB2312" w:eastAsia="仿宋_GB2312" w:cs="仿宋_GB2312"/>
                <w:spacing w:val="-8"/>
                <w:w w:val="97"/>
                <w:sz w:val="18"/>
                <w:szCs w:val="18"/>
              </w:rPr>
              <w:t>未及时清洁扣0.5分，未使用专用工具，扣1分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26"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15</w:t>
            </w:r>
          </w:p>
        </w:tc>
        <w:tc>
          <w:tcPr>
            <w:tcW w:w="4493" w:type="dxa"/>
            <w:vAlign w:val="center"/>
          </w:tcPr>
          <w:p>
            <w:pPr>
              <w:spacing w:before="103" w:line="184" w:lineRule="auto"/>
              <w:ind w:firstLine="3"/>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按科内要求参加会议及业务培训</w:t>
            </w:r>
          </w:p>
        </w:tc>
        <w:tc>
          <w:tcPr>
            <w:tcW w:w="3558" w:type="dxa"/>
            <w:vAlign w:val="center"/>
          </w:tcPr>
          <w:p>
            <w:pPr>
              <w:spacing w:before="122" w:line="184" w:lineRule="auto"/>
              <w:ind w:firstLine="425"/>
              <w:rPr>
                <w:rFonts w:ascii="仿宋_GB2312" w:hAnsi="仿宋_GB2312" w:eastAsia="仿宋_GB2312" w:cs="仿宋_GB2312"/>
                <w:spacing w:val="-8"/>
                <w:sz w:val="18"/>
                <w:szCs w:val="18"/>
              </w:rPr>
            </w:pPr>
            <w:r>
              <w:rPr>
                <w:rFonts w:hint="eastAsia" w:ascii="仿宋_GB2312" w:hAnsi="仿宋_GB2312" w:eastAsia="仿宋_GB2312" w:cs="仿宋_GB2312"/>
                <w:spacing w:val="-9"/>
                <w:sz w:val="18"/>
                <w:szCs w:val="18"/>
              </w:rPr>
              <w:t>无故缺席会议或培训，每次扣0.2分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spacing w:line="360" w:lineRule="exac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29"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16</w:t>
            </w:r>
          </w:p>
        </w:tc>
        <w:tc>
          <w:tcPr>
            <w:tcW w:w="4493" w:type="dxa"/>
            <w:vAlign w:val="center"/>
          </w:tcPr>
          <w:p>
            <w:pPr>
              <w:spacing w:before="110" w:line="256" w:lineRule="auto"/>
              <w:ind w:left="8" w:right="28" w:firstLine="16"/>
              <w:rPr>
                <w:rFonts w:ascii="仿宋_GB2312" w:hAnsi="仿宋_GB2312" w:eastAsia="仿宋_GB2312" w:cs="仿宋_GB2312"/>
                <w:spacing w:val="-8"/>
                <w:sz w:val="18"/>
                <w:szCs w:val="18"/>
              </w:rPr>
            </w:pPr>
            <w:r>
              <w:rPr>
                <w:rFonts w:hint="eastAsia" w:ascii="仿宋_GB2312" w:hAnsi="仿宋_GB2312" w:eastAsia="仿宋_GB2312" w:cs="仿宋_GB2312"/>
                <w:spacing w:val="-10"/>
                <w:sz w:val="18"/>
                <w:szCs w:val="18"/>
              </w:rPr>
              <w:t>当班期间，无因工作态度、工作质量等原因被有效投诉（索</w:t>
            </w:r>
            <w:r>
              <w:rPr>
                <w:rFonts w:hint="eastAsia" w:ascii="仿宋_GB2312" w:hAnsi="仿宋_GB2312" w:eastAsia="仿宋_GB2312" w:cs="仿宋_GB2312"/>
                <w:spacing w:val="-9"/>
                <w:sz w:val="18"/>
                <w:szCs w:val="18"/>
              </w:rPr>
              <w:t>要红包、打骂、私自约束患者等）</w:t>
            </w:r>
          </w:p>
        </w:tc>
        <w:tc>
          <w:tcPr>
            <w:tcW w:w="3558" w:type="dxa"/>
            <w:vAlign w:val="center"/>
          </w:tcPr>
          <w:p>
            <w:pPr>
              <w:spacing w:before="134" w:line="257" w:lineRule="auto"/>
              <w:ind w:left="1099" w:hanging="1080"/>
              <w:rPr>
                <w:rFonts w:ascii="仿宋_GB2312" w:hAnsi="仿宋_GB2312" w:eastAsia="仿宋_GB2312" w:cs="仿宋_GB2312"/>
                <w:spacing w:val="-8"/>
                <w:sz w:val="18"/>
                <w:szCs w:val="18"/>
              </w:rPr>
            </w:pPr>
            <w:r>
              <w:rPr>
                <w:rFonts w:hint="eastAsia" w:ascii="仿宋_GB2312" w:hAnsi="仿宋_GB2312" w:eastAsia="仿宋_GB2312" w:cs="仿宋_GB2312"/>
                <w:spacing w:val="-12"/>
                <w:sz w:val="18"/>
                <w:szCs w:val="18"/>
              </w:rPr>
              <w:t>每次有效投诉扣1-5分，情节严重者，立即辞退</w:t>
            </w:r>
            <w:r>
              <w:rPr>
                <w:rFonts w:hint="eastAsia" w:ascii="仿宋_GB2312" w:hAnsi="仿宋_GB2312" w:eastAsia="仿宋_GB2312" w:cs="仿宋_GB2312"/>
                <w:spacing w:val="-10"/>
                <w:sz w:val="18"/>
                <w:szCs w:val="18"/>
              </w:rPr>
              <w:t>并追究其法律责任</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5</w:t>
            </w:r>
          </w:p>
        </w:tc>
        <w:tc>
          <w:tcPr>
            <w:tcW w:w="716" w:type="dxa"/>
            <w:vAlign w:val="center"/>
          </w:tcPr>
          <w:p>
            <w:pP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atLeast"/>
          <w:jc w:val="center"/>
        </w:trPr>
        <w:tc>
          <w:tcPr>
            <w:tcW w:w="489" w:type="dxa"/>
            <w:vAlign w:val="center"/>
          </w:tcPr>
          <w:p>
            <w:pPr>
              <w:spacing w:before="133" w:line="180" w:lineRule="auto"/>
              <w:ind w:firstLine="166"/>
              <w:rPr>
                <w:rFonts w:ascii="仿宋_GB2312" w:hAnsi="仿宋_GB2312" w:eastAsia="仿宋_GB2312" w:cs="仿宋_GB2312"/>
                <w:spacing w:val="-9"/>
                <w:w w:val="99"/>
                <w:sz w:val="18"/>
                <w:szCs w:val="18"/>
              </w:rPr>
            </w:pPr>
            <w:r>
              <w:rPr>
                <w:rFonts w:hint="eastAsia" w:ascii="仿宋_GB2312" w:hAnsi="仿宋_GB2312" w:eastAsia="仿宋_GB2312" w:cs="仿宋_GB2312"/>
                <w:spacing w:val="-9"/>
                <w:w w:val="99"/>
                <w:sz w:val="18"/>
                <w:szCs w:val="18"/>
              </w:rPr>
              <w:t>17</w:t>
            </w:r>
          </w:p>
        </w:tc>
        <w:tc>
          <w:tcPr>
            <w:tcW w:w="4493" w:type="dxa"/>
            <w:vAlign w:val="center"/>
          </w:tcPr>
          <w:p>
            <w:pPr>
              <w:spacing w:before="109" w:line="184" w:lineRule="auto"/>
              <w:ind w:firstLine="10"/>
              <w:rPr>
                <w:rFonts w:ascii="仿宋_GB2312" w:hAnsi="仿宋_GB2312" w:eastAsia="仿宋_GB2312" w:cs="仿宋_GB2312"/>
                <w:spacing w:val="-8"/>
                <w:sz w:val="18"/>
                <w:szCs w:val="18"/>
              </w:rPr>
            </w:pPr>
            <w:r>
              <w:rPr>
                <w:rFonts w:hint="eastAsia" w:ascii="仿宋_GB2312" w:hAnsi="仿宋_GB2312" w:eastAsia="仿宋_GB2312" w:cs="仿宋_GB2312"/>
                <w:spacing w:val="-8"/>
                <w:sz w:val="18"/>
                <w:szCs w:val="18"/>
              </w:rPr>
              <w:t>违反医院相关规定</w:t>
            </w:r>
          </w:p>
        </w:tc>
        <w:tc>
          <w:tcPr>
            <w:tcW w:w="3558" w:type="dxa"/>
            <w:vAlign w:val="center"/>
          </w:tcPr>
          <w:p>
            <w:pPr>
              <w:spacing w:before="121" w:line="184" w:lineRule="auto"/>
              <w:ind w:firstLine="510"/>
              <w:rPr>
                <w:rFonts w:ascii="仿宋_GB2312" w:hAnsi="仿宋_GB2312" w:eastAsia="仿宋_GB2312" w:cs="仿宋_GB2312"/>
                <w:spacing w:val="-8"/>
                <w:sz w:val="18"/>
                <w:szCs w:val="18"/>
              </w:rPr>
            </w:pPr>
            <w:r>
              <w:rPr>
                <w:rFonts w:hint="eastAsia" w:ascii="仿宋_GB2312" w:hAnsi="仿宋_GB2312" w:eastAsia="仿宋_GB2312" w:cs="仿宋_GB2312"/>
                <w:spacing w:val="-8"/>
                <w:sz w:val="18"/>
                <w:szCs w:val="18"/>
              </w:rPr>
              <w:t>视情节严重情况扣罚1-10分</w:t>
            </w:r>
          </w:p>
        </w:tc>
        <w:tc>
          <w:tcPr>
            <w:tcW w:w="716" w:type="dxa"/>
            <w:vAlign w:val="center"/>
          </w:tcPr>
          <w:p>
            <w:pPr>
              <w:spacing w:before="107" w:line="184" w:lineRule="auto"/>
              <w:ind w:firstLine="3"/>
              <w:jc w:val="center"/>
              <w:rPr>
                <w:rFonts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10</w:t>
            </w:r>
          </w:p>
        </w:tc>
        <w:tc>
          <w:tcPr>
            <w:tcW w:w="716" w:type="dxa"/>
            <w:vAlign w:val="center"/>
          </w:tcPr>
          <w:p>
            <w:pPr>
              <w:spacing w:line="349" w:lineRule="exact"/>
              <w:rPr>
                <w:rFonts w:ascii="仿宋_GB2312" w:hAnsi="仿宋_GB2312" w:eastAsia="仿宋_GB2312" w:cs="仿宋_GB2312"/>
              </w:rPr>
            </w:pPr>
          </w:p>
        </w:tc>
      </w:tr>
    </w:tbl>
    <w:p>
      <w:pPr>
        <w:sectPr>
          <w:headerReference r:id="rId5" w:type="default"/>
          <w:footerReference r:id="rId6" w:type="default"/>
          <w:pgSz w:w="11906" w:h="16839"/>
          <w:pgMar w:top="1701" w:right="1317" w:bottom="1087" w:left="1317" w:header="1427" w:footer="919" w:gutter="0"/>
          <w:cols w:space="720" w:num="1"/>
        </w:sectPr>
      </w:pPr>
    </w:p>
    <w:p>
      <w:pPr>
        <w:spacing w:line="560" w:lineRule="exact"/>
        <w:ind w:firstLine="640" w:firstLineChars="200"/>
        <w:rPr>
          <w:rFonts w:ascii="仿宋_GB2312" w:hAnsi="仿宋_GB2312" w:eastAsia="仿宋_GB2312" w:cs="仿宋_GB2312"/>
          <w:kern w:val="0"/>
          <w:sz w:val="32"/>
          <w:szCs w:val="32"/>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三） 医院陪护服务内容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1.基本要求</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1） 陪护人员素质要求</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身体健康，相貌端正，初中以上文化程度，年龄在 55 </w:t>
      </w:r>
      <w:r>
        <w:rPr>
          <w:rFonts w:hint="eastAsia" w:ascii="仿宋_GB2312" w:hAnsi="仿宋_GB2312" w:eastAsia="仿宋_GB2312" w:cs="仿宋_GB2312"/>
          <w:kern w:val="0"/>
          <w:sz w:val="32"/>
          <w:szCs w:val="32"/>
        </w:rPr>
        <w:t>周</w:t>
      </w:r>
      <w:r>
        <w:rPr>
          <w:rFonts w:hint="eastAsia" w:ascii="仿宋_GB2312" w:hAnsi="仿宋_GB2312" w:eastAsia="仿宋_GB2312" w:cs="仿宋_GB2312"/>
          <w:kern w:val="0"/>
          <w:sz w:val="32"/>
          <w:szCs w:val="32"/>
          <w:lang w:val="zh-CN"/>
        </w:rPr>
        <w:t>岁以下，自愿从事陪护工作，不怕脏，工作积极主动，有爱心者。有护理经验者优先考虑。通过健康体检（费用自理） 、面试合格后进行培训。对考核不合格的陪护人员可以随时更换。</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（2）岗前培训</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由公司组织培训，培训内容包括：职业道德规范，</w:t>
      </w:r>
      <w:r>
        <w:rPr>
          <w:rFonts w:hint="eastAsia" w:ascii="仿宋_GB2312" w:hAnsi="仿宋_GB2312" w:eastAsia="仿宋_GB2312" w:cs="仿宋_GB2312"/>
          <w:kern w:val="0"/>
          <w:sz w:val="32"/>
          <w:szCs w:val="32"/>
        </w:rPr>
        <w:t>礼节礼貌，服务意识，</w:t>
      </w:r>
      <w:r>
        <w:rPr>
          <w:rFonts w:hint="eastAsia" w:ascii="仿宋_GB2312" w:hAnsi="仿宋_GB2312" w:eastAsia="仿宋_GB2312" w:cs="仿宋_GB2312"/>
          <w:kern w:val="0"/>
          <w:sz w:val="32"/>
          <w:szCs w:val="32"/>
          <w:lang w:val="zh-CN"/>
        </w:rPr>
        <w:t>医院规章制度，陪护人员工作职责，基础护理技能如：喂食、病人搬运法、床上擦澡法、翻身拍背的方法、便器的使用、配合护士为卧床病人更换衣服、更换卧位、更换床单法以及应急处理（如发生窒息的紧急处理等）。另</w:t>
      </w:r>
      <w:r>
        <w:rPr>
          <w:rFonts w:hint="eastAsia" w:ascii="仿宋_GB2312" w:hAnsi="仿宋_GB2312" w:eastAsia="仿宋_GB2312" w:cs="仿宋_GB2312"/>
          <w:kern w:val="0"/>
          <w:sz w:val="32"/>
          <w:szCs w:val="32"/>
        </w:rPr>
        <w:t>外</w:t>
      </w:r>
      <w:r>
        <w:rPr>
          <w:rFonts w:hint="eastAsia" w:ascii="仿宋_GB2312" w:hAnsi="仿宋_GB2312" w:eastAsia="仿宋_GB2312" w:cs="仿宋_GB2312"/>
          <w:kern w:val="0"/>
          <w:sz w:val="32"/>
          <w:szCs w:val="32"/>
          <w:lang w:val="zh-CN"/>
        </w:rPr>
        <w:t>还包括卫生洗手，一次性物品的使用管理知识及一般消毒隔离知识、掌握生活垃圾、医疗垃圾分类处理、专科护理知识和技能、</w:t>
      </w:r>
      <w:r>
        <w:rPr>
          <w:rFonts w:hint="eastAsia" w:ascii="仿宋_GB2312" w:hAnsi="仿宋_GB2312" w:eastAsia="仿宋_GB2312" w:cs="仿宋_GB2312"/>
          <w:kern w:val="0"/>
          <w:sz w:val="32"/>
          <w:szCs w:val="32"/>
        </w:rPr>
        <w:t>疫情防控知识和技能等</w:t>
      </w:r>
      <w:r>
        <w:rPr>
          <w:rFonts w:hint="eastAsia" w:ascii="仿宋_GB2312" w:hAnsi="仿宋_GB2312" w:eastAsia="仿宋_GB2312" w:cs="仿宋_GB2312"/>
          <w:kern w:val="0"/>
          <w:sz w:val="32"/>
          <w:szCs w:val="32"/>
          <w:lang w:val="zh-CN"/>
        </w:rPr>
        <w:t>。培训结束进行考核，考核合格后由陪护公司发放陪护员上岗证。</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定期</w:t>
      </w:r>
      <w:r>
        <w:rPr>
          <w:rFonts w:hint="eastAsia" w:ascii="仿宋_GB2312" w:hAnsi="仿宋_GB2312" w:eastAsia="仿宋_GB2312" w:cs="仿宋_GB2312"/>
          <w:kern w:val="0"/>
          <w:sz w:val="32"/>
          <w:szCs w:val="32"/>
          <w:lang w:val="zh-CN"/>
        </w:rPr>
        <w:t>培训考核</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陪护人员上岗后，仍需定期组织培训，定期考核，尤其是</w:t>
      </w:r>
      <w:r>
        <w:rPr>
          <w:rFonts w:hint="eastAsia" w:ascii="仿宋_GB2312" w:hAnsi="仿宋_GB2312" w:eastAsia="仿宋_GB2312" w:cs="仿宋_GB2312"/>
          <w:kern w:val="0"/>
          <w:sz w:val="32"/>
          <w:szCs w:val="32"/>
        </w:rPr>
        <w:t>科室主任、护士长及</w:t>
      </w:r>
      <w:r>
        <w:rPr>
          <w:rFonts w:hint="eastAsia" w:ascii="仿宋_GB2312" w:hAnsi="仿宋_GB2312" w:eastAsia="仿宋_GB2312" w:cs="仿宋_GB2312"/>
          <w:kern w:val="0"/>
          <w:sz w:val="32"/>
          <w:szCs w:val="32"/>
          <w:lang w:val="zh-CN"/>
        </w:rPr>
        <w:t>病人</w:t>
      </w:r>
      <w:r>
        <w:rPr>
          <w:rFonts w:hint="eastAsia" w:ascii="仿宋_GB2312" w:hAnsi="仿宋_GB2312" w:eastAsia="仿宋_GB2312" w:cs="仿宋_GB2312"/>
          <w:kern w:val="0"/>
          <w:sz w:val="32"/>
          <w:szCs w:val="32"/>
        </w:rPr>
        <w:t>反映</w:t>
      </w:r>
      <w:r>
        <w:rPr>
          <w:rFonts w:hint="eastAsia" w:ascii="仿宋_GB2312" w:hAnsi="仿宋_GB2312" w:eastAsia="仿宋_GB2312" w:cs="仿宋_GB2312"/>
          <w:kern w:val="0"/>
          <w:sz w:val="32"/>
          <w:szCs w:val="32"/>
          <w:lang w:val="zh-CN"/>
        </w:rPr>
        <w:t>较大的</w:t>
      </w:r>
      <w:r>
        <w:rPr>
          <w:rFonts w:hint="eastAsia" w:ascii="仿宋_GB2312" w:hAnsi="仿宋_GB2312" w:eastAsia="仿宋_GB2312" w:cs="仿宋_GB2312"/>
          <w:kern w:val="0"/>
          <w:sz w:val="32"/>
          <w:szCs w:val="32"/>
        </w:rPr>
        <w:t>服务较差</w:t>
      </w:r>
      <w:r>
        <w:rPr>
          <w:rFonts w:hint="eastAsia" w:ascii="仿宋_GB2312" w:hAnsi="仿宋_GB2312" w:eastAsia="仿宋_GB2312" w:cs="仿宋_GB2312"/>
          <w:kern w:val="0"/>
          <w:sz w:val="32"/>
          <w:szCs w:val="32"/>
          <w:lang w:val="zh-CN"/>
        </w:rPr>
        <w:t>人员，培训内容包括岗前培训知识及实际工作中缺陷。</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工作内容</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（1）公司根据科室及患者需求，为住院患者提供 “一对一”或 “一对多”陪护服务。</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1.1“一对一”服务内容： 为住院患者提供 24 小时在位的陪护服务，含生活照护(喂食、喂药、床上翻身、 口腔护理、温水 擦浴、洗脸、洗头、洗脚、洗澡、大小便、更换衣物、床单等)及其他需要他人协助的服务。</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1.2“一对多”服务内容： 在每个有需求的临床科室安排固定工作人员，为患者提供更换衣物、床单、陪检、会诊申请单、 检查申请单的取送，在完成本职工作的同时，协助科室完成病历等物品单运送工作。</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（2）临床科室手术、检查患者搬运，无菌器械的收、送工作，标本、药品领取，病历、会诊单，手术通知单的取送；服务时间要求24小时不间断服务。</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（3）正常工作时段每天不少于 4 次为全院收取检验标本，非 正常工作时段如中午、夜间、急诊等随时取送标本以及前往药房为有需要的临床科室取药。</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（4）便捷服务设备提供：为门诊及住院患者提供便捷设施设备服务，设施设备由公司提供，后期的维修、保养、更新由公司自行负责。</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988"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分类名称</w:t>
            </w:r>
          </w:p>
        </w:tc>
        <w:tc>
          <w:tcPr>
            <w:tcW w:w="5940"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租赁价格（元/小时）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轮椅租赁</w:t>
            </w:r>
          </w:p>
        </w:tc>
        <w:tc>
          <w:tcPr>
            <w:tcW w:w="5940"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拐杖租赁</w:t>
            </w:r>
          </w:p>
        </w:tc>
        <w:tc>
          <w:tcPr>
            <w:tcW w:w="5940"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平车租赁</w:t>
            </w:r>
          </w:p>
        </w:tc>
        <w:tc>
          <w:tcPr>
            <w:tcW w:w="5940"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助行器租赁</w:t>
            </w:r>
          </w:p>
        </w:tc>
        <w:tc>
          <w:tcPr>
            <w:tcW w:w="5940" w:type="dxa"/>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8" w:type="dxa"/>
            <w:gridSpan w:val="2"/>
          </w:tcPr>
          <w:p>
            <w:pPr>
              <w:spacing w:before="261" w:line="334" w:lineRule="auto"/>
              <w:jc w:val="center"/>
              <w:rPr>
                <w:rFonts w:ascii="仿宋_GB2312" w:hAnsi="仿宋_GB2312" w:eastAsia="仿宋_GB2312" w:cs="仿宋_GB2312"/>
                <w:b/>
                <w:bCs/>
                <w:color w:val="FF0000"/>
                <w:spacing w:val="-8"/>
                <w:szCs w:val="21"/>
              </w:rPr>
            </w:pPr>
            <w:r>
              <w:rPr>
                <w:rFonts w:hint="eastAsia" w:ascii="仿宋_GB2312" w:hAnsi="仿宋_GB2312" w:eastAsia="仿宋_GB2312" w:cs="仿宋_GB2312"/>
                <w:b/>
                <w:bCs/>
                <w:color w:val="FF0000"/>
                <w:spacing w:val="-8"/>
                <w:szCs w:val="21"/>
              </w:rPr>
              <w:t>备注：封顶24小时按20元认定收费</w:t>
            </w:r>
          </w:p>
        </w:tc>
      </w:tr>
    </w:tbl>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3.管理方法</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（1）实行双轨制考核</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建立健全管理制度，对陪护人员实施统一管理，由公司与陪护签订用工协议。协议上注明陪护人员同时接受医院护理部与科室的管理、指导及考核。由公司制定管理办法及考核细则，包括陪护人员职业道德、劳动纪律、工作态度、工作内容、工作质量、业务能力及病人满意度等方面内容。由公司负责对陪护</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zh-CN"/>
        </w:rPr>
        <w:t>员的聘用，并将陪护人员纳入医院感染管理体系，统一发放工作服（应不同于护工的工作服），服装由公司制作提供。工作时陪护人员统一着装，戴工作牌上岗，公司陪护人员送取标本的手套、整理箱、标本箱、登记本等一切物资由公司自行准备。 医院护理部有权根据有关条款单方面辞退不合格的陪护人员，以确保工作质量和队伍素质。</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（2）分管病人方式</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护士根据病人的实际需要，通知公司派工。公司根据病人实际情况派出合适的陪护。分管病人根据具体情况实施等级护理。禁止私自接受护理其他病人，避免服务质量下降。重病人实行一对一服务，轻病人则一人分管 2～3个病人，一对一则全面负责病人的生活照顾及看护工作，陪同检查，陪同下床活动，在护士指导下做好病人的肢体被动活动，协助</w:t>
      </w:r>
      <w:r>
        <w:rPr>
          <w:rFonts w:hint="eastAsia" w:ascii="仿宋_GB2312" w:hAnsi="仿宋_GB2312" w:eastAsia="仿宋_GB2312" w:cs="仿宋_GB2312"/>
          <w:kern w:val="0"/>
          <w:sz w:val="32"/>
          <w:szCs w:val="32"/>
        </w:rPr>
        <w:t>患者</w:t>
      </w:r>
      <w:r>
        <w:rPr>
          <w:rFonts w:hint="eastAsia" w:ascii="仿宋_GB2312" w:hAnsi="仿宋_GB2312" w:eastAsia="仿宋_GB2312" w:cs="仿宋_GB2312"/>
          <w:kern w:val="0"/>
          <w:sz w:val="32"/>
          <w:szCs w:val="32"/>
          <w:lang w:val="zh-CN"/>
        </w:rPr>
        <w:t>洗头、擦澡、更换病员服等。严禁陪护人员代替护士做技术性操作。要求陪护人员多与医护人员沟通，及时正确反映病人的情况。</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(3)费用支付方法</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★根据提供的不同等级护理执行不同收费标准（参照标准：一对一陪护：200元/人/天；一对多陪护：100元/人/天），陪护费不得高于我院参照标准。做到按需服务，按劳取酬。既满足</w:t>
      </w:r>
      <w:r>
        <w:rPr>
          <w:rFonts w:hint="eastAsia" w:ascii="仿宋_GB2312" w:hAnsi="仿宋_GB2312" w:eastAsia="仿宋_GB2312" w:cs="仿宋_GB2312"/>
          <w:kern w:val="0"/>
          <w:sz w:val="32"/>
          <w:szCs w:val="32"/>
        </w:rPr>
        <w:t>病人</w:t>
      </w:r>
      <w:r>
        <w:rPr>
          <w:rFonts w:hint="eastAsia" w:ascii="仿宋_GB2312" w:hAnsi="仿宋_GB2312" w:eastAsia="仿宋_GB2312" w:cs="仿宋_GB2312"/>
          <w:kern w:val="0"/>
          <w:sz w:val="32"/>
          <w:szCs w:val="32"/>
          <w:lang w:val="zh-CN"/>
        </w:rPr>
        <w:t>需要，又减轻</w:t>
      </w:r>
      <w:r>
        <w:rPr>
          <w:rFonts w:hint="eastAsia" w:ascii="仿宋_GB2312" w:hAnsi="仿宋_GB2312" w:eastAsia="仿宋_GB2312" w:cs="仿宋_GB2312"/>
          <w:kern w:val="0"/>
          <w:sz w:val="32"/>
          <w:szCs w:val="32"/>
        </w:rPr>
        <w:t>病人</w:t>
      </w:r>
      <w:r>
        <w:rPr>
          <w:rFonts w:hint="eastAsia" w:ascii="仿宋_GB2312" w:hAnsi="仿宋_GB2312" w:eastAsia="仿宋_GB2312" w:cs="仿宋_GB2312"/>
          <w:kern w:val="0"/>
          <w:sz w:val="32"/>
          <w:szCs w:val="32"/>
          <w:lang w:val="zh-CN"/>
        </w:rPr>
        <w:t>家庭经济负担。</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（4）签订用工协议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公司与有陪护需求病人或其家属签订陪护协议，以文字形式明确服务内容以及赔偿范围。病人在住院期间如因陪护不周而发生意外伤害，公司</w:t>
      </w:r>
      <w:r>
        <w:rPr>
          <w:rFonts w:hint="eastAsia" w:ascii="仿宋_GB2312" w:hAnsi="仿宋_GB2312" w:eastAsia="仿宋_GB2312" w:cs="仿宋_GB2312"/>
          <w:kern w:val="0"/>
          <w:sz w:val="32"/>
          <w:szCs w:val="32"/>
        </w:rPr>
        <w:t>应当承担全部赔偿责任</w:t>
      </w:r>
      <w:r>
        <w:rPr>
          <w:rFonts w:hint="eastAsia" w:ascii="仿宋_GB2312" w:hAnsi="仿宋_GB2312" w:eastAsia="仿宋_GB2312" w:cs="仿宋_GB2312"/>
          <w:kern w:val="0"/>
          <w:sz w:val="32"/>
          <w:szCs w:val="32"/>
          <w:lang w:val="zh-CN"/>
        </w:rPr>
        <w:t>。</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（5）满意度调查</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★病人住院期间，管理人员不定期进行满意度调查，出院当</w:t>
      </w:r>
    </w:p>
    <w:p>
      <w:pPr>
        <w:spacing w:line="560" w:lineRule="exac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天，发放满意度调查表，了解病人对该陪护工作情况的反馈，对不足之处进行针对性的改进。</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（6）陪护人员工作质量评价</w:t>
      </w:r>
    </w:p>
    <w:p>
      <w:pPr>
        <w:spacing w:before="263" w:line="334" w:lineRule="auto"/>
        <w:rPr>
          <w:rFonts w:ascii="仿宋" w:hAnsi="仿宋" w:eastAsia="仿宋" w:cs="仿宋"/>
          <w:spacing w:val="-6"/>
          <w:sz w:val="32"/>
          <w:szCs w:val="32"/>
        </w:rPr>
      </w:pPr>
    </w:p>
    <w:p>
      <w:pPr>
        <w:spacing w:before="263" w:line="334" w:lineRule="auto"/>
        <w:rPr>
          <w:rFonts w:ascii="仿宋" w:hAnsi="仿宋" w:eastAsia="仿宋" w:cs="仿宋"/>
          <w:spacing w:val="-6"/>
          <w:sz w:val="32"/>
          <w:szCs w:val="32"/>
        </w:rPr>
      </w:pPr>
    </w:p>
    <w:p>
      <w:pPr>
        <w:spacing w:before="263" w:line="334" w:lineRule="auto"/>
        <w:rPr>
          <w:rFonts w:ascii="仿宋" w:hAnsi="仿宋" w:eastAsia="仿宋" w:cs="仿宋"/>
          <w:spacing w:val="-6"/>
          <w:sz w:val="32"/>
          <w:szCs w:val="32"/>
        </w:rPr>
      </w:pPr>
    </w:p>
    <w:p>
      <w:pPr>
        <w:spacing w:before="263" w:line="334" w:lineRule="auto"/>
        <w:rPr>
          <w:rFonts w:ascii="仿宋" w:hAnsi="仿宋" w:eastAsia="仿宋" w:cs="仿宋"/>
          <w:spacing w:val="-6"/>
          <w:sz w:val="32"/>
          <w:szCs w:val="32"/>
        </w:rPr>
        <w:sectPr>
          <w:headerReference r:id="rId7" w:type="default"/>
          <w:footerReference r:id="rId8" w:type="default"/>
          <w:pgSz w:w="11906" w:h="16839"/>
          <w:pgMar w:top="1701" w:right="1345" w:bottom="1202" w:left="1588" w:header="1427" w:footer="920" w:gutter="0"/>
          <w:cols w:space="720" w:num="1"/>
        </w:sectPr>
      </w:pPr>
    </w:p>
    <w:tbl>
      <w:tblPr>
        <w:tblStyle w:val="20"/>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70"/>
        <w:gridCol w:w="6238"/>
        <w:gridCol w:w="896"/>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070" w:type="dxa"/>
            <w:vAlign w:val="center"/>
          </w:tcPr>
          <w:p>
            <w:pPr>
              <w:spacing w:before="144" w:line="300" w:lineRule="exact"/>
              <w:jc w:val="center"/>
              <w:rPr>
                <w:rFonts w:ascii="仿宋" w:hAnsi="仿宋" w:eastAsia="仿宋" w:cs="仿宋"/>
              </w:rPr>
            </w:pPr>
            <w:r>
              <w:rPr>
                <w:rFonts w:hint="eastAsia" w:ascii="仿宋" w:hAnsi="仿宋" w:eastAsia="仿宋" w:cs="仿宋"/>
                <w:spacing w:val="-3"/>
                <w:position w:val="8"/>
              </w:rPr>
              <w:t>考核</w:t>
            </w:r>
          </w:p>
          <w:p>
            <w:pPr>
              <w:spacing w:line="204" w:lineRule="auto"/>
              <w:jc w:val="center"/>
              <w:rPr>
                <w:rFonts w:ascii="仿宋" w:hAnsi="仿宋" w:eastAsia="仿宋" w:cs="仿宋"/>
              </w:rPr>
            </w:pPr>
            <w:r>
              <w:rPr>
                <w:rFonts w:hint="eastAsia" w:ascii="仿宋" w:hAnsi="仿宋" w:eastAsia="仿宋" w:cs="仿宋"/>
                <w:spacing w:val="-5"/>
              </w:rPr>
              <w:t>项目</w:t>
            </w:r>
          </w:p>
        </w:tc>
        <w:tc>
          <w:tcPr>
            <w:tcW w:w="6238" w:type="dxa"/>
            <w:vAlign w:val="center"/>
          </w:tcPr>
          <w:p>
            <w:pPr>
              <w:spacing w:before="294" w:line="184" w:lineRule="auto"/>
              <w:jc w:val="center"/>
              <w:rPr>
                <w:rFonts w:ascii="仿宋" w:hAnsi="仿宋" w:eastAsia="仿宋" w:cs="仿宋"/>
              </w:rPr>
            </w:pPr>
            <w:r>
              <w:rPr>
                <w:rFonts w:hint="eastAsia" w:ascii="仿宋" w:hAnsi="仿宋" w:eastAsia="仿宋" w:cs="仿宋"/>
              </w:rPr>
              <w:t>质量标准</w:t>
            </w:r>
          </w:p>
        </w:tc>
        <w:tc>
          <w:tcPr>
            <w:tcW w:w="896" w:type="dxa"/>
            <w:vAlign w:val="center"/>
          </w:tcPr>
          <w:p>
            <w:pPr>
              <w:spacing w:before="294" w:line="184" w:lineRule="auto"/>
              <w:jc w:val="center"/>
              <w:rPr>
                <w:rFonts w:ascii="仿宋" w:hAnsi="仿宋" w:eastAsia="仿宋" w:cs="仿宋"/>
              </w:rPr>
            </w:pPr>
            <w:r>
              <w:rPr>
                <w:rFonts w:hint="eastAsia" w:ascii="仿宋" w:hAnsi="仿宋" w:eastAsia="仿宋" w:cs="仿宋"/>
              </w:rPr>
              <w:t>标标准分</w:t>
            </w:r>
          </w:p>
        </w:tc>
        <w:tc>
          <w:tcPr>
            <w:tcW w:w="913" w:type="dxa"/>
            <w:vAlign w:val="center"/>
          </w:tcPr>
          <w:p>
            <w:pPr>
              <w:spacing w:before="294" w:line="184" w:lineRule="auto"/>
              <w:jc w:val="center"/>
              <w:rPr>
                <w:rFonts w:ascii="仿宋" w:hAnsi="仿宋" w:eastAsia="仿宋" w:cs="仿宋"/>
              </w:rPr>
            </w:pPr>
            <w:r>
              <w:rPr>
                <w:rFonts w:hint="eastAsia" w:ascii="仿宋" w:hAnsi="仿宋" w:eastAsia="仿宋" w:cs="仿宋"/>
              </w:rPr>
              <w:t>扣分情况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070" w:type="dxa"/>
            <w:vMerge w:val="restart"/>
            <w:vAlign w:val="center"/>
          </w:tcPr>
          <w:p>
            <w:pPr>
              <w:spacing w:before="286" w:line="184" w:lineRule="auto"/>
              <w:jc w:val="center"/>
              <w:rPr>
                <w:rFonts w:ascii="仿宋" w:hAnsi="仿宋" w:eastAsia="仿宋" w:cs="仿宋"/>
              </w:rPr>
            </w:pPr>
            <w:r>
              <w:rPr>
                <w:rFonts w:hint="eastAsia" w:ascii="仿宋" w:hAnsi="仿宋" w:eastAsia="仿宋" w:cs="仿宋"/>
                <w:spacing w:val="-3"/>
              </w:rPr>
              <w:t>仪容仪表</w:t>
            </w:r>
          </w:p>
        </w:tc>
        <w:tc>
          <w:tcPr>
            <w:tcW w:w="6238" w:type="dxa"/>
            <w:tcBorders>
              <w:bottom w:val="single" w:color="auto" w:sz="4" w:space="0"/>
            </w:tcBorders>
            <w:vAlign w:val="center"/>
          </w:tcPr>
          <w:p>
            <w:pPr>
              <w:spacing w:before="286" w:line="184" w:lineRule="auto"/>
              <w:rPr>
                <w:rFonts w:ascii="仿宋" w:hAnsi="仿宋" w:eastAsia="仿宋" w:cs="仿宋"/>
              </w:rPr>
            </w:pPr>
            <w:r>
              <w:rPr>
                <w:rFonts w:ascii="仿宋" w:hAnsi="仿宋" w:eastAsia="仿宋" w:cs="仿宋"/>
                <w:spacing w:val="-10"/>
              </w:rPr>
              <w:t>1.</w:t>
            </w:r>
            <w:r>
              <w:rPr>
                <w:rFonts w:hint="eastAsia" w:ascii="仿宋" w:hAnsi="仿宋" w:eastAsia="仿宋" w:cs="仿宋"/>
                <w:spacing w:val="-10"/>
              </w:rPr>
              <w:t>规范着装、衣帽整洁、仪表端庄、佩戴胸牌</w:t>
            </w:r>
          </w:p>
        </w:tc>
        <w:tc>
          <w:tcPr>
            <w:tcW w:w="896" w:type="dxa"/>
            <w:tcBorders>
              <w:bottom w:val="single" w:color="auto" w:sz="4" w:space="0"/>
            </w:tcBorders>
            <w:vAlign w:val="center"/>
          </w:tcPr>
          <w:p>
            <w:pPr>
              <w:spacing w:before="59" w:line="184" w:lineRule="auto"/>
              <w:ind w:firstLine="491"/>
              <w:rPr>
                <w:rFonts w:ascii="仿宋" w:hAnsi="仿宋" w:eastAsia="仿宋" w:cs="仿宋"/>
              </w:rPr>
            </w:pPr>
            <w:r>
              <w:rPr>
                <w:rFonts w:ascii="仿宋" w:hAnsi="仿宋" w:eastAsia="仿宋" w:cs="仿宋"/>
              </w:rPr>
              <w:t>4</w:t>
            </w:r>
          </w:p>
        </w:tc>
        <w:tc>
          <w:tcPr>
            <w:tcW w:w="913" w:type="dxa"/>
            <w:tcBorders>
              <w:bottom w:val="single" w:color="auto" w:sz="4" w:space="0"/>
            </w:tcBorders>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070" w:type="dxa"/>
            <w:vMerge w:val="continue"/>
            <w:vAlign w:val="center"/>
          </w:tcPr>
          <w:p>
            <w:pPr>
              <w:spacing w:before="286" w:line="184" w:lineRule="auto"/>
              <w:rPr>
                <w:rFonts w:ascii="仿宋" w:hAnsi="仿宋" w:eastAsia="仿宋" w:cs="仿宋"/>
                <w:spacing w:val="-3"/>
              </w:rPr>
            </w:pPr>
          </w:p>
        </w:tc>
        <w:tc>
          <w:tcPr>
            <w:tcW w:w="6238" w:type="dxa"/>
            <w:tcBorders>
              <w:top w:val="single" w:color="auto" w:sz="4" w:space="0"/>
            </w:tcBorders>
            <w:vAlign w:val="center"/>
          </w:tcPr>
          <w:p>
            <w:pPr>
              <w:spacing w:before="286" w:line="184" w:lineRule="auto"/>
              <w:rPr>
                <w:rFonts w:ascii="仿宋" w:hAnsi="仿宋" w:eastAsia="仿宋" w:cs="仿宋"/>
                <w:spacing w:val="-10"/>
              </w:rPr>
            </w:pPr>
            <w:r>
              <w:rPr>
                <w:rFonts w:ascii="仿宋" w:hAnsi="仿宋" w:eastAsia="仿宋" w:cs="仿宋"/>
                <w:spacing w:val="-10"/>
              </w:rPr>
              <w:t>2.</w:t>
            </w:r>
            <w:r>
              <w:rPr>
                <w:rFonts w:hint="eastAsia" w:ascii="仿宋" w:hAnsi="仿宋" w:eastAsia="仿宋" w:cs="仿宋"/>
                <w:spacing w:val="-10"/>
              </w:rPr>
              <w:t>不穿响底鞋、首饰不外露、不留长指甲</w:t>
            </w:r>
          </w:p>
        </w:tc>
        <w:tc>
          <w:tcPr>
            <w:tcW w:w="896" w:type="dxa"/>
            <w:tcBorders>
              <w:top w:val="single" w:color="auto" w:sz="4" w:space="0"/>
            </w:tcBorders>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tcBorders>
              <w:top w:val="single" w:color="auto" w:sz="4" w:space="0"/>
            </w:tcBorders>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70" w:type="dxa"/>
            <w:vMerge w:val="restart"/>
            <w:tcBorders>
              <w:bottom w:val="nil"/>
            </w:tcBorders>
            <w:vAlign w:val="center"/>
          </w:tcPr>
          <w:p>
            <w:pPr>
              <w:spacing w:line="258" w:lineRule="auto"/>
              <w:rPr>
                <w:rFonts w:ascii="Microsoft JhengHei"/>
              </w:rPr>
            </w:pPr>
          </w:p>
          <w:p>
            <w:pPr>
              <w:spacing w:line="204" w:lineRule="auto"/>
              <w:jc w:val="center"/>
              <w:rPr>
                <w:rFonts w:ascii="仿宋" w:hAnsi="仿宋" w:eastAsia="仿宋" w:cs="仿宋"/>
              </w:rPr>
            </w:pPr>
            <w:r>
              <w:rPr>
                <w:rFonts w:hint="eastAsia" w:ascii="仿宋" w:hAnsi="仿宋" w:eastAsia="仿宋" w:cs="仿宋"/>
                <w:spacing w:val="-5"/>
                <w:position w:val="8"/>
              </w:rPr>
              <w:t>服务态度</w:t>
            </w:r>
          </w:p>
        </w:tc>
        <w:tc>
          <w:tcPr>
            <w:tcW w:w="6238" w:type="dxa"/>
            <w:vAlign w:val="center"/>
          </w:tcPr>
          <w:p>
            <w:pPr>
              <w:spacing w:before="286" w:line="184" w:lineRule="auto"/>
              <w:rPr>
                <w:rFonts w:ascii="仿宋" w:hAnsi="仿宋" w:eastAsia="仿宋" w:cs="仿宋"/>
                <w:spacing w:val="-10"/>
              </w:rPr>
            </w:pPr>
            <w:r>
              <w:rPr>
                <w:rFonts w:ascii="仿宋" w:hAnsi="仿宋" w:eastAsia="仿宋" w:cs="仿宋"/>
                <w:spacing w:val="-10"/>
              </w:rPr>
              <w:t>1.</w:t>
            </w:r>
            <w:r>
              <w:rPr>
                <w:rFonts w:hint="eastAsia" w:ascii="仿宋" w:hAnsi="仿宋" w:eastAsia="仿宋" w:cs="仿宋"/>
                <w:spacing w:val="-10"/>
              </w:rPr>
              <w:t>微笑服务、礼貌待人，不与病人发生争吵。</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70" w:type="dxa"/>
            <w:vMerge w:val="continue"/>
            <w:tcBorders>
              <w:top w:val="nil"/>
              <w:bottom w:val="nil"/>
            </w:tcBorders>
            <w:vAlign w:val="center"/>
          </w:tcPr>
          <w:p>
            <w:pPr>
              <w:rPr>
                <w:rFonts w:ascii="Microsoft JhengHei"/>
              </w:rPr>
            </w:pPr>
          </w:p>
        </w:tc>
        <w:tc>
          <w:tcPr>
            <w:tcW w:w="6238" w:type="dxa"/>
            <w:vAlign w:val="center"/>
          </w:tcPr>
          <w:p>
            <w:pPr>
              <w:spacing w:before="286" w:line="184" w:lineRule="auto"/>
              <w:rPr>
                <w:rFonts w:ascii="仿宋" w:hAnsi="仿宋" w:eastAsia="仿宋" w:cs="仿宋"/>
                <w:spacing w:val="-10"/>
              </w:rPr>
            </w:pPr>
            <w:r>
              <w:rPr>
                <w:rFonts w:ascii="仿宋" w:hAnsi="仿宋" w:eastAsia="仿宋" w:cs="仿宋"/>
                <w:spacing w:val="-10"/>
              </w:rPr>
              <w:t>2.</w:t>
            </w:r>
            <w:r>
              <w:rPr>
                <w:rFonts w:hint="eastAsia" w:ascii="仿宋" w:hAnsi="仿宋" w:eastAsia="仿宋" w:cs="仿宋"/>
                <w:spacing w:val="-10"/>
              </w:rPr>
              <w:t>接受意见虚心，改进工作到位。</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4</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070" w:type="dxa"/>
            <w:vMerge w:val="continue"/>
            <w:tcBorders>
              <w:top w:val="nil"/>
              <w:bottom w:val="single" w:color="auto" w:sz="4" w:space="0"/>
            </w:tcBorders>
            <w:vAlign w:val="center"/>
          </w:tcPr>
          <w:p>
            <w:pPr>
              <w:rPr>
                <w:rFonts w:ascii="Microsoft JhengHei"/>
              </w:rPr>
            </w:pPr>
          </w:p>
        </w:tc>
        <w:tc>
          <w:tcPr>
            <w:tcW w:w="6238" w:type="dxa"/>
            <w:tcBorders>
              <w:bottom w:val="single" w:color="auto" w:sz="4" w:space="0"/>
            </w:tcBorders>
            <w:vAlign w:val="center"/>
          </w:tcPr>
          <w:p>
            <w:pPr>
              <w:spacing w:before="286" w:line="184" w:lineRule="auto"/>
              <w:rPr>
                <w:rFonts w:ascii="仿宋" w:hAnsi="仿宋" w:eastAsia="仿宋" w:cs="仿宋"/>
                <w:spacing w:val="-10"/>
              </w:rPr>
            </w:pPr>
            <w:r>
              <w:rPr>
                <w:rFonts w:ascii="仿宋" w:hAnsi="仿宋" w:eastAsia="仿宋" w:cs="仿宋"/>
                <w:spacing w:val="-10"/>
              </w:rPr>
              <w:t>3.</w:t>
            </w:r>
            <w:r>
              <w:rPr>
                <w:rFonts w:hint="eastAsia" w:ascii="仿宋" w:hAnsi="仿宋" w:eastAsia="仿宋" w:cs="仿宋"/>
                <w:spacing w:val="-10"/>
              </w:rPr>
              <w:t>随时满足病人和临床工作需要，无上诉投诉现象。</w:t>
            </w:r>
          </w:p>
        </w:tc>
        <w:tc>
          <w:tcPr>
            <w:tcW w:w="896" w:type="dxa"/>
            <w:tcBorders>
              <w:bottom w:val="single" w:color="auto" w:sz="4" w:space="0"/>
            </w:tcBorders>
            <w:vAlign w:val="center"/>
          </w:tcPr>
          <w:p>
            <w:pPr>
              <w:spacing w:before="59" w:line="184" w:lineRule="auto"/>
              <w:ind w:firstLine="491"/>
              <w:rPr>
                <w:rFonts w:ascii="仿宋" w:hAnsi="仿宋" w:eastAsia="仿宋" w:cs="仿宋"/>
              </w:rPr>
            </w:pPr>
            <w:r>
              <w:rPr>
                <w:rFonts w:ascii="仿宋" w:hAnsi="仿宋" w:eastAsia="仿宋" w:cs="仿宋"/>
              </w:rPr>
              <w:t>4</w:t>
            </w:r>
          </w:p>
        </w:tc>
        <w:tc>
          <w:tcPr>
            <w:tcW w:w="913" w:type="dxa"/>
            <w:tcBorders>
              <w:bottom w:val="single" w:color="auto" w:sz="4" w:space="0"/>
            </w:tcBorders>
            <w:vAlign w:val="center"/>
          </w:tcPr>
          <w:p>
            <w:pPr>
              <w:spacing w:before="286" w:line="184" w:lineRule="auto"/>
              <w:rPr>
                <w:rFonts w:ascii="仿宋" w:hAnsi="仿宋" w:eastAsia="仿宋" w:cs="仿宋"/>
                <w:spacing w:val="-1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70" w:type="dxa"/>
            <w:vMerge w:val="restart"/>
            <w:vAlign w:val="center"/>
          </w:tcPr>
          <w:p>
            <w:pPr>
              <w:spacing w:line="241"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42" w:lineRule="auto"/>
              <w:rPr>
                <w:rFonts w:ascii="Microsoft JhengHei"/>
              </w:rPr>
            </w:pPr>
          </w:p>
          <w:p>
            <w:pPr>
              <w:spacing w:line="204" w:lineRule="auto"/>
              <w:rPr>
                <w:rFonts w:ascii="仿宋" w:hAnsi="仿宋" w:eastAsia="仿宋" w:cs="仿宋"/>
                <w:spacing w:val="-4"/>
                <w:position w:val="8"/>
              </w:rPr>
            </w:pPr>
            <w:r>
              <w:rPr>
                <w:rFonts w:hint="eastAsia" w:ascii="仿宋" w:hAnsi="仿宋" w:eastAsia="仿宋" w:cs="仿宋"/>
                <w:spacing w:val="-4"/>
                <w:position w:val="8"/>
              </w:rPr>
              <w:t>生活护理质量</w:t>
            </w:r>
          </w:p>
          <w:p>
            <w:pPr>
              <w:spacing w:line="273" w:lineRule="auto"/>
              <w:rPr>
                <w:rFonts w:ascii="Microsoft JhengHei"/>
              </w:rPr>
            </w:pPr>
          </w:p>
          <w:p>
            <w:pPr>
              <w:spacing w:line="273" w:lineRule="auto"/>
              <w:rPr>
                <w:rFonts w:ascii="Microsoft JhengHei"/>
              </w:rPr>
            </w:pPr>
          </w:p>
          <w:p>
            <w:pPr>
              <w:spacing w:line="273" w:lineRule="auto"/>
              <w:rPr>
                <w:rFonts w:ascii="Microsoft JhengHei"/>
              </w:rPr>
            </w:pPr>
          </w:p>
          <w:p>
            <w:pPr>
              <w:spacing w:line="204" w:lineRule="auto"/>
              <w:ind w:firstLine="380"/>
              <w:rPr>
                <w:rFonts w:ascii="仿宋" w:hAnsi="仿宋" w:eastAsia="仿宋" w:cs="仿宋"/>
              </w:rPr>
            </w:pPr>
          </w:p>
        </w:tc>
        <w:tc>
          <w:tcPr>
            <w:tcW w:w="6238" w:type="dxa"/>
            <w:vAlign w:val="center"/>
          </w:tcPr>
          <w:p>
            <w:pPr>
              <w:numPr>
                <w:ilvl w:val="0"/>
                <w:numId w:val="2"/>
              </w:numPr>
              <w:spacing w:before="59" w:line="308" w:lineRule="auto"/>
              <w:ind w:left="1483" w:hanging="1437"/>
              <w:rPr>
                <w:rFonts w:ascii="仿宋" w:hAnsi="仿宋" w:eastAsia="仿宋" w:cs="仿宋"/>
              </w:rPr>
            </w:pPr>
            <w:r>
              <w:rPr>
                <w:rFonts w:hint="eastAsia" w:ascii="仿宋" w:hAnsi="仿宋" w:eastAsia="仿宋" w:cs="仿宋"/>
              </w:rPr>
              <w:t>认真执行岗位职责，严格遵守医院有关规章制度，操作常规及</w:t>
            </w:r>
          </w:p>
          <w:p>
            <w:pPr>
              <w:spacing w:before="59" w:line="308" w:lineRule="auto"/>
              <w:ind w:left="46"/>
              <w:rPr>
                <w:rFonts w:ascii="仿宋" w:hAnsi="仿宋" w:eastAsia="仿宋" w:cs="仿宋"/>
              </w:rPr>
            </w:pPr>
            <w:r>
              <w:rPr>
                <w:rFonts w:hint="eastAsia" w:ascii="仿宋" w:hAnsi="仿宋" w:eastAsia="仿宋" w:cs="仿宋"/>
              </w:rPr>
              <w:t>流程。</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4</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70" w:type="dxa"/>
            <w:vMerge w:val="continue"/>
            <w:vAlign w:val="center"/>
          </w:tcPr>
          <w:p>
            <w:pPr>
              <w:rPr>
                <w:rFonts w:ascii="Microsoft JhengHei"/>
              </w:rPr>
            </w:pPr>
          </w:p>
        </w:tc>
        <w:tc>
          <w:tcPr>
            <w:tcW w:w="6238" w:type="dxa"/>
            <w:vAlign w:val="center"/>
          </w:tcPr>
          <w:p>
            <w:pPr>
              <w:spacing w:before="287" w:line="184" w:lineRule="auto"/>
              <w:ind w:firstLine="30"/>
              <w:rPr>
                <w:rFonts w:ascii="仿宋" w:hAnsi="仿宋" w:eastAsia="仿宋" w:cs="仿宋"/>
              </w:rPr>
            </w:pPr>
            <w:r>
              <w:rPr>
                <w:rFonts w:ascii="仿宋" w:hAnsi="仿宋" w:eastAsia="仿宋" w:cs="仿宋"/>
              </w:rPr>
              <w:t>2.</w:t>
            </w:r>
            <w:r>
              <w:rPr>
                <w:rFonts w:hint="eastAsia" w:ascii="仿宋" w:hAnsi="仿宋" w:eastAsia="仿宋" w:cs="仿宋"/>
              </w:rPr>
              <w:t>提前十分钟到岗，不迟到、早退，不串岗，缺岗现象。</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070" w:type="dxa"/>
            <w:vMerge w:val="continue"/>
            <w:vAlign w:val="center"/>
          </w:tcPr>
          <w:p>
            <w:pPr>
              <w:rPr>
                <w:rFonts w:ascii="Microsoft JhengHei"/>
              </w:rPr>
            </w:pPr>
          </w:p>
        </w:tc>
        <w:tc>
          <w:tcPr>
            <w:tcW w:w="6238" w:type="dxa"/>
            <w:vAlign w:val="center"/>
          </w:tcPr>
          <w:p>
            <w:pPr>
              <w:numPr>
                <w:ilvl w:val="0"/>
                <w:numId w:val="2"/>
              </w:numPr>
              <w:spacing w:before="286" w:line="308" w:lineRule="auto"/>
              <w:ind w:left="1483" w:hanging="1437"/>
              <w:rPr>
                <w:rFonts w:ascii="仿宋" w:hAnsi="仿宋" w:eastAsia="仿宋" w:cs="仿宋"/>
              </w:rPr>
            </w:pPr>
            <w:r>
              <w:rPr>
                <w:rFonts w:hint="eastAsia" w:ascii="仿宋" w:hAnsi="仿宋" w:eastAsia="仿宋" w:cs="仿宋"/>
              </w:rPr>
              <w:t>严格执行保护医疗制度，不探听、不泄露与传递病人与工作人</w:t>
            </w:r>
          </w:p>
          <w:p>
            <w:pPr>
              <w:spacing w:before="286" w:line="308" w:lineRule="auto"/>
              <w:ind w:left="46"/>
              <w:rPr>
                <w:rFonts w:ascii="仿宋" w:hAnsi="仿宋" w:eastAsia="仿宋" w:cs="仿宋"/>
              </w:rPr>
            </w:pPr>
            <w:r>
              <w:rPr>
                <w:rFonts w:hint="eastAsia" w:ascii="仿宋" w:hAnsi="仿宋" w:eastAsia="仿宋" w:cs="仿宋"/>
              </w:rPr>
              <w:t>员的隐私。</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 w:hRule="atLeast"/>
        </w:trPr>
        <w:tc>
          <w:tcPr>
            <w:tcW w:w="1070" w:type="dxa"/>
            <w:vMerge w:val="continue"/>
            <w:vAlign w:val="center"/>
          </w:tcPr>
          <w:p>
            <w:pPr>
              <w:rPr>
                <w:rFonts w:ascii="Microsoft JhengHei"/>
              </w:rPr>
            </w:pPr>
          </w:p>
        </w:tc>
        <w:tc>
          <w:tcPr>
            <w:tcW w:w="6238" w:type="dxa"/>
            <w:vAlign w:val="center"/>
          </w:tcPr>
          <w:p>
            <w:pPr>
              <w:spacing w:before="120" w:line="184" w:lineRule="auto"/>
              <w:rPr>
                <w:rFonts w:ascii="仿宋" w:hAnsi="仿宋" w:eastAsia="仿宋" w:cs="仿宋"/>
              </w:rPr>
            </w:pPr>
            <w:r>
              <w:rPr>
                <w:rFonts w:ascii="仿宋" w:hAnsi="仿宋" w:eastAsia="仿宋" w:cs="仿宋"/>
              </w:rPr>
              <w:t>4.</w:t>
            </w:r>
            <w:r>
              <w:rPr>
                <w:rFonts w:hint="eastAsia" w:ascii="仿宋" w:hAnsi="仿宋" w:eastAsia="仿宋" w:cs="仿宋"/>
              </w:rPr>
              <w:t>服从领导、服从分配，按时参加学习、会议、活动。</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4</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070" w:type="dxa"/>
            <w:vMerge w:val="continue"/>
            <w:vAlign w:val="center"/>
          </w:tcPr>
          <w:p>
            <w:pPr>
              <w:rPr>
                <w:rFonts w:ascii="Microsoft JhengHei"/>
              </w:rPr>
            </w:pPr>
          </w:p>
        </w:tc>
        <w:tc>
          <w:tcPr>
            <w:tcW w:w="6238" w:type="dxa"/>
            <w:vAlign w:val="center"/>
          </w:tcPr>
          <w:p>
            <w:pPr>
              <w:spacing w:before="291" w:line="308" w:lineRule="auto"/>
              <w:ind w:left="1233" w:hanging="1208"/>
              <w:rPr>
                <w:rFonts w:ascii="仿宋" w:hAnsi="仿宋" w:eastAsia="仿宋" w:cs="仿宋"/>
              </w:rPr>
            </w:pPr>
            <w:r>
              <w:rPr>
                <w:rFonts w:ascii="仿宋" w:hAnsi="仿宋" w:eastAsia="仿宋" w:cs="仿宋"/>
              </w:rPr>
              <w:t>5.</w:t>
            </w:r>
            <w:r>
              <w:rPr>
                <w:rFonts w:hint="eastAsia" w:ascii="仿宋" w:hAnsi="仿宋" w:eastAsia="仿宋" w:cs="仿宋"/>
              </w:rPr>
              <w:t>不吃、拿病人食物、钱财，不收取任何消费。</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70" w:type="dxa"/>
            <w:vMerge w:val="continue"/>
            <w:vAlign w:val="center"/>
          </w:tcPr>
          <w:p>
            <w:pPr>
              <w:spacing w:line="204" w:lineRule="auto"/>
              <w:ind w:firstLine="380"/>
              <w:rPr>
                <w:rFonts w:ascii="仿宋" w:hAnsi="仿宋" w:eastAsia="仿宋" w:cs="仿宋"/>
              </w:rPr>
            </w:pPr>
          </w:p>
        </w:tc>
        <w:tc>
          <w:tcPr>
            <w:tcW w:w="6238" w:type="dxa"/>
            <w:vAlign w:val="center"/>
          </w:tcPr>
          <w:p>
            <w:pPr>
              <w:spacing w:before="141" w:line="184" w:lineRule="auto"/>
              <w:rPr>
                <w:rFonts w:ascii="仿宋" w:hAnsi="仿宋" w:eastAsia="仿宋" w:cs="仿宋"/>
              </w:rPr>
            </w:pPr>
            <w:r>
              <w:rPr>
                <w:rFonts w:ascii="仿宋" w:hAnsi="仿宋" w:eastAsia="仿宋" w:cs="仿宋"/>
              </w:rPr>
              <w:t>6.</w:t>
            </w:r>
            <w:r>
              <w:rPr>
                <w:rFonts w:hint="eastAsia" w:ascii="仿宋" w:hAnsi="仿宋" w:eastAsia="仿宋" w:cs="仿宋"/>
              </w:rPr>
              <w:t>做好病人晨晚间生活护理。</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70" w:type="dxa"/>
            <w:vMerge w:val="continue"/>
            <w:vAlign w:val="center"/>
          </w:tcPr>
          <w:p>
            <w:pPr>
              <w:rPr>
                <w:rFonts w:ascii="Microsoft JhengHei"/>
              </w:rPr>
            </w:pPr>
          </w:p>
        </w:tc>
        <w:tc>
          <w:tcPr>
            <w:tcW w:w="6238" w:type="dxa"/>
            <w:vAlign w:val="center"/>
          </w:tcPr>
          <w:p>
            <w:pPr>
              <w:spacing w:before="290" w:line="308" w:lineRule="auto"/>
              <w:ind w:left="829" w:hanging="802"/>
              <w:rPr>
                <w:rFonts w:ascii="仿宋" w:hAnsi="仿宋" w:eastAsia="仿宋" w:cs="仿宋"/>
              </w:rPr>
            </w:pPr>
            <w:r>
              <w:rPr>
                <w:rFonts w:ascii="仿宋" w:hAnsi="仿宋" w:eastAsia="仿宋" w:cs="仿宋"/>
              </w:rPr>
              <w:t>7.</w:t>
            </w:r>
            <w:r>
              <w:rPr>
                <w:rFonts w:hint="eastAsia" w:ascii="仿宋" w:hAnsi="仿宋" w:eastAsia="仿宋" w:cs="仿宋"/>
              </w:rPr>
              <w:t>协助生活不能自理及卧床病人进食。</w:t>
            </w:r>
          </w:p>
        </w:tc>
        <w:tc>
          <w:tcPr>
            <w:tcW w:w="896" w:type="dxa"/>
            <w:vAlign w:val="center"/>
          </w:tcPr>
          <w:p>
            <w:pPr>
              <w:spacing w:before="59"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 w:hRule="atLeast"/>
        </w:trPr>
        <w:tc>
          <w:tcPr>
            <w:tcW w:w="1070" w:type="dxa"/>
            <w:vMerge w:val="continue"/>
            <w:vAlign w:val="center"/>
          </w:tcPr>
          <w:p>
            <w:pPr>
              <w:rPr>
                <w:rFonts w:ascii="Microsoft JhengHei"/>
              </w:rPr>
            </w:pPr>
          </w:p>
        </w:tc>
        <w:tc>
          <w:tcPr>
            <w:tcW w:w="6238" w:type="dxa"/>
            <w:vAlign w:val="center"/>
          </w:tcPr>
          <w:p>
            <w:pPr>
              <w:spacing w:before="290" w:line="184" w:lineRule="auto"/>
              <w:rPr>
                <w:rFonts w:ascii="仿宋" w:hAnsi="仿宋" w:eastAsia="仿宋" w:cs="仿宋"/>
              </w:rPr>
            </w:pPr>
            <w:r>
              <w:rPr>
                <w:rFonts w:ascii="仿宋" w:hAnsi="仿宋" w:eastAsia="仿宋" w:cs="仿宋"/>
              </w:rPr>
              <w:t>8.</w:t>
            </w:r>
            <w:r>
              <w:rPr>
                <w:rFonts w:hint="eastAsia" w:ascii="仿宋" w:hAnsi="仿宋" w:eastAsia="仿宋" w:cs="仿宋"/>
              </w:rPr>
              <w:t>协助病人起床活动和肢体的功能锻炼。</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9.</w:t>
            </w:r>
            <w:r>
              <w:rPr>
                <w:rFonts w:hint="eastAsia" w:ascii="仿宋" w:hAnsi="仿宋" w:eastAsia="仿宋" w:cs="仿宋"/>
              </w:rPr>
              <w:t>协助患者自身的清洁工作，保持患者三短六洁。</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10.</w:t>
            </w:r>
            <w:r>
              <w:rPr>
                <w:rFonts w:hint="eastAsia" w:ascii="仿宋" w:hAnsi="仿宋" w:eastAsia="仿宋" w:cs="仿宋"/>
              </w:rPr>
              <w:t>协助病人大小便，递送便器及整理个人卫生。</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11.</w:t>
            </w:r>
            <w:r>
              <w:rPr>
                <w:rFonts w:hint="eastAsia" w:ascii="仿宋" w:hAnsi="仿宋" w:eastAsia="仿宋" w:cs="仿宋"/>
              </w:rPr>
              <w:t>保持床单位整洁。</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12.</w:t>
            </w:r>
            <w:r>
              <w:rPr>
                <w:rFonts w:hint="eastAsia" w:ascii="仿宋" w:hAnsi="仿宋" w:eastAsia="仿宋" w:cs="仿宋"/>
              </w:rPr>
              <w:t>物品摆放整齐，床铺平整、床下无杂物。</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13.</w:t>
            </w:r>
            <w:r>
              <w:rPr>
                <w:rFonts w:hint="eastAsia" w:ascii="仿宋" w:hAnsi="仿宋" w:eastAsia="仿宋" w:cs="仿宋"/>
              </w:rPr>
              <w:t>随时清点、更换脏被服，不乱扔、乱放，保持病房整洁。</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14.</w:t>
            </w:r>
            <w:r>
              <w:rPr>
                <w:rFonts w:hint="eastAsia" w:ascii="仿宋" w:hAnsi="仿宋" w:eastAsia="仿宋" w:cs="仿宋"/>
              </w:rPr>
              <w:t>必要时护送病人做辅助检查和治疗</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15.</w:t>
            </w:r>
            <w:r>
              <w:rPr>
                <w:rFonts w:hint="eastAsia" w:ascii="仿宋" w:hAnsi="仿宋" w:eastAsia="仿宋" w:cs="仿宋"/>
              </w:rPr>
              <w:t>保护病人安全，防止病人坠床、肢体受损等意外事故。</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70" w:type="dxa"/>
            <w:vMerge w:val="continue"/>
            <w:vAlign w:val="center"/>
          </w:tcPr>
          <w:p>
            <w:pPr>
              <w:rPr>
                <w:rFonts w:ascii="Microsoft JhengHei"/>
              </w:rPr>
            </w:pPr>
          </w:p>
        </w:tc>
        <w:tc>
          <w:tcPr>
            <w:tcW w:w="6238" w:type="dxa"/>
            <w:vAlign w:val="center"/>
          </w:tcPr>
          <w:p>
            <w:pPr>
              <w:spacing w:before="290" w:line="184" w:lineRule="auto"/>
              <w:ind w:firstLine="205"/>
              <w:rPr>
                <w:rFonts w:ascii="仿宋" w:hAnsi="仿宋" w:eastAsia="仿宋" w:cs="仿宋"/>
              </w:rPr>
            </w:pPr>
            <w:r>
              <w:rPr>
                <w:rFonts w:ascii="仿宋" w:hAnsi="仿宋" w:eastAsia="仿宋" w:cs="仿宋"/>
              </w:rPr>
              <w:t>16.</w:t>
            </w:r>
            <w:r>
              <w:rPr>
                <w:rFonts w:hint="eastAsia" w:ascii="仿宋" w:hAnsi="仿宋" w:eastAsia="仿宋" w:cs="仿宋"/>
              </w:rPr>
              <w:t>细心观察病情，及时将病人有关情况报告护士和医生。</w:t>
            </w:r>
          </w:p>
        </w:tc>
        <w:tc>
          <w:tcPr>
            <w:tcW w:w="896" w:type="dxa"/>
            <w:vAlign w:val="center"/>
          </w:tcPr>
          <w:p>
            <w:pPr>
              <w:spacing w:before="290" w:line="184" w:lineRule="auto"/>
              <w:ind w:firstLine="491"/>
              <w:rPr>
                <w:rFonts w:ascii="仿宋" w:hAnsi="仿宋" w:eastAsia="仿宋" w:cs="仿宋"/>
              </w:rPr>
            </w:pPr>
            <w:r>
              <w:rPr>
                <w:rFonts w:ascii="仿宋" w:hAnsi="仿宋" w:eastAsia="仿宋" w:cs="仿宋"/>
              </w:rPr>
              <w:t>5</w:t>
            </w:r>
          </w:p>
        </w:tc>
        <w:tc>
          <w:tcPr>
            <w:tcW w:w="913" w:type="dxa"/>
            <w:vAlign w:val="center"/>
          </w:tcPr>
          <w:p>
            <w:pPr>
              <w:rPr>
                <w:rFonts w:ascii="Microsoft JhengHe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9117" w:type="dxa"/>
            <w:gridSpan w:val="4"/>
            <w:vAlign w:val="center"/>
          </w:tcPr>
          <w:p>
            <w:pPr>
              <w:rPr>
                <w:rFonts w:ascii="Microsoft JhengHei"/>
              </w:rPr>
            </w:pPr>
            <w:r>
              <w:rPr>
                <w:rFonts w:hint="eastAsia" w:ascii="仿宋" w:hAnsi="仿宋" w:eastAsia="仿宋" w:cs="仿宋"/>
                <w:spacing w:val="-9"/>
              </w:rPr>
              <w:t>说明：考核得分大于或等于</w:t>
            </w:r>
            <w:r>
              <w:rPr>
                <w:rFonts w:ascii="仿宋" w:hAnsi="仿宋" w:eastAsia="仿宋" w:cs="仿宋"/>
                <w:spacing w:val="-9"/>
              </w:rPr>
              <w:t>95</w:t>
            </w:r>
            <w:r>
              <w:rPr>
                <w:rFonts w:hint="eastAsia" w:ascii="仿宋" w:hAnsi="仿宋" w:eastAsia="仿宋" w:cs="仿宋"/>
                <w:spacing w:val="-9"/>
              </w:rPr>
              <w:t>分为合格，低于</w:t>
            </w:r>
            <w:r>
              <w:rPr>
                <w:rFonts w:ascii="仿宋" w:hAnsi="仿宋" w:eastAsia="仿宋" w:cs="仿宋"/>
                <w:spacing w:val="-9"/>
              </w:rPr>
              <w:t>95</w:t>
            </w:r>
            <w:r>
              <w:rPr>
                <w:rFonts w:hint="eastAsia" w:ascii="仿宋" w:hAnsi="仿宋" w:eastAsia="仿宋" w:cs="仿宋"/>
                <w:spacing w:val="-9"/>
              </w:rPr>
              <w:t>分每少一分，扣减服务公司</w:t>
            </w:r>
            <w:r>
              <w:rPr>
                <w:rFonts w:ascii="仿宋" w:hAnsi="仿宋" w:eastAsia="仿宋" w:cs="仿宋"/>
                <w:spacing w:val="-9"/>
              </w:rPr>
              <w:t>100</w:t>
            </w:r>
            <w:r>
              <w:rPr>
                <w:rFonts w:hint="eastAsia" w:ascii="仿宋" w:hAnsi="仿宋" w:eastAsia="仿宋" w:cs="仿宋"/>
                <w:spacing w:val="-9"/>
              </w:rPr>
              <w:t>元服务费。</w:t>
            </w:r>
          </w:p>
        </w:tc>
      </w:tr>
    </w:tbl>
    <w:p>
      <w:pPr>
        <w:sectPr>
          <w:headerReference r:id="rId9" w:type="default"/>
          <w:footerReference r:id="rId10" w:type="default"/>
          <w:pgSz w:w="11906" w:h="16839"/>
          <w:pgMar w:top="1701" w:right="1363" w:bottom="1088" w:left="1476" w:header="1427" w:footer="918" w:gutter="0"/>
          <w:cols w:space="0" w:num="1"/>
        </w:sectPr>
      </w:pPr>
    </w:p>
    <w:p>
      <w:pPr>
        <w:spacing w:before="130" w:line="183" w:lineRule="auto"/>
        <w:ind w:firstLine="578" w:firstLineChars="200"/>
        <w:rPr>
          <w:rFonts w:ascii="黑体" w:hAnsi="黑体" w:eastAsia="黑体" w:cs="黑体"/>
          <w:sz w:val="32"/>
          <w:szCs w:val="32"/>
        </w:rPr>
      </w:pPr>
      <w:r>
        <w:rPr>
          <w:rFonts w:hint="eastAsia" w:ascii="黑体" w:hAnsi="黑体" w:eastAsia="黑体" w:cs="黑体"/>
          <w:spacing w:val="-11"/>
          <w:sz w:val="32"/>
          <w:szCs w:val="32"/>
        </w:rPr>
        <w:t>三、商务要求</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（一）服务要求</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★1.中标单位对招聘的员工原则要求会简单读写，年龄在 55周岁以下，入职前必须进行岗前培训，要求合格后报科室同意方可上岗，未经岗前培训不得参与医院工作。上岗前应提供相关检查报告（检查费用由中标单位承担）；由于中标方人员责任导致的医疗纠纷和员工自己违反操作要求造成他人和自身伤害的，由中标方承担全部责任。</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2.驻院主管应做到每天巡查各工作岗位，如发现服务质量问题，应如实记录和签名，并及时指导员工进行整改。</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3.有以下行为之一的，经双方确认后扣除中标单位每次200 元罚款：在病区通道或工作用房堆放纸皮等垃圾的；未经护士长许可拿病人出院后遗留物的；未经科室同意擅自拿取办公室、护士 站、值班室东西的；在工作区域用餐、躺在候诊椅上睡觉、在院 内大声喧哗的；在上班时间长时间闲聊、吃东西的。</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★4.有以下行为之一的，扣除中标单位服务费 2000 元罚款并追究当事人法律责任，按采购人要求立即辞退相关人员：打骂病人的；对医疗垃圾进行分拣售卖的；偷盗医院、病人财物的或捡获医护人员、病人财物属实拒绝交还者。</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5.若由于中标人原因导致院内发生治安事件、医疗设备失窃、 车辆失窃、公共财产人为损坏等事件时，应作价赔偿。如有异议， 由当地仲裁委员会仲裁或向签约地人民法院起诉； 事态严重者， 可追究当事人的法律责任。</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6.投标人必须保证院方各岗位的人员需求，如出现脱岗现象， 必须24 小时内提供人员到岗；再者，经所在科室半个月内多次（2次以上） 要求更换或辞退的不合要求的服务人员，服务公司应无条件满足医院的合理要求，否则，院方有权扣发相应人数及其工作日的服务薪酬。</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7.医院结合工作和业务发展的实际，对合同约定的工作人员 数将会增减（若有调整，医院将提前半个月知会服务公司，公司 应无条件配合） ，相关服务费也按增减后的实际支付。若服务公司需对驻点的工作人员进行外调，需提前通知医院相关部门，若未征得医院同意，不得随意调走派驻在医院的服务人员。</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8.对医院在抽查及月中检查发现存在的问题，中标单位要向 院方及时反馈落实情况。如有特殊情况，中标单位应及时派人员 到场处理，不得拒绝推诿，上班时间应随叫随到（从接到指令到 提供服务的时间要求在10分钟内）并保证服务质量。</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9.驻点服务人员食宿和服装及装备要求：中标服务公司须自行解决所雇用服务人员的食宿问题；并提供充足的服务规范装备及用品。</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★10.服务人员工资要求：服务公司所雇用服务人员的基本</w:t>
      </w:r>
    </w:p>
    <w:p>
      <w:pPr>
        <w:autoSpaceDE w:val="0"/>
        <w:autoSpaceDN w:val="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工资（不包括员工社保、医保、福利以及加班工资等）不能低于</w:t>
      </w:r>
    </w:p>
    <w:p>
      <w:pPr>
        <w:autoSpaceDE w:val="0"/>
        <w:autoSpaceDN w:val="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重庆市规定的最低工资标准。服务公司必须承诺不能发生拖欠员工工资的问题，一经发现，医院有权解除合同。</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★11.每年为现役军人提供 800 天以内的“一对一”免费为军陪护日。</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★12.军人及家属、本院职工如有陪护需求情况下凭工作证规定价格进行8折优惠。</w:t>
      </w:r>
    </w:p>
    <w:p>
      <w:pPr>
        <w:spacing w:line="560" w:lineRule="exact"/>
        <w:ind w:firstLine="622" w:firstLineChars="200"/>
        <w:rPr>
          <w:rFonts w:ascii="仿宋_GB2312" w:hAnsi="仿宋_GB2312" w:eastAsia="仿宋_GB2312" w:cs="仿宋_GB2312"/>
          <w:kern w:val="0"/>
          <w:sz w:val="32"/>
          <w:szCs w:val="32"/>
          <w:lang w:val="zh-CN"/>
        </w:rPr>
      </w:pPr>
      <w:r>
        <w:rPr>
          <w:rFonts w:hint="eastAsia" w:ascii="仿宋_GB2312" w:hAnsi="宋体" w:eastAsia="仿宋_GB2312" w:cs="Times New Roman"/>
          <w:snapToGrid w:val="0"/>
          <w:kern w:val="0"/>
          <w:sz w:val="32"/>
          <w:szCs w:val="32"/>
        </w:rPr>
        <w:t>★</w:t>
      </w:r>
      <w:r>
        <w:rPr>
          <w:rFonts w:hint="eastAsia" w:ascii="仿宋_GB2312" w:hAnsi="仿宋_GB2312" w:eastAsia="仿宋_GB2312" w:cs="仿宋_GB2312"/>
          <w:kern w:val="0"/>
          <w:sz w:val="32"/>
          <w:szCs w:val="32"/>
        </w:rPr>
        <w:t>13.中标方工作人员</w:t>
      </w:r>
      <w:r>
        <w:rPr>
          <w:rFonts w:hint="eastAsia" w:ascii="仿宋_GB2312" w:hAnsi="仿宋_GB2312" w:eastAsia="仿宋_GB2312" w:cs="仿宋_GB2312"/>
          <w:kern w:val="0"/>
          <w:sz w:val="32"/>
          <w:szCs w:val="32"/>
          <w:lang w:val="zh-CN"/>
        </w:rPr>
        <w:t>必须服从科室管理安排，并按质按量完成工作。</w:t>
      </w:r>
    </w:p>
    <w:p>
      <w:pPr>
        <w:spacing w:line="560" w:lineRule="exact"/>
        <w:ind w:firstLine="622" w:firstLineChars="200"/>
        <w:rPr>
          <w:rFonts w:ascii="仿宋_GB2312" w:hAnsi="仿宋_GB2312" w:eastAsia="仿宋_GB2312" w:cs="仿宋_GB2312"/>
          <w:kern w:val="0"/>
          <w:sz w:val="32"/>
          <w:szCs w:val="32"/>
          <w:lang w:val="zh-CN"/>
        </w:rPr>
      </w:pPr>
      <w:r>
        <w:rPr>
          <w:rFonts w:hint="eastAsia" w:ascii="仿宋_GB2312" w:hAnsi="宋体" w:eastAsia="仿宋_GB2312" w:cs="Times New Roman"/>
          <w:snapToGrid w:val="0"/>
          <w:kern w:val="0"/>
          <w:sz w:val="32"/>
          <w:szCs w:val="32"/>
        </w:rPr>
        <w:t>★</w:t>
      </w:r>
      <w:r>
        <w:rPr>
          <w:rFonts w:hint="eastAsia" w:ascii="仿宋_GB2312" w:hAnsi="仿宋_GB2312" w:eastAsia="仿宋_GB2312" w:cs="仿宋_GB2312"/>
          <w:kern w:val="0"/>
          <w:sz w:val="32"/>
          <w:szCs w:val="32"/>
        </w:rPr>
        <w:t>14.中标方</w:t>
      </w:r>
      <w:r>
        <w:rPr>
          <w:rFonts w:hint="eastAsia" w:ascii="仿宋_GB2312" w:hAnsi="仿宋_GB2312" w:eastAsia="仿宋_GB2312" w:cs="仿宋_GB2312"/>
          <w:kern w:val="0"/>
          <w:sz w:val="32"/>
          <w:szCs w:val="32"/>
          <w:lang w:val="zh-CN"/>
        </w:rPr>
        <w:t>每月对</w:t>
      </w:r>
      <w:r>
        <w:rPr>
          <w:rFonts w:hint="eastAsia" w:ascii="仿宋_GB2312" w:hAnsi="仿宋_GB2312" w:eastAsia="仿宋_GB2312" w:cs="仿宋_GB2312"/>
          <w:kern w:val="0"/>
          <w:sz w:val="32"/>
          <w:szCs w:val="32"/>
        </w:rPr>
        <w:t>工作人员</w:t>
      </w:r>
      <w:r>
        <w:rPr>
          <w:rFonts w:hint="eastAsia" w:ascii="仿宋_GB2312" w:hAnsi="仿宋_GB2312" w:eastAsia="仿宋_GB2312" w:cs="仿宋_GB2312"/>
          <w:kern w:val="0"/>
          <w:sz w:val="32"/>
          <w:szCs w:val="32"/>
          <w:lang w:val="zh-CN"/>
        </w:rPr>
        <w:t>进行培训和考核，对考评不合格的</w:t>
      </w:r>
      <w:r>
        <w:rPr>
          <w:rFonts w:hint="eastAsia" w:ascii="仿宋_GB2312" w:hAnsi="仿宋_GB2312" w:eastAsia="仿宋_GB2312" w:cs="仿宋_GB2312"/>
          <w:kern w:val="0"/>
          <w:sz w:val="32"/>
          <w:szCs w:val="32"/>
        </w:rPr>
        <w:t>工作人员中标方</w:t>
      </w:r>
      <w:r>
        <w:rPr>
          <w:rFonts w:hint="eastAsia" w:ascii="仿宋_GB2312" w:hAnsi="仿宋_GB2312" w:eastAsia="仿宋_GB2312" w:cs="仿宋_GB2312"/>
          <w:kern w:val="0"/>
          <w:sz w:val="32"/>
          <w:szCs w:val="32"/>
          <w:lang w:val="zh-CN"/>
        </w:rPr>
        <w:t>需</w:t>
      </w:r>
      <w:r>
        <w:rPr>
          <w:rFonts w:hint="eastAsia" w:ascii="仿宋_GB2312" w:hAnsi="仿宋_GB2312" w:eastAsia="仿宋_GB2312" w:cs="仿宋_GB2312"/>
          <w:kern w:val="0"/>
          <w:sz w:val="32"/>
          <w:szCs w:val="32"/>
        </w:rPr>
        <w:t>及时对使用部门重新</w:t>
      </w:r>
      <w:r>
        <w:rPr>
          <w:rFonts w:hint="eastAsia" w:ascii="仿宋_GB2312" w:hAnsi="仿宋_GB2312" w:eastAsia="仿宋_GB2312" w:cs="仿宋_GB2312"/>
          <w:kern w:val="0"/>
          <w:sz w:val="32"/>
          <w:szCs w:val="32"/>
          <w:lang w:val="zh-CN"/>
        </w:rPr>
        <w:t>补充</w:t>
      </w:r>
      <w:r>
        <w:rPr>
          <w:rFonts w:hint="eastAsia" w:ascii="仿宋_GB2312" w:hAnsi="仿宋_GB2312" w:eastAsia="仿宋_GB2312" w:cs="仿宋_GB2312"/>
          <w:kern w:val="0"/>
          <w:sz w:val="32"/>
          <w:szCs w:val="32"/>
        </w:rPr>
        <w:t>工作人员</w:t>
      </w:r>
      <w:r>
        <w:rPr>
          <w:rFonts w:hint="eastAsia" w:ascii="仿宋_GB2312" w:hAnsi="仿宋_GB2312" w:eastAsia="仿宋_GB2312" w:cs="仿宋_GB2312"/>
          <w:kern w:val="0"/>
          <w:sz w:val="32"/>
          <w:szCs w:val="32"/>
          <w:lang w:val="zh-CN"/>
        </w:rPr>
        <w:t xml:space="preserve">。               </w:t>
      </w:r>
    </w:p>
    <w:p>
      <w:pPr>
        <w:spacing w:line="560" w:lineRule="exact"/>
        <w:ind w:firstLine="622" w:firstLineChars="200"/>
        <w:rPr>
          <w:rFonts w:ascii="仿宋_GB2312" w:hAnsi="仿宋_GB2312" w:eastAsia="仿宋_GB2312" w:cs="仿宋_GB2312"/>
          <w:kern w:val="0"/>
          <w:sz w:val="32"/>
          <w:szCs w:val="32"/>
        </w:rPr>
      </w:pPr>
      <w:r>
        <w:rPr>
          <w:rFonts w:hint="eastAsia" w:ascii="仿宋_GB2312" w:hAnsi="宋体" w:eastAsia="仿宋_GB2312" w:cs="Times New Roman"/>
          <w:snapToGrid w:val="0"/>
          <w:kern w:val="0"/>
          <w:sz w:val="32"/>
          <w:szCs w:val="32"/>
        </w:rPr>
        <w:t>★</w:t>
      </w:r>
      <w:r>
        <w:rPr>
          <w:rFonts w:hint="eastAsia" w:ascii="仿宋_GB2312" w:hAnsi="仿宋_GB2312" w:eastAsia="仿宋_GB2312" w:cs="仿宋_GB2312"/>
          <w:kern w:val="0"/>
          <w:sz w:val="32"/>
          <w:szCs w:val="32"/>
        </w:rPr>
        <w:t>15.中标方</w:t>
      </w:r>
      <w:r>
        <w:rPr>
          <w:rFonts w:hint="eastAsia" w:ascii="仿宋_GB2312" w:hAnsi="仿宋_GB2312" w:eastAsia="仿宋_GB2312" w:cs="仿宋_GB2312"/>
          <w:kern w:val="0"/>
          <w:sz w:val="32"/>
          <w:szCs w:val="32"/>
          <w:lang w:val="zh-CN"/>
        </w:rPr>
        <w:t>必须严格履行管理及监督义务，对因</w:t>
      </w:r>
      <w:r>
        <w:rPr>
          <w:rFonts w:hint="eastAsia" w:ascii="仿宋_GB2312" w:hAnsi="仿宋_GB2312" w:eastAsia="仿宋_GB2312" w:cs="仿宋_GB2312"/>
          <w:kern w:val="0"/>
          <w:sz w:val="32"/>
          <w:szCs w:val="32"/>
        </w:rPr>
        <w:t>工作人员个人</w:t>
      </w:r>
      <w:r>
        <w:rPr>
          <w:rFonts w:hint="eastAsia" w:ascii="仿宋_GB2312" w:hAnsi="仿宋_GB2312" w:eastAsia="仿宋_GB2312" w:cs="仿宋_GB2312"/>
          <w:kern w:val="0"/>
          <w:sz w:val="32"/>
          <w:szCs w:val="32"/>
          <w:lang w:val="zh-CN"/>
        </w:rPr>
        <w:t>原因导致的意外伤害及任何原因致使患者及科室损害的，由</w:t>
      </w:r>
      <w:r>
        <w:rPr>
          <w:rFonts w:hint="eastAsia" w:ascii="仿宋_GB2312" w:hAnsi="仿宋_GB2312" w:eastAsia="仿宋_GB2312" w:cs="仿宋_GB2312"/>
          <w:kern w:val="0"/>
          <w:sz w:val="32"/>
          <w:szCs w:val="32"/>
        </w:rPr>
        <w:t>中标方承担全部赔偿责任。</w:t>
      </w:r>
    </w:p>
    <w:p>
      <w:pPr>
        <w:spacing w:line="560" w:lineRule="exact"/>
        <w:ind w:firstLine="622" w:firstLineChars="200"/>
        <w:rPr>
          <w:rFonts w:ascii="仿宋_GB2312" w:hAnsi="仿宋_GB2312" w:eastAsia="仿宋_GB2312" w:cs="仿宋_GB2312"/>
          <w:kern w:val="0"/>
          <w:sz w:val="32"/>
          <w:szCs w:val="32"/>
        </w:rPr>
      </w:pPr>
      <w:r>
        <w:rPr>
          <w:rFonts w:hint="eastAsia" w:ascii="仿宋_GB2312" w:hAnsi="宋体" w:eastAsia="仿宋_GB2312" w:cs="Times New Roman"/>
          <w:snapToGrid w:val="0"/>
          <w:kern w:val="0"/>
          <w:sz w:val="32"/>
          <w:szCs w:val="32"/>
        </w:rPr>
        <w:t>★</w:t>
      </w:r>
      <w:r>
        <w:rPr>
          <w:rFonts w:hint="eastAsia" w:ascii="仿宋_GB2312" w:hAnsi="仿宋_GB2312" w:eastAsia="仿宋_GB2312" w:cs="仿宋_GB2312"/>
          <w:kern w:val="0"/>
          <w:sz w:val="32"/>
          <w:szCs w:val="32"/>
        </w:rPr>
        <w:t>16.中标方工作人员必须严格遵守国家法律法规和医院规章制度，严格遵守《个人信息保护法》和部队保密规定，故意或者重大过失泄露患者信息或部队秘密的，由此造成的一切损失，由中标方承担全部赔偿责任。</w:t>
      </w:r>
    </w:p>
    <w:p>
      <w:pPr>
        <w:spacing w:line="560" w:lineRule="exact"/>
        <w:ind w:firstLine="622" w:firstLineChars="200"/>
        <w:rPr>
          <w:rFonts w:ascii="仿宋_GB2312" w:hAnsi="仿宋_GB2312" w:eastAsia="仿宋_GB2312" w:cs="仿宋_GB2312"/>
          <w:kern w:val="0"/>
          <w:sz w:val="32"/>
          <w:szCs w:val="32"/>
        </w:rPr>
      </w:pPr>
      <w:r>
        <w:rPr>
          <w:rFonts w:hint="eastAsia" w:ascii="仿宋_GB2312" w:hAnsi="宋体" w:eastAsia="仿宋_GB2312" w:cs="Times New Roman"/>
          <w:snapToGrid w:val="0"/>
          <w:kern w:val="0"/>
          <w:sz w:val="32"/>
          <w:szCs w:val="32"/>
        </w:rPr>
        <w:t>★</w:t>
      </w:r>
      <w:r>
        <w:rPr>
          <w:rFonts w:hint="eastAsia" w:ascii="仿宋_GB2312" w:hAnsi="仿宋_GB2312" w:eastAsia="仿宋_GB2312" w:cs="仿宋_GB2312"/>
          <w:kern w:val="0"/>
          <w:sz w:val="32"/>
          <w:szCs w:val="32"/>
        </w:rPr>
        <w:t>17.中标方工作人员必须严格遵守《传染病防治法》相关规定以及国家和重庆市与医院疫情防控要求，因故意或者重大过失造成医院内部感染传播的，由此造成的一切损失，由中标方承担全部赔偿责任。造成严重后果医院有权单方面解除合同。</w:t>
      </w:r>
    </w:p>
    <w:p>
      <w:pPr>
        <w:spacing w:line="560" w:lineRule="exact"/>
        <w:ind w:firstLine="933" w:firstLineChars="300"/>
      </w:pPr>
      <w:r>
        <w:rPr>
          <w:rFonts w:hint="eastAsia" w:ascii="仿宋_GB2312" w:hAnsi="仿宋_GB2312" w:eastAsia="仿宋_GB2312" w:cs="仿宋_GB2312"/>
          <w:kern w:val="0"/>
          <w:sz w:val="32"/>
          <w:szCs w:val="32"/>
        </w:rPr>
        <w:t>18.中标方工作人员</w:t>
      </w:r>
      <w:r>
        <w:rPr>
          <w:rFonts w:hint="eastAsia" w:ascii="仿宋_GB2312" w:hAnsi="仿宋_GB2312" w:eastAsia="仿宋_GB2312" w:cs="仿宋_GB2312"/>
          <w:kern w:val="0"/>
          <w:sz w:val="32"/>
          <w:szCs w:val="32"/>
          <w:lang w:val="zh-CN"/>
        </w:rPr>
        <w:t>，佩戴胸牌上岗，服装由</w:t>
      </w:r>
      <w:r>
        <w:rPr>
          <w:rFonts w:hint="eastAsia" w:ascii="仿宋_GB2312" w:hAnsi="仿宋_GB2312" w:eastAsia="仿宋_GB2312" w:cs="仿宋_GB2312"/>
          <w:kern w:val="0"/>
          <w:sz w:val="32"/>
          <w:szCs w:val="32"/>
        </w:rPr>
        <w:t>中标方</w:t>
      </w:r>
      <w:r>
        <w:rPr>
          <w:rFonts w:hint="eastAsia" w:ascii="仿宋_GB2312" w:hAnsi="仿宋_GB2312" w:eastAsia="仿宋_GB2312" w:cs="仿宋_GB2312"/>
          <w:kern w:val="0"/>
          <w:sz w:val="32"/>
          <w:szCs w:val="32"/>
          <w:lang w:val="zh-CN"/>
        </w:rPr>
        <w:t>统一制作提供，</w:t>
      </w:r>
      <w:r>
        <w:rPr>
          <w:rFonts w:hint="eastAsia" w:ascii="仿宋_GB2312" w:hAnsi="仿宋_GB2312" w:eastAsia="仿宋_GB2312" w:cs="仿宋_GB2312"/>
          <w:kern w:val="0"/>
          <w:sz w:val="32"/>
          <w:szCs w:val="32"/>
        </w:rPr>
        <w:t>根据院感要求，集中统一进行洗消。</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（二）报价要求</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本次报价为人民币报价，包括但不限于：工资、保险、福利费、设备折旧费、管理费、设计费、税费及企业利润等一切费用。 因中标人自身原因造成漏报、少报皆由其自行承担责任，采购人不再补偿。</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（三）服务期限</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12 个自然月</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 xml:space="preserve">（四） 验收方式   </w:t>
      </w:r>
    </w:p>
    <w:p>
      <w:pPr>
        <w:autoSpaceDE w:val="0"/>
        <w:autoSpaceDN w:val="0"/>
        <w:ind w:firstLine="933" w:firstLineChars="3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由采购人自行验收</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（五） 付款方式</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1.每月30日前由中标单位按上月考核情况凭发票等付款所 需材料进行请款，采购人以转账方式向中标单位支付上一个月的 服务费。公司需支付医院场地费用</w:t>
      </w:r>
      <w:r>
        <w:rPr>
          <w:rFonts w:hint="eastAsia" w:ascii="仿宋_GB2312" w:hAnsi="宋体" w:eastAsia="仿宋_GB2312" w:cs="Times New Roman"/>
          <w:snapToGrid w:val="0"/>
          <w:color w:val="FF0000"/>
          <w:kern w:val="0"/>
          <w:sz w:val="32"/>
          <w:szCs w:val="32"/>
        </w:rPr>
        <w:t>5.5元/m²/月</w:t>
      </w:r>
      <w:r>
        <w:rPr>
          <w:rFonts w:hint="eastAsia" w:ascii="仿宋_GB2312" w:hAnsi="宋体" w:eastAsia="仿宋_GB2312" w:cs="Times New Roman"/>
          <w:snapToGrid w:val="0"/>
          <w:kern w:val="0"/>
          <w:sz w:val="32"/>
          <w:szCs w:val="32"/>
        </w:rPr>
        <w:t>，缴纳场地水电费定额</w:t>
      </w:r>
      <w:r>
        <w:rPr>
          <w:rFonts w:hint="eastAsia" w:ascii="仿宋_GB2312" w:hAnsi="宋体" w:eastAsia="仿宋_GB2312" w:cs="Times New Roman"/>
          <w:snapToGrid w:val="0"/>
          <w:color w:val="FF0000"/>
          <w:kern w:val="0"/>
          <w:sz w:val="32"/>
          <w:szCs w:val="32"/>
        </w:rPr>
        <w:t>0.9元/度</w:t>
      </w:r>
      <w:r>
        <w:rPr>
          <w:rFonts w:hint="eastAsia" w:ascii="仿宋_GB2312" w:hAnsi="宋体" w:eastAsia="仿宋_GB2312" w:cs="Times New Roman"/>
          <w:snapToGrid w:val="0"/>
          <w:kern w:val="0"/>
          <w:sz w:val="32"/>
          <w:szCs w:val="32"/>
        </w:rPr>
        <w:t>，医院提供值班办公室一间，值班室所产生的水电费按实际金额缴纳，费用每季度结算，付款方式：现金，医院收到款项后开具收款证明。</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2.中标单位每月护工服务费由院方管理，按出勤岗位人数结合考核评分情况据实列支支付，采购人保留对考核标准的解释权和修改权。实行双重考核：</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第一重考核：根据护工出勤岗位人数计算当月应付服务费，其中服务费的70%为固定支出部分，服务费的30%纳入考核后付费，护理部及相关科室根据《护工每月工作质量检查考评表》进行检查及评分。取各部门《护工每月工作质量检查考评表》得分的平均分为当月服务公司的考核分，按得分比例支付服务费。考核得分大于或等于95分，支付当月全额护工服务费；每低于95 分，扣罚1%*30%服务费（如考核得分85分，支付当月70%护工服务费+ 90%*30%护工服务费）。若一年内连续两次或累计发生3次低于70分的情况，则医院有权单方终止合同。</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（2）第二重考核：《陪护人员工作质量评价表》 要求考核得分大于或等于95分为合格，低于95分每少一分，扣减中标单位 100元服务费 ，汇总应扣罚的服务费，对服务公司进行第二重扣罚。</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（六）知识产权</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1.采购人在中华人民共和国境内使用成交供应商提供的货物 及服务时免受第三方提出的侵犯其专利权或其它知识产权的起诉。 如果</w:t>
      </w:r>
      <w:r>
        <w:rPr>
          <w:rFonts w:hint="eastAsia" w:ascii="仿宋" w:hAnsi="仿宋" w:eastAsia="仿宋" w:cs="仿宋"/>
          <w:spacing w:val="-8"/>
          <w:sz w:val="32"/>
          <w:szCs w:val="32"/>
        </w:rPr>
        <w:t>第</w:t>
      </w:r>
      <w:r>
        <w:rPr>
          <w:rFonts w:hint="eastAsia" w:ascii="仿宋_GB2312" w:hAnsi="宋体" w:eastAsia="仿宋_GB2312" w:cs="Times New Roman"/>
          <w:snapToGrid w:val="0"/>
          <w:kern w:val="0"/>
          <w:sz w:val="32"/>
          <w:szCs w:val="32"/>
        </w:rPr>
        <w:t>三方提出侵权指控，成交供应商应承担由此而引起的一切 法律责任和费用。</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2.涉及软件开发等服务类项目知识产权的，知识产权归采购人 所有。</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★（七） 保密要求</w:t>
      </w:r>
    </w:p>
    <w:p>
      <w:pPr>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报价方应保证其所指派人员遵守医院、部队相关规定。同时，报价方并保证不向第三方泄露本院秘密。</w:t>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p>
    <w:p>
      <w:pPr>
        <w:pStyle w:val="2"/>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报价方</w:t>
      </w:r>
      <w:r>
        <w:rPr>
          <w:rFonts w:hint="eastAsia" w:ascii="方正小标宋简体" w:hAnsi="Times New Roman" w:eastAsia="方正小标宋简体" w:cs="Times New Roman"/>
          <w:kern w:val="0"/>
          <w:sz w:val="44"/>
          <w:szCs w:val="44"/>
        </w:rPr>
        <w:t>须知</w:t>
      </w:r>
      <w:bookmarkEnd w:id="22"/>
      <w:bookmarkEnd w:id="23"/>
      <w:bookmarkEnd w:id="24"/>
      <w:bookmarkEnd w:id="25"/>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本谈判文件仅适用于《谈判邀请书》中所述采购项目的谈判采购；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2.参与谈判的所有各方，对在参与谈判过程中获悉的国家和军队商业、技术秘密以及其它依法应当保密的内容，均负有保密义务，违者应对由此造成的后果承担全部法律责任。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1.“采购项目”系指本谈判文件里描述的所需采购相关服务及附属产品；</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2.“采购机构”系指组织本次谈判的</w:t>
      </w:r>
      <w:r>
        <w:rPr>
          <w:rFonts w:hint="eastAsia" w:ascii="仿宋_GB2312" w:hAnsi="宋体" w:eastAsia="仿宋_GB2312" w:cs="Times New Roman"/>
          <w:snapToGrid w:val="0"/>
          <w:kern w:val="0"/>
          <w:sz w:val="32"/>
          <w:szCs w:val="32"/>
          <w:u w:val="single"/>
          <w:lang w:val="zh-CN"/>
        </w:rPr>
        <w:t xml:space="preserve"> 重庆某医院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3.“报价方”系指从采购机构按规定获取谈判文件，并提交报价文件的供应商；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4.“成交供应商”系指经过谈判评审，确定成交的报价方；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5</w:t>
      </w:r>
      <w:r>
        <w:rPr>
          <w:rFonts w:hint="eastAsia" w:ascii="仿宋_GB2312" w:hAnsi="宋体" w:eastAsia="仿宋_GB2312" w:cs="Times New Roman"/>
          <w:snapToGrid w:val="0"/>
          <w:kern w:val="0"/>
          <w:sz w:val="32"/>
          <w:szCs w:val="32"/>
          <w:lang w:val="zh-CN"/>
        </w:rPr>
        <w:t>.“服务”系指成交供应商按谈判文件规定，必须承担的咨询、书面材料、运输、技术协助、培训等义务。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1.能够遵守国家和军队的有关法律、法规和本次谈判的有关规定；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2.经采购机构资格审查合格，接受邀请，并有服务能力的供应商；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3.能够承担谈判报价及合同履约中应承担的全部责任与义务。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1.报价方对所提供的服务及附属产品应当享有合法的所有权，没有侵犯任何第三方的知识产权、技术秘密等权利，而且不存在任何抵押、留置、查封等产权瑕疵；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2.报价方提供的货物必须是全新的、未使用过的，货物和相关服务应当符合谈判文件的要求，并且其质量完全符合国家标准、军用标准或行业标准。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如报价方代表不是法定代表人，须持有《法定代表人授权书》。</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（六）谈判报价费用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不论谈判报价结果如何，报价方均应自行承担与谈判报价有关的全部费用。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（七）信息发布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本采购项目需要公开的有关信息，采购机构均通过中国招标网和中国政府采购网公开发布。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二、谈判</w:t>
      </w:r>
      <w:r>
        <w:rPr>
          <w:rFonts w:ascii="Times New Roman" w:hAnsi="Times New Roman" w:eastAsia="黑体" w:cs="Times New Roman"/>
          <w:kern w:val="0"/>
          <w:sz w:val="32"/>
          <w:szCs w:val="32"/>
        </w:rPr>
        <w:t>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谈判文件由谈判邀请书、采购项目商务要求、报价方须知、合同样本、附件/报价文件格式等内容构成。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谈判文件以中文编写。纸质谈判文件与电子版谈判文件具有同等法律效力，两者出现不一致时，以纸质谈判文件为准。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（三）谈判文件的修改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1.报价截止时间前，采购机构可对已发出的谈判文件进行修改。谈判文件修改内容是谈判文件的组成部分。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3.为使报价方有足够时间修改报价文件，采购机构可酌情推迟报价文件提交截止时间和谈判时间，并在报价文件提交截止时间3日前以书面形式通知所有报价方。</w:t>
      </w:r>
    </w:p>
    <w:p>
      <w:pPr>
        <w:ind w:firstLine="622" w:firstLineChars="200"/>
        <w:rPr>
          <w:rFonts w:ascii="仿宋_GB2312" w:hAnsi="宋体" w:eastAsia="仿宋_GB2312" w:cs="Times New Roman"/>
          <w:snapToGrid w:val="0"/>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报价文件编制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1.报价文件和来往信函均以中文书写。确有需要时，相关内容可以使用其他语言书写，但必须同时提供中文译文，以中文译文为准。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2.报价文件中所使用的计量单位，除谈判文件中有特殊要求外，均采用国家法定计量单位。</w:t>
      </w:r>
    </w:p>
    <w:p>
      <w:pPr>
        <w:ind w:firstLine="622" w:firstLineChars="200"/>
        <w:rPr>
          <w:rFonts w:ascii="仿宋_GB2312" w:hAnsi="宋体" w:eastAsia="仿宋_GB2312" w:cs="Times New Roman"/>
          <w:snapToGrid w:val="0"/>
          <w:color w:val="FF0000"/>
          <w:kern w:val="0"/>
          <w:sz w:val="32"/>
          <w:szCs w:val="32"/>
        </w:rPr>
      </w:pPr>
      <w:r>
        <w:rPr>
          <w:rFonts w:hint="eastAsia" w:ascii="仿宋_GB2312" w:hAnsi="宋体" w:eastAsia="仿宋_GB2312" w:cs="Times New Roman"/>
          <w:snapToGrid w:val="0"/>
          <w:color w:val="FF0000"/>
          <w:kern w:val="0"/>
          <w:sz w:val="32"/>
          <w:szCs w:val="32"/>
        </w:rPr>
        <w:t>（三）报价文件组成（包括两部分：报价书、资格证明文件）</w:t>
      </w:r>
    </w:p>
    <w:p>
      <w:pPr>
        <w:ind w:firstLine="622" w:firstLineChars="200"/>
        <w:rPr>
          <w:rFonts w:ascii="仿宋_GB2312" w:hAnsi="宋体" w:eastAsia="仿宋_GB2312" w:cs="Times New Roman"/>
          <w:snapToGrid w:val="0"/>
          <w:color w:val="FF0000"/>
          <w:kern w:val="0"/>
          <w:sz w:val="32"/>
          <w:szCs w:val="32"/>
        </w:rPr>
      </w:pPr>
      <w:r>
        <w:rPr>
          <w:rFonts w:hint="eastAsia" w:ascii="仿宋_GB2312" w:hAnsi="宋体" w:eastAsia="仿宋_GB2312" w:cs="Times New Roman"/>
          <w:snapToGrid w:val="0"/>
          <w:color w:val="FF0000"/>
          <w:kern w:val="0"/>
          <w:sz w:val="32"/>
          <w:szCs w:val="32"/>
        </w:rPr>
        <w:t>1.报价书包括：</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（1）报价函</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（2）报价一览表</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（3）报价构成表</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（4）主要技术条款响应偏离表</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（5）主要商务条款响应偏离表</w:t>
      </w:r>
    </w:p>
    <w:p>
      <w:pPr>
        <w:pStyle w:val="2"/>
        <w:ind w:firstLine="622" w:firstLineChars="200"/>
        <w:rPr>
          <w:rFonts w:ascii="仿宋_GB2312" w:hAnsi="宋体" w:eastAsia="仿宋_GB2312"/>
          <w:color w:val="FF0000"/>
          <w:sz w:val="32"/>
          <w:szCs w:val="32"/>
        </w:rPr>
      </w:pPr>
      <w:r>
        <w:rPr>
          <w:rFonts w:hint="eastAsia" w:ascii="仿宋_GB2312" w:hAnsi="宋体" w:eastAsia="仿宋_GB2312"/>
          <w:color w:val="FF0000"/>
          <w:sz w:val="32"/>
          <w:szCs w:val="32"/>
        </w:rPr>
        <w:t>（6）总体服务方案</w:t>
      </w:r>
    </w:p>
    <w:p>
      <w:pPr>
        <w:pStyle w:val="3"/>
        <w:ind w:left="0" w:firstLine="622" w:firstLineChars="200"/>
        <w:rPr>
          <w:color w:val="FF0000"/>
        </w:rPr>
      </w:pPr>
      <w:r>
        <w:rPr>
          <w:rFonts w:hint="eastAsia" w:ascii="仿宋_GB2312" w:hAnsi="宋体" w:eastAsia="仿宋_GB2312"/>
          <w:color w:val="FF0000"/>
          <w:sz w:val="32"/>
          <w:szCs w:val="32"/>
        </w:rPr>
        <w:t>（7）管理规章制度</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（8）应急预案及保障措施</w:t>
      </w:r>
    </w:p>
    <w:p>
      <w:pPr>
        <w:pStyle w:val="2"/>
        <w:ind w:firstLine="622" w:firstLineChars="200"/>
        <w:rPr>
          <w:rFonts w:ascii="仿宋_GB2312" w:hAnsi="宋体" w:eastAsia="仿宋_GB2312"/>
          <w:color w:val="FF0000"/>
          <w:sz w:val="32"/>
          <w:szCs w:val="32"/>
        </w:rPr>
      </w:pPr>
      <w:r>
        <w:rPr>
          <w:rFonts w:hint="eastAsia" w:ascii="仿宋_GB2312" w:hAnsi="宋体" w:eastAsia="仿宋_GB2312"/>
          <w:color w:val="FF0000"/>
          <w:sz w:val="32"/>
          <w:szCs w:val="32"/>
        </w:rPr>
        <w:t>（9）质量保证与服务承诺</w:t>
      </w:r>
    </w:p>
    <w:p>
      <w:pPr>
        <w:pStyle w:val="3"/>
        <w:ind w:left="0" w:firstLine="622" w:firstLineChars="200"/>
        <w:rPr>
          <w:color w:val="FF0000"/>
        </w:rPr>
      </w:pPr>
      <w:r>
        <w:rPr>
          <w:rFonts w:hint="eastAsia" w:ascii="仿宋_GB2312" w:hAnsi="宋体" w:eastAsia="仿宋_GB2312"/>
          <w:color w:val="FF0000"/>
          <w:sz w:val="32"/>
          <w:szCs w:val="32"/>
        </w:rPr>
        <w:t>（10）医院感染防控服务方案</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（11）近3年（2018年-2020年）成交案例及同类项目案例</w:t>
      </w:r>
    </w:p>
    <w:p>
      <w:pPr>
        <w:ind w:firstLine="622" w:firstLineChars="200"/>
        <w:rPr>
          <w:rFonts w:eastAsia="仿宋_GB2312"/>
          <w:color w:val="FF0000"/>
        </w:rPr>
      </w:pPr>
      <w:r>
        <w:rPr>
          <w:rFonts w:hint="eastAsia" w:ascii="仿宋_GB2312" w:hAnsi="宋体" w:eastAsia="仿宋_GB2312" w:cs="Times New Roman"/>
          <w:color w:val="FF0000"/>
          <w:kern w:val="0"/>
          <w:sz w:val="32"/>
          <w:szCs w:val="32"/>
        </w:rPr>
        <w:t>（12）保密承诺书</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2.资格证明文件包括（除必须要求原件外，其他资料原件和复印件均可）：</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（1）营业执照副本</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（2）组织机构代码证副本</w:t>
      </w:r>
      <w:r>
        <w:rPr>
          <w:rFonts w:hint="eastAsia" w:ascii="仿宋_GB2312" w:eastAsia="仿宋_GB2312" w:hAnsiTheme="minorEastAsia"/>
          <w:color w:val="FF0000"/>
          <w:sz w:val="32"/>
          <w:szCs w:val="32"/>
        </w:rPr>
        <w:t>（三证合一的不需提供）</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（3）税务登记证副本</w:t>
      </w:r>
      <w:r>
        <w:rPr>
          <w:rFonts w:hint="eastAsia" w:ascii="仿宋_GB2312" w:eastAsia="仿宋_GB2312" w:hAnsiTheme="minorEastAsia"/>
          <w:color w:val="FF0000"/>
          <w:sz w:val="32"/>
          <w:szCs w:val="32"/>
        </w:rPr>
        <w:t>（三证合一的不需提供）</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（4）参加本次采购活动前3年内在经营活动中没有重大违法记录的书面声明</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（5）主要股东或出资人信息</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（6）法定代表人资格证明书</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（7）法定代表人授权书</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（8）代理人缴纳的最近连续6个月本单位养老保险凭证</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（9）提供2020年度的财经审计报告</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（10）管理体系认证</w:t>
      </w:r>
    </w:p>
    <w:p>
      <w:pPr>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（11）报价方基本情况表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报价方必须按上述统一格式及顺序向采购机构提供《报价书》和《资格证明文件》，否则可能被视为无效报价。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4.报价书、资格证明文件须单独封装。其中，报价书一式</w:t>
      </w:r>
      <w:r>
        <w:rPr>
          <w:rFonts w:hint="eastAsia" w:ascii="仿宋_GB2312" w:hAnsi="宋体" w:eastAsia="仿宋_GB2312" w:cs="Times New Roman"/>
          <w:kern w:val="0"/>
          <w:sz w:val="32"/>
          <w:szCs w:val="32"/>
          <w:u w:val="single"/>
        </w:rPr>
        <w:t>3</w:t>
      </w:r>
      <w:r>
        <w:rPr>
          <w:rFonts w:hint="eastAsia" w:ascii="仿宋_GB2312" w:hAnsi="宋体" w:eastAsia="仿宋_GB2312" w:cs="Times New Roman"/>
          <w:kern w:val="0"/>
          <w:sz w:val="32"/>
          <w:szCs w:val="32"/>
        </w:rPr>
        <w:t>份，其中正本</w:t>
      </w:r>
      <w:r>
        <w:rPr>
          <w:rFonts w:hint="eastAsia" w:ascii="仿宋_GB2312" w:hAnsi="宋体" w:eastAsia="仿宋_GB2312" w:cs="Times New Roman"/>
          <w:kern w:val="0"/>
          <w:sz w:val="32"/>
          <w:szCs w:val="32"/>
          <w:u w:val="single"/>
        </w:rPr>
        <w:t>1</w:t>
      </w:r>
      <w:r>
        <w:rPr>
          <w:rFonts w:hint="eastAsia" w:ascii="仿宋_GB2312" w:hAnsi="宋体" w:eastAsia="仿宋_GB2312" w:cs="Times New Roman"/>
          <w:kern w:val="0"/>
          <w:sz w:val="32"/>
          <w:szCs w:val="32"/>
        </w:rPr>
        <w:t>份，副本</w:t>
      </w:r>
      <w:r>
        <w:rPr>
          <w:rFonts w:hint="eastAsia" w:ascii="仿宋_GB2312" w:hAnsi="宋体" w:eastAsia="仿宋_GB2312" w:cs="Times New Roman"/>
          <w:kern w:val="0"/>
          <w:sz w:val="32"/>
          <w:szCs w:val="32"/>
          <w:u w:val="single"/>
        </w:rPr>
        <w:t>2</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3</w:t>
      </w:r>
      <w:r>
        <w:rPr>
          <w:rFonts w:hint="eastAsia" w:ascii="仿宋_GB2312" w:hAnsi="宋体" w:eastAsia="仿宋_GB2312" w:cs="Times New Roman"/>
          <w:kern w:val="0"/>
          <w:sz w:val="32"/>
          <w:szCs w:val="32"/>
        </w:rPr>
        <w:t>份，其中正本</w:t>
      </w:r>
      <w:r>
        <w:rPr>
          <w:rFonts w:hint="eastAsia" w:ascii="仿宋_GB2312" w:hAnsi="宋体" w:eastAsia="仿宋_GB2312" w:cs="Times New Roman"/>
          <w:kern w:val="0"/>
          <w:sz w:val="32"/>
          <w:szCs w:val="32"/>
          <w:u w:val="single"/>
        </w:rPr>
        <w:t>1</w:t>
      </w:r>
      <w:r>
        <w:rPr>
          <w:rFonts w:hint="eastAsia" w:ascii="仿宋_GB2312" w:hAnsi="宋体" w:eastAsia="仿宋_GB2312" w:cs="Times New Roman"/>
          <w:kern w:val="0"/>
          <w:sz w:val="32"/>
          <w:szCs w:val="32"/>
        </w:rPr>
        <w:t>份，副本</w:t>
      </w:r>
      <w:r>
        <w:rPr>
          <w:rFonts w:hint="eastAsia" w:ascii="仿宋_GB2312" w:hAnsi="宋体" w:eastAsia="仿宋_GB2312" w:cs="Times New Roman"/>
          <w:kern w:val="0"/>
          <w:sz w:val="32"/>
          <w:szCs w:val="32"/>
          <w:u w:val="single"/>
        </w:rPr>
        <w:t>2</w:t>
      </w:r>
      <w:r>
        <w:rPr>
          <w:rFonts w:hint="eastAsia" w:ascii="仿宋_GB2312" w:hAnsi="宋体" w:eastAsia="仿宋_GB2312" w:cs="Times New Roman"/>
          <w:kern w:val="0"/>
          <w:sz w:val="32"/>
          <w:szCs w:val="32"/>
        </w:rPr>
        <w:t>份。在每一份文件上要注明“报价书”、“资格证明文件”、“正本”或“副本”字样。报价书、资格证明文件提供电子文档一份。如果纸质正本与副本、电子报价文件不符，以纸质正本为准。</w:t>
      </w:r>
    </w:p>
    <w:p>
      <w:pPr>
        <w:ind w:firstLine="622" w:firstLineChars="200"/>
        <w:rPr>
          <w:rFonts w:ascii="仿宋_GB2312" w:hAnsi="宋体" w:eastAsia="仿宋_GB2312" w:cs="宋体"/>
          <w:snapToGrid w:val="0"/>
          <w:color w:val="FF0000"/>
          <w:kern w:val="0"/>
          <w:sz w:val="32"/>
          <w:szCs w:val="32"/>
          <w:lang w:val="zh-CN"/>
        </w:rPr>
      </w:pPr>
      <w:r>
        <w:rPr>
          <w:rFonts w:hint="eastAsia" w:ascii="仿宋_GB2312" w:hAnsi="宋体" w:eastAsia="仿宋_GB2312" w:cs="宋体"/>
          <w:snapToGrid w:val="0"/>
          <w:color w:val="FF0000"/>
          <w:kern w:val="0"/>
          <w:sz w:val="32"/>
          <w:szCs w:val="32"/>
          <w:lang w:val="zh-CN"/>
        </w:rPr>
        <w:t>报价方</w:t>
      </w:r>
      <w:r>
        <w:rPr>
          <w:rFonts w:hint="eastAsia" w:ascii="仿宋_GB2312" w:hAnsi="宋体" w:eastAsia="仿宋_GB2312" w:cs="宋体"/>
          <w:snapToGrid w:val="0"/>
          <w:color w:val="FF0000"/>
          <w:kern w:val="0"/>
          <w:sz w:val="32"/>
          <w:szCs w:val="32"/>
        </w:rPr>
        <w:t>需提供</w:t>
      </w:r>
      <w:r>
        <w:rPr>
          <w:rFonts w:hint="eastAsia" w:ascii="仿宋_GB2312" w:hAnsi="宋体" w:eastAsia="仿宋_GB2312" w:cs="宋体"/>
          <w:snapToGrid w:val="0"/>
          <w:color w:val="FF0000"/>
          <w:kern w:val="0"/>
          <w:sz w:val="32"/>
          <w:szCs w:val="32"/>
          <w:lang w:val="zh-CN"/>
        </w:rPr>
        <w:t>电子报价文件，电子报价文件提交要求：</w:t>
      </w:r>
    </w:p>
    <w:p>
      <w:pPr>
        <w:ind w:firstLine="622" w:firstLineChars="200"/>
        <w:rPr>
          <w:rFonts w:ascii="仿宋_GB2312" w:hAnsi="宋体" w:eastAsia="仿宋_GB2312" w:cs="宋体"/>
          <w:snapToGrid w:val="0"/>
          <w:color w:val="FF0000"/>
          <w:kern w:val="0"/>
          <w:sz w:val="32"/>
          <w:szCs w:val="32"/>
          <w:lang w:val="zh-CN"/>
        </w:rPr>
      </w:pPr>
      <w:r>
        <w:rPr>
          <w:rFonts w:hint="eastAsia" w:ascii="仿宋_GB2312" w:hAnsi="宋体" w:eastAsia="仿宋_GB2312" w:cs="宋体"/>
          <w:snapToGrid w:val="0"/>
          <w:color w:val="FF0000"/>
          <w:kern w:val="0"/>
          <w:sz w:val="32"/>
          <w:szCs w:val="32"/>
          <w:lang w:val="zh-CN"/>
        </w:rPr>
        <w:t>(1)电子报价文件必须采用光盘刻录；</w:t>
      </w:r>
    </w:p>
    <w:p>
      <w:pPr>
        <w:ind w:firstLine="622" w:firstLineChars="200"/>
        <w:rPr>
          <w:rFonts w:ascii="仿宋_GB2312" w:hAnsi="宋体" w:eastAsia="仿宋_GB2312" w:cs="宋体"/>
          <w:snapToGrid w:val="0"/>
          <w:color w:val="FF0000"/>
          <w:kern w:val="0"/>
          <w:sz w:val="32"/>
          <w:szCs w:val="32"/>
          <w:lang w:val="zh-CN"/>
        </w:rPr>
      </w:pPr>
      <w:r>
        <w:rPr>
          <w:rFonts w:hint="eastAsia" w:ascii="仿宋_GB2312" w:hAnsi="宋体" w:eastAsia="仿宋_GB2312" w:cs="宋体"/>
          <w:snapToGrid w:val="0"/>
          <w:color w:val="FF0000"/>
          <w:kern w:val="0"/>
          <w:sz w:val="32"/>
          <w:szCs w:val="32"/>
          <w:lang w:val="zh-CN"/>
        </w:rPr>
        <w:t>(2)光盘应加贴标签，注明“项目名称、项目编号、包号、报价方名称”，每包单独密封；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宋体"/>
          <w:snapToGrid w:val="0"/>
          <w:color w:val="FF0000"/>
          <w:kern w:val="0"/>
          <w:sz w:val="32"/>
          <w:szCs w:val="32"/>
          <w:lang w:val="zh-CN"/>
        </w:rPr>
      </w:pPr>
      <w:r>
        <w:rPr>
          <w:rFonts w:hint="eastAsia" w:ascii="仿宋_GB2312" w:hAnsi="宋体" w:eastAsia="仿宋_GB2312" w:cs="宋体"/>
          <w:snapToGrid w:val="0"/>
          <w:color w:val="FF0000"/>
          <w:kern w:val="0"/>
          <w:sz w:val="32"/>
          <w:szCs w:val="32"/>
          <w:lang w:val="zh-CN"/>
        </w:rPr>
        <w:t>(3)电子报价文件为纸质正本报价文件的PDF格式或DOC格式文档，目录与相应内容具有链接索引功能，文件名格式：“第X包—项目名称—报价方名称”。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7.报价文件不得随意涂改和增删。如有修改错漏之处，必须由法定代表人或授权代表签字、盖章。法定代表人签字或签章均视为有效。</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8.报价文件</w:t>
      </w:r>
      <w:r>
        <w:rPr>
          <w:rFonts w:hint="eastAsia" w:ascii="仿宋_GB2312" w:hAnsi="宋体" w:eastAsia="仿宋_GB2312" w:cs="Times New Roman"/>
          <w:kern w:val="0"/>
          <w:sz w:val="32"/>
          <w:szCs w:val="32"/>
          <w:lang w:val="zh-CN"/>
        </w:rPr>
        <w:t>因字迹潦草或表述不清以及复印件不清所引起的后果由报价方自行负责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报价文件自提交截止之日起</w:t>
      </w:r>
      <w:r>
        <w:rPr>
          <w:rFonts w:hint="eastAsia" w:ascii="仿宋_GB2312" w:hAnsi="宋体" w:eastAsia="仿宋_GB2312" w:cs="宋体"/>
          <w:snapToGrid w:val="0"/>
          <w:color w:val="FF0000"/>
          <w:kern w:val="0"/>
          <w:sz w:val="32"/>
          <w:szCs w:val="32"/>
          <w:u w:val="single"/>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2.报价文件有效期需要延长的，采购机构可与报价方进行协商，并以书面形式予以确认，谈判保证金有效期相应延长。报价方拒绝延长有效期不影响退还谈判保证金。同意延长有效期的报价方不能修改报价文件。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3.在采购过程中</w:t>
      </w:r>
      <w:r>
        <w:rPr>
          <w:rFonts w:hint="eastAsia" w:ascii="仿宋_GB2312" w:hAnsi="宋体" w:eastAsia="仿宋_GB2312" w:cs="Times New Roman"/>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（六）谈判</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所有单价和总价按照报价一览表和合同格式要求填报。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4.报价方</w:t>
      </w:r>
      <w:r>
        <w:rPr>
          <w:rFonts w:hint="eastAsia" w:ascii="仿宋_GB2312" w:hAnsi="宋体" w:eastAsia="仿宋_GB2312" w:cs="Times New Roman"/>
          <w:kern w:val="0"/>
          <w:sz w:val="32"/>
          <w:szCs w:val="32"/>
        </w:rPr>
        <w:t>对同一种货物每次报价只允许有一种报价，采购机构不接受任何有选择的报价。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谈判保证金</w:t>
      </w:r>
    </w:p>
    <w:p>
      <w:pPr>
        <w:tabs>
          <w:tab w:val="left" w:pos="-1418"/>
        </w:tabs>
        <w:autoSpaceDE w:val="0"/>
        <w:autoSpaceDN w:val="0"/>
        <w:ind w:left="922" w:leftChars="304" w:hanging="311" w:hangingChars="100"/>
        <w:rPr>
          <w:rFonts w:ascii="仿宋_GB2312" w:hAnsi="宋体" w:eastAsia="仿宋_GB2312" w:cs="Times New Roman"/>
          <w:snapToGrid w:val="0"/>
          <w:color w:val="FF0000"/>
          <w:kern w:val="0"/>
          <w:sz w:val="32"/>
          <w:szCs w:val="32"/>
        </w:rPr>
      </w:pPr>
      <w:r>
        <w:rPr>
          <w:rFonts w:hint="eastAsia" w:ascii="仿宋_GB2312" w:hAnsi="宋体" w:eastAsia="仿宋_GB2312" w:cs="Times New Roman"/>
          <w:snapToGrid w:val="0"/>
          <w:color w:val="FF0000"/>
          <w:kern w:val="0"/>
          <w:sz w:val="32"/>
          <w:szCs w:val="32"/>
        </w:rPr>
        <w:t>本项目不交纳投标保证金</w:t>
      </w:r>
    </w:p>
    <w:p>
      <w:pPr>
        <w:tabs>
          <w:tab w:val="left" w:pos="-1418"/>
        </w:tabs>
        <w:autoSpaceDE w:val="0"/>
        <w:autoSpaceDN w:val="0"/>
        <w:ind w:left="922" w:leftChars="304" w:hanging="311" w:hangingChars="1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报价方应当在提交报价文件截止时间前向采购机构</w:t>
      </w:r>
      <w:r>
        <w:rPr>
          <w:rFonts w:hint="eastAsia" w:ascii="仿宋_GB2312" w:hAnsi="宋体" w:eastAsia="仿宋_GB2312" w:cs="Times New Roman"/>
          <w:kern w:val="0"/>
          <w:sz w:val="32"/>
          <w:szCs w:val="32"/>
        </w:rPr>
        <w:t>缴纳</w:t>
      </w:r>
    </w:p>
    <w:p>
      <w:pPr>
        <w:tabs>
          <w:tab w:val="left" w:pos="-1418"/>
        </w:tabs>
        <w:autoSpaceDE w:val="0"/>
        <w:autoSpaceDN w:val="0"/>
        <w:ind w:firstLine="933" w:firstLineChars="300"/>
        <w:rPr>
          <w:rFonts w:ascii="仿宋_GB2312" w:hAnsi="宋体" w:eastAsia="仿宋_GB2312" w:cs="Times New Roman"/>
          <w:kern w:val="0"/>
          <w:sz w:val="32"/>
          <w:szCs w:val="32"/>
          <w:u w:val="single"/>
          <w:lang w:val="zh-CN"/>
        </w:rPr>
      </w:pPr>
      <w:r>
        <w:rPr>
          <w:sz w:val="32"/>
        </w:rPr>
        <w:pict>
          <v:line id="_x0000_s2054" o:spid="_x0000_s2054" o:spt="20" style="position:absolute;left:0pt;margin-left:15.2pt;margin-top:20.2pt;height:0pt;width:32.65pt;z-index:251663360;mso-width-relative:page;mso-height-relative:page;" stroked="t" coordsize="21600,21600" o:gfxdata="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eOyX7UAAAABwEA&#10;AA8AAAAAAAAAAQAgAAAAIgAAAGRycy9kb3ducmV2LnhtbFBLAQIUABQAAAAIAIdO4kCRxeet5QEA&#10;AKcDAAAOAAAAAAAAAAEAIAAAACMBAABkcnMvZTJvRG9jLnhtbFBLBQYAAAAABgAGAFkBAAB6BQAA&#10;AAA=&#10;">
            <v:path arrowok="t"/>
            <v:fill focussize="0,0"/>
            <v:stroke color="#000000"/>
            <v:imagedata o:title=""/>
            <o:lock v:ext="edit"/>
          </v:line>
        </w:pict>
      </w:r>
      <w:r>
        <w:rPr>
          <w:rFonts w:hint="eastAsia" w:ascii="仿宋_GB2312" w:hAnsi="宋体" w:eastAsia="仿宋_GB2312" w:cs="Times New Roman"/>
          <w:kern w:val="0"/>
          <w:sz w:val="32"/>
          <w:szCs w:val="32"/>
        </w:rPr>
        <w:t>元</w:t>
      </w:r>
      <w:r>
        <w:rPr>
          <w:rFonts w:hint="eastAsia" w:ascii="仿宋_GB2312" w:hAnsi="宋体" w:eastAsia="仿宋_GB2312" w:cs="Times New Roman"/>
          <w:kern w:val="0"/>
          <w:sz w:val="32"/>
          <w:szCs w:val="32"/>
          <w:lang w:val="zh-CN"/>
        </w:rPr>
        <w:t>谈判保证金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2.谈判</w:t>
      </w:r>
      <w:r>
        <w:rPr>
          <w:rFonts w:hint="eastAsia" w:ascii="仿宋_GB2312" w:hAnsi="宋体" w:eastAsia="仿宋_GB2312" w:cs="Times New Roman"/>
          <w:kern w:val="0"/>
          <w:sz w:val="32"/>
          <w:szCs w:val="32"/>
          <w:lang w:val="zh-CN"/>
        </w:rPr>
        <w:t>保证金须采取非现金方式交纳，在提交报价文件截止时间前必须到达采购机构账户内，未到账的报价将被拒绝。</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 xml:space="preserve">投标保证金收款账户： </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户  名：</w:t>
      </w:r>
      <w:r>
        <w:rPr>
          <w:rFonts w:hint="eastAsia" w:ascii="仿宋_GB2312" w:hAnsi="宋体" w:eastAsia="仿宋_GB2312" w:cs="Times New Roman"/>
          <w:kern w:val="0"/>
          <w:sz w:val="32"/>
          <w:szCs w:val="32"/>
          <w:lang w:eastAsia="zh-CN"/>
        </w:rPr>
        <w:t>报名后获取</w:t>
      </w:r>
      <w:r>
        <w:rPr>
          <w:rFonts w:hint="eastAsia" w:ascii="仿宋_GB2312" w:hAnsi="宋体" w:eastAsia="仿宋_GB2312" w:cs="Times New Roman"/>
          <w:kern w:val="0"/>
          <w:sz w:val="32"/>
          <w:szCs w:val="32"/>
        </w:rPr>
        <w:t xml:space="preserve"> </w:t>
      </w:r>
    </w:p>
    <w:p>
      <w:pPr>
        <w:tabs>
          <w:tab w:val="left" w:pos="-1418"/>
        </w:tabs>
        <w:autoSpaceDE w:val="0"/>
        <w:autoSpaceDN w:val="0"/>
        <w:ind w:firstLine="622"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rPr>
        <w:t>开户行：</w:t>
      </w:r>
      <w:r>
        <w:rPr>
          <w:rFonts w:hint="eastAsia" w:ascii="仿宋_GB2312" w:hAnsi="宋体" w:eastAsia="仿宋_GB2312" w:cs="Times New Roman"/>
          <w:kern w:val="0"/>
          <w:sz w:val="32"/>
          <w:szCs w:val="32"/>
          <w:lang w:eastAsia="zh-CN"/>
        </w:rPr>
        <w:t>报名后获取</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账  号：</w:t>
      </w:r>
      <w:r>
        <w:rPr>
          <w:rFonts w:hint="eastAsia" w:ascii="仿宋_GB2312" w:hAnsi="宋体" w:eastAsia="仿宋_GB2312" w:cs="Times New Roman"/>
          <w:kern w:val="0"/>
          <w:sz w:val="32"/>
          <w:szCs w:val="32"/>
          <w:lang w:eastAsia="zh-CN"/>
        </w:rPr>
        <w:t>报名后获取</w:t>
      </w:r>
      <w:r>
        <w:rPr>
          <w:rFonts w:hint="eastAsia" w:ascii="仿宋_GB2312" w:hAnsi="宋体" w:eastAsia="仿宋_GB2312" w:cs="Times New Roman"/>
          <w:kern w:val="0"/>
          <w:sz w:val="32"/>
          <w:szCs w:val="32"/>
        </w:rPr>
        <w:t xml:space="preserve"> </w:t>
      </w:r>
    </w:p>
    <w:p>
      <w:pPr>
        <w:pStyle w:val="2"/>
        <w:rPr>
          <w:rFonts w:ascii="仿宋_GB2312" w:hAnsi="宋体" w:eastAsia="仿宋_GB2312"/>
          <w:sz w:val="32"/>
          <w:szCs w:val="32"/>
        </w:rPr>
      </w:pPr>
      <w:r>
        <w:rPr>
          <w:rFonts w:hint="eastAsia" w:ascii="仿宋_GB2312" w:hAnsi="宋体" w:eastAsia="仿宋_GB2312"/>
          <w:sz w:val="32"/>
          <w:szCs w:val="32"/>
        </w:rPr>
        <w:t xml:space="preserve">  转账备注：“xx项目”投标保证金</w:t>
      </w:r>
    </w:p>
    <w:p>
      <w:pPr>
        <w:numPr>
          <w:ilvl w:val="0"/>
          <w:numId w:val="3"/>
        </w:numPr>
        <w:tabs>
          <w:tab w:val="left" w:pos="-1418"/>
          <w:tab w:val="clear" w:pos="312"/>
        </w:tabs>
        <w:autoSpaceDE w:val="0"/>
        <w:autoSpaceDN w:val="0"/>
        <w:ind w:firstLine="622"/>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成交供应商的谈判保证金，在成交供应商与采购机构签订正式合同后5个工作日内全额无息退还。未成交报价方的谈判保证金，在采购机构发出未成交通知书后5个工作日内全额无息退还。</w:t>
      </w:r>
    </w:p>
    <w:p>
      <w:pPr>
        <w:pStyle w:val="2"/>
        <w:ind w:firstLine="622" w:firstLineChars="200"/>
        <w:rPr>
          <w:rFonts w:ascii="仿宋_GB2312" w:hAnsi="宋体" w:eastAsia="仿宋_GB2312"/>
          <w:sz w:val="32"/>
          <w:szCs w:val="32"/>
        </w:rPr>
      </w:pPr>
      <w:r>
        <w:rPr>
          <w:rFonts w:hint="eastAsia" w:ascii="仿宋_GB2312" w:hAnsi="宋体" w:eastAsia="仿宋_GB2312"/>
          <w:sz w:val="32"/>
          <w:szCs w:val="32"/>
        </w:rPr>
        <w:t>退保证金须提交：</w:t>
      </w:r>
    </w:p>
    <w:p>
      <w:pPr>
        <w:pStyle w:val="2"/>
        <w:ind w:firstLine="622" w:firstLineChars="200"/>
        <w:rPr>
          <w:rFonts w:ascii="仿宋_GB2312" w:hAnsi="宋体" w:eastAsia="仿宋_GB2312"/>
          <w:sz w:val="32"/>
          <w:szCs w:val="32"/>
        </w:rPr>
      </w:pPr>
      <w:r>
        <w:rPr>
          <w:rFonts w:ascii="仿宋_GB2312" w:hAnsi="宋体" w:eastAsia="仿宋_GB2312"/>
          <w:sz w:val="32"/>
          <w:szCs w:val="32"/>
        </w:rPr>
        <w:t>①</w:t>
      </w:r>
      <w:r>
        <w:rPr>
          <w:rFonts w:hint="eastAsia" w:ascii="仿宋_GB2312" w:hAnsi="宋体" w:eastAsia="仿宋_GB2312"/>
          <w:sz w:val="32"/>
          <w:szCs w:val="32"/>
          <w:lang w:eastAsia="zh-CN"/>
        </w:rPr>
        <w:t>我</w:t>
      </w:r>
      <w:r>
        <w:rPr>
          <w:rFonts w:hint="eastAsia" w:ascii="仿宋_GB2312" w:hAnsi="宋体" w:eastAsia="仿宋_GB2312"/>
          <w:sz w:val="32"/>
          <w:szCs w:val="32"/>
        </w:rPr>
        <w:t>院财务室开具投标保证金票据（原件）；</w:t>
      </w:r>
    </w:p>
    <w:p>
      <w:pPr>
        <w:pStyle w:val="2"/>
        <w:ind w:firstLine="622" w:firstLineChars="200"/>
        <w:rPr>
          <w:rFonts w:ascii="仿宋_GB2312" w:hAnsi="宋体" w:eastAsia="仿宋_GB2312"/>
          <w:sz w:val="32"/>
          <w:szCs w:val="32"/>
        </w:rPr>
      </w:pPr>
      <w:r>
        <w:rPr>
          <w:rFonts w:ascii="仿宋_GB2312" w:hAnsi="宋体" w:eastAsia="仿宋_GB2312"/>
          <w:sz w:val="32"/>
          <w:szCs w:val="32"/>
        </w:rPr>
        <w:t>②</w:t>
      </w:r>
      <w:r>
        <w:rPr>
          <w:rFonts w:hint="eastAsia" w:ascii="仿宋_GB2312" w:hAnsi="宋体" w:eastAsia="仿宋_GB2312"/>
          <w:sz w:val="32"/>
          <w:szCs w:val="32"/>
        </w:rPr>
        <w:t>投标单位的银行开户许可证缩印成A5纸张大小，并加盖投标单位鲜章；</w:t>
      </w:r>
    </w:p>
    <w:p>
      <w:pPr>
        <w:pStyle w:val="2"/>
        <w:ind w:firstLine="622" w:firstLineChars="200"/>
        <w:rPr>
          <w:rFonts w:ascii="仿宋_GB2312" w:hAnsi="宋体" w:eastAsia="仿宋_GB2312"/>
          <w:sz w:val="32"/>
          <w:szCs w:val="32"/>
        </w:rPr>
      </w:pPr>
      <w:r>
        <w:rPr>
          <w:rFonts w:ascii="仿宋_GB2312" w:hAnsi="宋体" w:eastAsia="仿宋_GB2312"/>
          <w:sz w:val="32"/>
          <w:szCs w:val="32"/>
        </w:rPr>
        <w:t>③</w:t>
      </w:r>
      <w:r>
        <w:rPr>
          <w:rFonts w:hint="eastAsia" w:ascii="仿宋_GB2312" w:hAnsi="宋体" w:eastAsia="仿宋_GB2312"/>
          <w:sz w:val="32"/>
          <w:szCs w:val="32"/>
        </w:rPr>
        <w:t>投标单位开具退保证金申请缩印成A5纸张大小，证明已经收到</w:t>
      </w:r>
      <w:r>
        <w:rPr>
          <w:rFonts w:hint="eastAsia" w:ascii="仿宋_GB2312" w:hAnsi="宋体" w:eastAsia="仿宋_GB2312"/>
          <w:sz w:val="32"/>
          <w:szCs w:val="32"/>
          <w:lang w:val="en-US" w:eastAsia="zh-CN"/>
        </w:rPr>
        <w:t>XX</w:t>
      </w:r>
      <w:r>
        <w:rPr>
          <w:rFonts w:hint="eastAsia" w:ascii="仿宋_GB2312" w:hAnsi="宋体" w:eastAsia="仿宋_GB2312"/>
          <w:sz w:val="32"/>
          <w:szCs w:val="32"/>
        </w:rPr>
        <w:t>医院开出的XX项目XX元的投标收据，并加盖投标单位鲜章。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4.有下列情况之一的，谈判保证金将被没收：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(1)投标供应商非不可抗拒因素，迟到或缺席开标的；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(2)谈判开始后，报价方撤回其报价文件的；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(3)谈判期间，报价方干扰谈判活动，造成严重影响和后果的；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(6)成交供应商不配合医院及第三方审价的；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(7)成交供应商不按规定签订合同的；</w:t>
      </w:r>
    </w:p>
    <w:p>
      <w:pPr>
        <w:pStyle w:val="2"/>
        <w:rPr>
          <w:rFonts w:ascii="仿宋_GB2312" w:hAnsi="宋体" w:eastAsia="仿宋_GB2312"/>
          <w:sz w:val="32"/>
          <w:szCs w:val="32"/>
        </w:rPr>
      </w:pPr>
      <w:r>
        <w:rPr>
          <w:rFonts w:hint="eastAsia" w:ascii="仿宋_GB2312" w:hAnsi="宋体" w:eastAsia="仿宋_GB2312"/>
          <w:sz w:val="32"/>
          <w:szCs w:val="32"/>
        </w:rPr>
        <w:t>(8)其他违反国家和军队法律法规行为的。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报价文件</w:t>
      </w:r>
      <w:r>
        <w:rPr>
          <w:rFonts w:hint="eastAsia" w:ascii="Times New Roman" w:hAnsi="Times New Roman" w:eastAsia="黑体" w:cs="Times New Roman"/>
          <w:kern w:val="0"/>
          <w:sz w:val="32"/>
          <w:szCs w:val="32"/>
        </w:rPr>
        <w:t>提交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（一）报价文件密封及标记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bCs/>
          <w:kern w:val="0"/>
          <w:sz w:val="32"/>
          <w:szCs w:val="32"/>
        </w:rPr>
        <w:t>1.报价方应当将报价</w:t>
      </w:r>
      <w:r>
        <w:rPr>
          <w:rFonts w:hint="eastAsia" w:ascii="仿宋_GB2312" w:hAnsi="宋体" w:eastAsia="仿宋_GB2312" w:cs="Times New Roman"/>
          <w:kern w:val="0"/>
          <w:sz w:val="32"/>
          <w:szCs w:val="32"/>
          <w:lang w:val="zh-CN"/>
        </w:rPr>
        <w:t>文件的正本和副本统一装入密封袋内，封口处应当有报价方单位公章，封面</w:t>
      </w:r>
      <w:r>
        <w:rPr>
          <w:rFonts w:hint="eastAsia" w:ascii="仿宋_GB2312" w:hAnsi="宋体" w:eastAsia="仿宋_GB2312" w:cs="Times New Roman"/>
          <w:kern w:val="0"/>
          <w:sz w:val="32"/>
          <w:szCs w:val="32"/>
        </w:rPr>
        <w:t>上注明“报价文件、谈判项目名称、项目编号、包号、</w:t>
      </w:r>
      <w:r>
        <w:rPr>
          <w:rFonts w:hint="eastAsia" w:ascii="仿宋_GB2312" w:hAnsi="宋体" w:eastAsia="仿宋_GB2312" w:cs="Times New Roman"/>
          <w:kern w:val="0"/>
          <w:sz w:val="32"/>
          <w:szCs w:val="32"/>
          <w:lang w:val="zh-CN"/>
        </w:rPr>
        <w:t>报价方</w:t>
      </w:r>
      <w:r>
        <w:rPr>
          <w:rFonts w:hint="eastAsia" w:ascii="仿宋_GB2312" w:hAnsi="宋体" w:eastAsia="仿宋_GB2312" w:cs="Times New Roman"/>
          <w:kern w:val="0"/>
          <w:sz w:val="32"/>
          <w:szCs w:val="32"/>
        </w:rPr>
        <w:t>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2.报价方应当在谈判文件明确的提交报价文件截止时间前，由谈判全权代表将报价文件送达采购机构指定地点。逾期提交的报价文件，采购机构将拒收。</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4.报价文件未按要求密封、标记的，采购机构将拒绝接收。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2.报价方修改补充报价文件的书面材料，须密封送达采购机构指定地点，并在封面上注明“报价修改文件、项目名称、项目编号、报价方名称”和“谈判时启封”字样。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4.谈判开始后，报价方不得撤回报价文件，否则谈判保证金不予退还。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五、谈判报价与评审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（一）谈判小组</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采购机构根据规定组建谈判小组。其成员由经济、技术等方面的专家和采购机构代表组成，其中技术、经济类专家不少于三分之二。</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（二）谈判方式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color w:val="FF0000"/>
          <w:kern w:val="0"/>
          <w:sz w:val="32"/>
          <w:szCs w:val="32"/>
        </w:rPr>
        <w:t>本次谈判采取1轮谈判2次报价的方式</w:t>
      </w:r>
      <w:r>
        <w:rPr>
          <w:rFonts w:hint="eastAsia" w:ascii="仿宋_GB2312" w:hAnsi="宋体" w:eastAsia="仿宋_GB2312" w:cs="Times New Roman"/>
          <w:snapToGrid w:val="0"/>
          <w:kern w:val="0"/>
          <w:sz w:val="32"/>
          <w:szCs w:val="32"/>
        </w:rPr>
        <w:t>。确需增加谈判报价轮次的，在谈判过程中经谈判小组（五分之四以上评委）认定可以增加，但应当在评审报告中注明理由。</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（三）评审要求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(2)对所有响应谈判文件实质性要求的报价方一视同仁；</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(3)</w:t>
      </w:r>
      <w:r>
        <w:rPr>
          <w:rFonts w:hint="eastAsia" w:ascii="仿宋_GB2312" w:hAnsi="宋体" w:eastAsia="仿宋_GB2312" w:cs="宋体"/>
          <w:snapToGrid w:val="0"/>
          <w:kern w:val="0"/>
          <w:sz w:val="32"/>
          <w:szCs w:val="32"/>
          <w:lang w:val="zh-CN"/>
        </w:rPr>
        <w:t>综合比较货物性能、质量、价格、交货期、售后服务等因素，确定评审排序结果；</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(4)报价最低不作为成交的保证。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2.评审有关要求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(1)谈判小组应当公平、公正、客观，不带任何倾向性和启发性，谈判小组及有关工作人员不得私下与报价方接触。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(2)评审过程严格保密。凡是属于审查、澄清、评价和比较有关的资料以及成交建议等，所有知情人均不得向报价方或其他无关的人员透露。</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(3)任何单位和个人都不得干扰、影响谈判活动的正常进行。报价方在谈判过程中所进行的试图影响成交结果的一切不符合法律或谈判规定的活动，都可能导致其报价被拒绝。</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color w:val="FF0000"/>
          <w:kern w:val="0"/>
          <w:sz w:val="32"/>
          <w:szCs w:val="32"/>
        </w:rPr>
        <w:t>综合评分法</w:t>
      </w:r>
      <w:r>
        <w:rPr>
          <w:rFonts w:hint="eastAsia" w:ascii="仿宋_GB2312" w:hAnsi="宋体" w:eastAsia="仿宋_GB2312" w:cs="Times New Roman"/>
          <w:kern w:val="0"/>
          <w:sz w:val="32"/>
          <w:szCs w:val="32"/>
        </w:rPr>
        <w:t>。是指响应文件满足竞争性谈判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ind w:firstLine="622" w:firstLineChars="200"/>
        <w:rPr>
          <w:rFonts w:ascii="仿宋_GB2312" w:hAnsi="宋体" w:eastAsia="仿宋_GB2312" w:cs="Times New Roman"/>
          <w:sz w:val="32"/>
          <w:szCs w:val="32"/>
        </w:rPr>
      </w:pPr>
    </w:p>
    <w:p>
      <w:pPr>
        <w:ind w:firstLine="542" w:firstLineChars="200"/>
        <w:rPr>
          <w:rFonts w:ascii="宋体" w:hAnsi="宋体" w:eastAsia="宋体" w:cs="Times New Roman"/>
          <w:kern w:val="0"/>
          <w:sz w:val="28"/>
          <w:szCs w:val="28"/>
        </w:rPr>
      </w:pPr>
    </w:p>
    <w:p>
      <w:pPr>
        <w:rPr>
          <w:rFonts w:ascii="黑体" w:hAnsi="黑体" w:eastAsia="黑体" w:cs="Times New Roman"/>
          <w:kern w:val="0"/>
          <w:sz w:val="32"/>
          <w:szCs w:val="32"/>
        </w:rPr>
      </w:pPr>
      <w:r>
        <w:rPr>
          <w:rFonts w:ascii="Times New Roman" w:hAnsi="Times New Roman" w:eastAsia="宋体" w:cs="Times New Roman"/>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                   项目编号：                            包号：</w:t>
      </w:r>
    </w:p>
    <w:tbl>
      <w:tblPr>
        <w:tblStyle w:val="20"/>
        <w:tblW w:w="5000" w:type="pct"/>
        <w:jc w:val="center"/>
        <w:tblLayout w:type="fixed"/>
        <w:tblCellMar>
          <w:top w:w="0" w:type="dxa"/>
          <w:left w:w="108" w:type="dxa"/>
          <w:bottom w:w="0" w:type="dxa"/>
          <w:right w:w="108" w:type="dxa"/>
        </w:tblCellMar>
      </w:tblPr>
      <w:tblGrid>
        <w:gridCol w:w="5871"/>
        <w:gridCol w:w="1051"/>
        <w:gridCol w:w="1069"/>
        <w:gridCol w:w="1069"/>
      </w:tblGrid>
      <w:tr>
        <w:tblPrEx>
          <w:tblCellMar>
            <w:top w:w="0" w:type="dxa"/>
            <w:left w:w="108" w:type="dxa"/>
            <w:bottom w:w="0" w:type="dxa"/>
            <w:right w:w="108" w:type="dxa"/>
          </w:tblCellMar>
        </w:tblPrEx>
        <w:trPr>
          <w:trHeight w:val="454" w:hRule="exact"/>
          <w:jc w:val="center"/>
        </w:trPr>
        <w:tc>
          <w:tcPr>
            <w:tcW w:w="58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报价方1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36"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1.工商营业执照、组织机构代码证、税务登记证、缴纳社保证明。</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48" w:hRule="exact"/>
          <w:jc w:val="center"/>
        </w:trPr>
        <w:tc>
          <w:tcPr>
            <w:tcW w:w="5871" w:type="dxa"/>
            <w:tcBorders>
              <w:top w:val="nil"/>
              <w:left w:val="single" w:color="auto" w:sz="4" w:space="0"/>
              <w:bottom w:val="single" w:color="auto" w:sz="4" w:space="0"/>
              <w:right w:val="single" w:color="auto" w:sz="4" w:space="0"/>
            </w:tcBorders>
            <w:vAlign w:val="center"/>
          </w:tcPr>
          <w:p>
            <w:pPr>
              <w:spacing w:line="300" w:lineRule="exact"/>
              <w:rPr>
                <w:rFonts w:ascii="宋体" w:hAnsi="宋体" w:eastAsia="宋体" w:cs="宋体"/>
                <w:kern w:val="0"/>
                <w:szCs w:val="21"/>
              </w:rPr>
            </w:pPr>
            <w:r>
              <w:rPr>
                <w:rFonts w:hint="eastAsia" w:ascii="宋体" w:hAnsi="宋体" w:eastAsia="宋体" w:cs="宋体"/>
                <w:kern w:val="0"/>
                <w:szCs w:val="21"/>
              </w:rPr>
              <w:t>2.参加本次采购活动前3年内在经营活动中没有重大违法记录</w:t>
            </w:r>
          </w:p>
          <w:p>
            <w:pPr>
              <w:spacing w:line="300" w:lineRule="exact"/>
              <w:rPr>
                <w:rFonts w:ascii="宋体" w:hAnsi="宋体" w:eastAsia="宋体" w:cs="宋体"/>
                <w:kern w:val="0"/>
                <w:szCs w:val="21"/>
              </w:rPr>
            </w:pPr>
            <w:r>
              <w:rPr>
                <w:rFonts w:hint="eastAsia" w:ascii="宋体" w:hAnsi="宋体" w:eastAsia="宋体" w:cs="宋体"/>
                <w:kern w:val="0"/>
                <w:szCs w:val="21"/>
              </w:rPr>
              <w:t>的书面声明。</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04"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3.法定代表人资格证明书和授权书</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84"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4.提供2020年度的财经审计报告（2020年无亏损，且必须包含资产负债表，现金流量表，利润表）</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5.其他内容</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1.报价文件密封完好</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2.报价文件签署、盖章齐全完整</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3.报价文件组成齐全完整</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4.报价文件有效期满足谈判文件要求</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5.谈判保证金满足谈判文件要求</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6.其他内容</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7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05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3.采购机构应当结合采购项目实际情况，适当增减调整审查内容。</w:t>
            </w:r>
          </w:p>
        </w:tc>
      </w:tr>
    </w:tbl>
    <w:p>
      <w:pPr>
        <w:rPr>
          <w:rFonts w:ascii="宋体" w:hAnsi="宋体" w:eastAsia="宋体" w:cs="Times New Roman"/>
          <w:kern w:val="0"/>
          <w:sz w:val="28"/>
          <w:szCs w:val="28"/>
        </w:rPr>
      </w:pPr>
      <w:r>
        <w:rPr>
          <w:rFonts w:hint="eastAsia" w:ascii="Times New Roman" w:hAnsi="Times New Roman" w:eastAsia="宋体" w:cs="Times New Roman"/>
          <w:kern w:val="0"/>
          <w:sz w:val="24"/>
          <w:szCs w:val="24"/>
        </w:rPr>
        <w:t>谈判小组</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日</w:t>
      </w:r>
    </w:p>
    <w:p>
      <w:pPr>
        <w:ind w:firstLine="622" w:firstLineChars="200"/>
        <w:rPr>
          <w:rFonts w:ascii="仿宋_GB2312" w:hAnsi="宋体" w:eastAsia="仿宋_GB2312"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表2</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评分标准</w:t>
      </w:r>
    </w:p>
    <w:tbl>
      <w:tblPr>
        <w:tblStyle w:val="20"/>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068"/>
        <w:gridCol w:w="1080"/>
        <w:gridCol w:w="628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noWrap/>
            <w:vAlign w:val="center"/>
          </w:tcPr>
          <w:p>
            <w:pPr>
              <w:spacing w:line="300" w:lineRule="exact"/>
              <w:ind w:firstLine="28"/>
              <w:jc w:val="center"/>
              <w:rPr>
                <w:rFonts w:ascii="仿宋_GB2312" w:hAnsi="仿宋_GB2312" w:eastAsia="仿宋_GB2312" w:cs="仿宋_GB2312"/>
                <w:b/>
                <w:color w:val="FF0000"/>
                <w:szCs w:val="21"/>
              </w:rPr>
            </w:pPr>
            <w:r>
              <w:rPr>
                <w:rFonts w:hint="eastAsia" w:ascii="仿宋_GB2312" w:hAnsi="仿宋_GB2312" w:eastAsia="仿宋_GB2312" w:cs="仿宋_GB2312"/>
                <w:b/>
                <w:color w:val="FF0000"/>
                <w:szCs w:val="21"/>
              </w:rPr>
              <w:t>序号</w:t>
            </w:r>
          </w:p>
        </w:tc>
        <w:tc>
          <w:tcPr>
            <w:tcW w:w="1068" w:type="dxa"/>
            <w:noWrap/>
            <w:vAlign w:val="center"/>
          </w:tcPr>
          <w:p>
            <w:pPr>
              <w:spacing w:line="300" w:lineRule="exact"/>
              <w:ind w:firstLine="28"/>
              <w:jc w:val="center"/>
              <w:rPr>
                <w:rFonts w:ascii="仿宋_GB2312" w:hAnsi="仿宋_GB2312" w:eastAsia="仿宋_GB2312" w:cs="仿宋_GB2312"/>
                <w:b/>
                <w:color w:val="FF0000"/>
                <w:szCs w:val="21"/>
              </w:rPr>
            </w:pPr>
            <w:r>
              <w:rPr>
                <w:rFonts w:hint="eastAsia" w:ascii="仿宋_GB2312" w:hAnsi="仿宋_GB2312" w:eastAsia="仿宋_GB2312" w:cs="仿宋_GB2312"/>
                <w:b/>
                <w:color w:val="FF0000"/>
                <w:szCs w:val="21"/>
              </w:rPr>
              <w:t>评分因素及权值</w:t>
            </w:r>
          </w:p>
        </w:tc>
        <w:tc>
          <w:tcPr>
            <w:tcW w:w="1080" w:type="dxa"/>
            <w:noWrap/>
            <w:vAlign w:val="center"/>
          </w:tcPr>
          <w:p>
            <w:pPr>
              <w:spacing w:line="300" w:lineRule="exact"/>
              <w:ind w:firstLine="28"/>
              <w:jc w:val="center"/>
              <w:rPr>
                <w:rFonts w:ascii="仿宋_GB2312" w:hAnsi="仿宋_GB2312" w:eastAsia="仿宋_GB2312" w:cs="仿宋_GB2312"/>
                <w:b/>
                <w:color w:val="FF0000"/>
                <w:szCs w:val="21"/>
              </w:rPr>
            </w:pPr>
            <w:r>
              <w:rPr>
                <w:rFonts w:hint="eastAsia" w:ascii="仿宋_GB2312" w:hAnsi="仿宋_GB2312" w:eastAsia="仿宋_GB2312" w:cs="仿宋_GB2312"/>
                <w:b/>
                <w:color w:val="FF0000"/>
                <w:szCs w:val="21"/>
              </w:rPr>
              <w:t>分值</w:t>
            </w:r>
          </w:p>
        </w:tc>
        <w:tc>
          <w:tcPr>
            <w:tcW w:w="6288" w:type="dxa"/>
            <w:noWrap/>
            <w:vAlign w:val="center"/>
          </w:tcPr>
          <w:p>
            <w:pPr>
              <w:spacing w:line="300" w:lineRule="exact"/>
              <w:ind w:firstLine="28"/>
              <w:jc w:val="center"/>
              <w:rPr>
                <w:rFonts w:ascii="仿宋_GB2312" w:hAnsi="仿宋_GB2312" w:eastAsia="仿宋_GB2312" w:cs="仿宋_GB2312"/>
                <w:b/>
                <w:color w:val="FF0000"/>
                <w:szCs w:val="21"/>
              </w:rPr>
            </w:pPr>
            <w:r>
              <w:rPr>
                <w:rFonts w:hint="eastAsia" w:ascii="仿宋_GB2312" w:hAnsi="仿宋_GB2312" w:eastAsia="仿宋_GB2312" w:cs="仿宋_GB2312"/>
                <w:b/>
                <w:color w:val="FF0000"/>
                <w:szCs w:val="21"/>
              </w:rPr>
              <w:t>评分标准</w:t>
            </w:r>
          </w:p>
        </w:tc>
        <w:tc>
          <w:tcPr>
            <w:tcW w:w="1061" w:type="dxa"/>
            <w:noWrap/>
            <w:vAlign w:val="center"/>
          </w:tcPr>
          <w:p>
            <w:pPr>
              <w:pStyle w:val="51"/>
              <w:spacing w:line="300" w:lineRule="exact"/>
              <w:rPr>
                <w:rFonts w:ascii="仿宋_GB2312" w:hAnsi="仿宋_GB2312" w:cs="仿宋_GB2312"/>
                <w:color w:val="FF0000"/>
                <w:sz w:val="21"/>
                <w:szCs w:val="21"/>
              </w:rPr>
            </w:pPr>
            <w:r>
              <w:rPr>
                <w:rFonts w:hint="eastAsia" w:ascii="仿宋_GB2312" w:hAnsi="仿宋_GB2312" w:cs="仿宋_GB2312"/>
                <w:color w:val="FF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noWrap/>
            <w:vAlign w:val="center"/>
          </w:tcPr>
          <w:p>
            <w:pPr>
              <w:spacing w:line="300" w:lineRule="exact"/>
              <w:ind w:firstLine="28"/>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1</w:t>
            </w:r>
          </w:p>
        </w:tc>
        <w:tc>
          <w:tcPr>
            <w:tcW w:w="1068" w:type="dxa"/>
            <w:noWrap/>
            <w:vAlign w:val="center"/>
          </w:tcPr>
          <w:p>
            <w:pPr>
              <w:spacing w:line="300" w:lineRule="exact"/>
              <w:ind w:firstLine="28"/>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谈判报价</w:t>
            </w:r>
          </w:p>
          <w:p>
            <w:pPr>
              <w:spacing w:line="300" w:lineRule="exact"/>
              <w:ind w:firstLine="28"/>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（30%）</w:t>
            </w:r>
          </w:p>
        </w:tc>
        <w:tc>
          <w:tcPr>
            <w:tcW w:w="1080" w:type="dxa"/>
            <w:noWrap/>
            <w:vAlign w:val="center"/>
          </w:tcPr>
          <w:p>
            <w:pPr>
              <w:spacing w:line="300" w:lineRule="exact"/>
              <w:ind w:firstLine="28"/>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经济分（30）</w:t>
            </w: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满足资格性、符合性要求且最后报价最低的供应商的价格为谈判基准价，其价格分为满分。其他供应商的价格分统一按照下列公式计算：</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谈判报价得分=（谈判基准价/最后谈判报价）×价格权值×100</w:t>
            </w: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6" w:hRule="atLeast"/>
          <w:jc w:val="center"/>
        </w:trPr>
        <w:tc>
          <w:tcPr>
            <w:tcW w:w="588" w:type="dxa"/>
            <w:vMerge w:val="restart"/>
            <w:noWrap/>
            <w:vAlign w:val="center"/>
          </w:tcPr>
          <w:p>
            <w:pPr>
              <w:spacing w:line="300" w:lineRule="exact"/>
              <w:ind w:firstLine="28"/>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2</w:t>
            </w:r>
          </w:p>
        </w:tc>
        <w:tc>
          <w:tcPr>
            <w:tcW w:w="1068" w:type="dxa"/>
            <w:vMerge w:val="restart"/>
            <w:noWrap/>
            <w:vAlign w:val="center"/>
          </w:tcPr>
          <w:p>
            <w:pPr>
              <w:spacing w:line="30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技术部分（52分）</w:t>
            </w: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总体服务方案    （16分）</w:t>
            </w: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据投标人制定的总体服务方案（包括项目的理解、培训及管理方案） 的科学性、具体性、详细性、实效性、全面性等进行综合评审：</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优：总体服务方案对本项目内容理解深刻，且能结合医院护工管理特色进行论述，论述清晰合理，方案全面及可实施性强得16分；</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良：总体服务方案对本项目的内容有较深刻的了解，能结合实际，论述较清晰，方案较完善及可实施性较强得10分；</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中：总体服务方案对本项目的内容了解一般，能结合实际，论述较清晰，方案完整性及可实施性一般得5分；</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差：总体服务方案对本项目的内容不了解，不能结合实际，论述较模糊，方案不完善及可实施性较差得1分；未提供不得分。</w:t>
            </w:r>
          </w:p>
          <w:p>
            <w:pPr>
              <w:spacing w:line="340" w:lineRule="exact"/>
              <w:rPr>
                <w:rFonts w:ascii="仿宋_GB2312" w:hAnsi="仿宋_GB2312" w:eastAsia="仿宋_GB2312" w:cs="仿宋_GB2312"/>
                <w:color w:val="FF0000"/>
                <w:szCs w:val="21"/>
              </w:rPr>
            </w:pP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588" w:type="dxa"/>
            <w:vMerge w:val="continue"/>
            <w:noWrap/>
            <w:vAlign w:val="center"/>
          </w:tcPr>
          <w:p>
            <w:pPr>
              <w:spacing w:line="300" w:lineRule="exact"/>
              <w:ind w:firstLine="28"/>
              <w:jc w:val="center"/>
              <w:rPr>
                <w:rFonts w:ascii="仿宋_GB2312" w:hAnsi="仿宋_GB2312" w:eastAsia="仿宋_GB2312" w:cs="仿宋_GB2312"/>
                <w:color w:val="FF0000"/>
                <w:szCs w:val="21"/>
              </w:rPr>
            </w:pPr>
          </w:p>
        </w:tc>
        <w:tc>
          <w:tcPr>
            <w:tcW w:w="1068" w:type="dxa"/>
            <w:vMerge w:val="continue"/>
            <w:noWrap/>
            <w:vAlign w:val="center"/>
          </w:tcPr>
          <w:p>
            <w:pPr>
              <w:spacing w:line="300" w:lineRule="exact"/>
              <w:rPr>
                <w:rFonts w:ascii="仿宋_GB2312" w:hAnsi="仿宋_GB2312" w:eastAsia="仿宋_GB2312" w:cs="仿宋_GB2312"/>
                <w:color w:val="FF0000"/>
                <w:szCs w:val="21"/>
              </w:rPr>
            </w:pP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管理规章制度</w:t>
            </w:r>
          </w:p>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(10分)</w:t>
            </w:r>
          </w:p>
          <w:p>
            <w:pPr>
              <w:spacing w:line="340" w:lineRule="exact"/>
              <w:rPr>
                <w:rFonts w:ascii="仿宋_GB2312" w:hAnsi="仿宋_GB2312" w:eastAsia="仿宋_GB2312" w:cs="仿宋_GB2312"/>
                <w:color w:val="FF0000"/>
                <w:szCs w:val="21"/>
              </w:rPr>
            </w:pP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据投标人制定的各项管理规章制度的完整性、规范性、合理性进行综合评审：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优：规章制度的完整、规范、合理性高的得10分；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良：规章制度的比较完整、规范性较高、合理性较高的得7分；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中：规章制度的完整性、规范性、合理性一般的得4分；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差：规章制度的不完整、规范性、合理性差的得1分；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未提供不得分。</w:t>
            </w: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Merge w:val="continue"/>
            <w:noWrap/>
            <w:vAlign w:val="center"/>
          </w:tcPr>
          <w:p>
            <w:pPr>
              <w:spacing w:line="300" w:lineRule="exact"/>
              <w:ind w:firstLine="28"/>
              <w:jc w:val="center"/>
              <w:rPr>
                <w:rFonts w:ascii="仿宋_GB2312" w:hAnsi="仿宋_GB2312" w:eastAsia="仿宋_GB2312" w:cs="仿宋_GB2312"/>
                <w:color w:val="FF0000"/>
                <w:szCs w:val="21"/>
              </w:rPr>
            </w:pPr>
          </w:p>
        </w:tc>
        <w:tc>
          <w:tcPr>
            <w:tcW w:w="1068" w:type="dxa"/>
            <w:vMerge w:val="continue"/>
            <w:noWrap/>
            <w:vAlign w:val="center"/>
          </w:tcPr>
          <w:p>
            <w:pPr>
              <w:spacing w:line="340" w:lineRule="exact"/>
              <w:rPr>
                <w:rFonts w:ascii="仿宋_GB2312" w:hAnsi="仿宋_GB2312" w:eastAsia="仿宋_GB2312" w:cs="仿宋_GB2312"/>
                <w:color w:val="FF0000"/>
                <w:szCs w:val="21"/>
              </w:rPr>
            </w:pPr>
          </w:p>
        </w:tc>
        <w:tc>
          <w:tcPr>
            <w:tcW w:w="1080"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应急预案及保障措施(10分)</w:t>
            </w:r>
          </w:p>
          <w:p>
            <w:pPr>
              <w:spacing w:line="340" w:lineRule="exact"/>
              <w:rPr>
                <w:rFonts w:ascii="仿宋_GB2312" w:hAnsi="仿宋_GB2312" w:eastAsia="仿宋_GB2312" w:cs="仿宋_GB2312"/>
                <w:color w:val="FF0000"/>
                <w:szCs w:val="21"/>
              </w:rPr>
            </w:pP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据投标人制定的应急预案（至少含有节假日应急预案、重大活动、特殊天气、火灾、突发事件等的应急预案及保障措施等）进行综合评审：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优：应急预案及保障措施完整、详细具体、可行性高得10分；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良：应急预案及保障措施完整、较详细具体，可行性较高得7分；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中：应急预案及保障措施完整、不够详细具体，可行性一般得4分；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差：应急预案及保障措施不完整、较简易，可行性低得1分；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未提供不得分。</w:t>
            </w:r>
          </w:p>
          <w:p>
            <w:pPr>
              <w:spacing w:line="340" w:lineRule="exact"/>
              <w:rPr>
                <w:rFonts w:ascii="仿宋_GB2312" w:hAnsi="仿宋_GB2312" w:eastAsia="仿宋_GB2312" w:cs="仿宋_GB2312"/>
                <w:color w:val="FF0000"/>
                <w:szCs w:val="21"/>
              </w:rPr>
            </w:pP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Merge w:val="continue"/>
            <w:noWrap/>
            <w:vAlign w:val="center"/>
          </w:tcPr>
          <w:p>
            <w:pPr>
              <w:spacing w:line="300" w:lineRule="exact"/>
              <w:ind w:firstLine="28"/>
              <w:jc w:val="center"/>
              <w:rPr>
                <w:rFonts w:ascii="仿宋_GB2312" w:hAnsi="仿宋_GB2312" w:eastAsia="仿宋_GB2312" w:cs="仿宋_GB2312"/>
                <w:color w:val="FF0000"/>
                <w:szCs w:val="21"/>
              </w:rPr>
            </w:pPr>
          </w:p>
        </w:tc>
        <w:tc>
          <w:tcPr>
            <w:tcW w:w="1068" w:type="dxa"/>
            <w:vMerge w:val="continue"/>
            <w:noWrap/>
            <w:vAlign w:val="center"/>
          </w:tcPr>
          <w:p>
            <w:pPr>
              <w:spacing w:line="300" w:lineRule="exact"/>
              <w:jc w:val="center"/>
              <w:rPr>
                <w:rFonts w:ascii="仿宋_GB2312" w:hAnsi="仿宋_GB2312" w:eastAsia="仿宋_GB2312" w:cs="仿宋_GB2312"/>
                <w:color w:val="FF0000"/>
                <w:szCs w:val="21"/>
              </w:rPr>
            </w:pP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质量保证与 服务承诺 (8.0分)</w:t>
            </w: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据投标人制定的各项护工管理质量保证、服务承诺进行综合评价：  优：质量保证全面、服务承诺标准高的得8分；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良：质量保证较全面、服务承诺标准较高的得5分；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中：质量保证一般、服务承诺标准一般的得3分；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差：质量保证较不全面、服务承诺标准较差的得1分；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未提供不得分。</w:t>
            </w: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Merge w:val="continue"/>
            <w:noWrap/>
            <w:vAlign w:val="center"/>
          </w:tcPr>
          <w:p>
            <w:pPr>
              <w:spacing w:line="300" w:lineRule="exact"/>
              <w:ind w:firstLine="28"/>
              <w:jc w:val="center"/>
              <w:rPr>
                <w:rFonts w:ascii="仿宋_GB2312" w:hAnsi="仿宋_GB2312" w:eastAsia="仿宋_GB2312" w:cs="仿宋_GB2312"/>
                <w:color w:val="FF0000"/>
                <w:szCs w:val="21"/>
              </w:rPr>
            </w:pPr>
          </w:p>
        </w:tc>
        <w:tc>
          <w:tcPr>
            <w:tcW w:w="1068" w:type="dxa"/>
            <w:vMerge w:val="continue"/>
            <w:noWrap/>
            <w:vAlign w:val="center"/>
          </w:tcPr>
          <w:p>
            <w:pPr>
              <w:spacing w:line="300" w:lineRule="exact"/>
              <w:rPr>
                <w:rFonts w:ascii="仿宋_GB2312" w:hAnsi="仿宋_GB2312" w:eastAsia="仿宋_GB2312" w:cs="仿宋_GB2312"/>
                <w:color w:val="FF0000"/>
                <w:szCs w:val="21"/>
              </w:rPr>
            </w:pP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医院感染防控服务方案</w:t>
            </w:r>
          </w:p>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(8分)</w:t>
            </w:r>
          </w:p>
          <w:p>
            <w:pPr>
              <w:spacing w:line="340" w:lineRule="exact"/>
              <w:rPr>
                <w:rFonts w:ascii="仿宋_GB2312" w:hAnsi="仿宋_GB2312" w:eastAsia="仿宋_GB2312" w:cs="仿宋_GB2312"/>
                <w:color w:val="FF0000"/>
                <w:szCs w:val="21"/>
              </w:rPr>
            </w:pP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据投标人制定的医院感染服务方案（如防交叉感染、传染病防控等） 进行综合评审：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优：服务方案详细、对项目理解深刻、实际操作性强，得8分；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良：服务方案较详细、对项目理解较深刻、实际操作性较强，得5分；</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中：服务方案基本满足要求、对项目理解较一般、实际操作性一般，得3分；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差：有一定的服务方案、对项目理解较差，实际操作性较差，得1分； </w:t>
            </w:r>
          </w:p>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未提供不得分</w:t>
            </w: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Merge w:val="restart"/>
            <w:noWrap/>
            <w:vAlign w:val="center"/>
          </w:tcPr>
          <w:p>
            <w:pPr>
              <w:spacing w:line="300" w:lineRule="exact"/>
              <w:ind w:firstLine="28"/>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3</w:t>
            </w:r>
          </w:p>
        </w:tc>
        <w:tc>
          <w:tcPr>
            <w:tcW w:w="1068" w:type="dxa"/>
            <w:vMerge w:val="restart"/>
            <w:noWrap/>
            <w:vAlign w:val="center"/>
          </w:tcPr>
          <w:p>
            <w:pPr>
              <w:spacing w:line="30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商务部分（18分）</w:t>
            </w: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 xml:space="preserve">管理体系认证 </w:t>
            </w:r>
          </w:p>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(6分)</w:t>
            </w: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投标人获得由国家认证认可监督管理部门批准设立的认证机构颁发并在有效期内的质量管理体系认证证书、环境管理体系认证证书、职业健康管理体系认证证书，每个证书得2分，本项满分6分。 注：须提供有效的证明资料复印件及全国认证认可信息公共服务平台（认e云http://cx .cnca.cn/ CertECloud/index/index/page）查询截图并加盖投标人公章。</w:t>
            </w:r>
          </w:p>
        </w:tc>
        <w:tc>
          <w:tcPr>
            <w:tcW w:w="1061" w:type="dxa"/>
            <w:noWrap/>
            <w:vAlign w:val="center"/>
          </w:tcPr>
          <w:p>
            <w:pPr>
              <w:spacing w:line="300" w:lineRule="exact"/>
              <w:ind w:left="-38"/>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Merge w:val="continue"/>
            <w:noWrap/>
            <w:vAlign w:val="center"/>
          </w:tcPr>
          <w:p>
            <w:pPr>
              <w:spacing w:line="300" w:lineRule="exact"/>
              <w:ind w:firstLine="28"/>
              <w:jc w:val="center"/>
              <w:rPr>
                <w:rFonts w:ascii="仿宋_GB2312" w:hAnsi="仿宋_GB2312" w:eastAsia="仿宋_GB2312" w:cs="仿宋_GB2312"/>
                <w:color w:val="FF0000"/>
                <w:szCs w:val="21"/>
              </w:rPr>
            </w:pPr>
          </w:p>
        </w:tc>
        <w:tc>
          <w:tcPr>
            <w:tcW w:w="1068" w:type="dxa"/>
            <w:vMerge w:val="continue"/>
            <w:noWrap/>
            <w:vAlign w:val="center"/>
          </w:tcPr>
          <w:p>
            <w:pPr>
              <w:spacing w:line="300" w:lineRule="exact"/>
              <w:rPr>
                <w:rFonts w:ascii="仿宋_GB2312" w:hAnsi="仿宋_GB2312" w:eastAsia="仿宋_GB2312" w:cs="仿宋_GB2312"/>
                <w:color w:val="FF0000"/>
                <w:szCs w:val="21"/>
              </w:rPr>
            </w:pPr>
          </w:p>
        </w:tc>
        <w:tc>
          <w:tcPr>
            <w:tcW w:w="1080" w:type="dxa"/>
            <w:noWrap/>
            <w:vAlign w:val="center"/>
          </w:tcPr>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业绩</w:t>
            </w:r>
          </w:p>
          <w:p>
            <w:pPr>
              <w:spacing w:line="34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(12分)</w:t>
            </w:r>
          </w:p>
          <w:p>
            <w:pPr>
              <w:spacing w:line="340" w:lineRule="exact"/>
              <w:rPr>
                <w:rFonts w:ascii="仿宋_GB2312" w:hAnsi="仿宋_GB2312" w:eastAsia="仿宋_GB2312" w:cs="仿宋_GB2312"/>
                <w:color w:val="FF0000"/>
                <w:szCs w:val="21"/>
              </w:rPr>
            </w:pPr>
          </w:p>
        </w:tc>
        <w:tc>
          <w:tcPr>
            <w:tcW w:w="6288" w:type="dxa"/>
            <w:noWrap/>
            <w:vAlign w:val="center"/>
          </w:tcPr>
          <w:p>
            <w:pPr>
              <w:spacing w:line="340" w:lineRule="exact"/>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投标人自2018年以来签订的医院类护工服务（合同内容中包含护工或护理员或陪护服务，下同）业绩，每提供一个得3分，最高得12分；</w:t>
            </w:r>
          </w:p>
          <w:p>
            <w:pPr>
              <w:spacing w:line="340" w:lineRule="exact"/>
              <w:rPr>
                <w:rFonts w:eastAsia="仿宋_GB2312"/>
              </w:rPr>
            </w:pPr>
            <w:r>
              <w:rPr>
                <w:rFonts w:hint="eastAsia" w:ascii="仿宋_GB2312" w:hAnsi="仿宋_GB2312" w:eastAsia="仿宋_GB2312" w:cs="仿宋_GB2312"/>
                <w:color w:val="FF0000"/>
                <w:szCs w:val="21"/>
              </w:rPr>
              <w:t>注：需提供合同和对应发票，资料提供不全的不得分。</w:t>
            </w:r>
          </w:p>
        </w:tc>
        <w:tc>
          <w:tcPr>
            <w:tcW w:w="1061" w:type="dxa"/>
            <w:noWrap/>
            <w:vAlign w:val="center"/>
          </w:tcPr>
          <w:p>
            <w:pPr>
              <w:spacing w:line="300" w:lineRule="exact"/>
              <w:ind w:left="-38"/>
              <w:rPr>
                <w:rFonts w:ascii="仿宋_GB2312" w:hAnsi="仿宋_GB2312" w:eastAsia="仿宋_GB2312" w:cs="仿宋_GB2312"/>
                <w:color w:val="FF0000"/>
                <w:szCs w:val="21"/>
              </w:rPr>
            </w:pPr>
          </w:p>
        </w:tc>
      </w:tr>
    </w:tbl>
    <w:p>
      <w:pPr>
        <w:rPr>
          <w:rFonts w:ascii="黑体" w:hAnsi="黑体" w:eastAsia="黑体" w:cs="Times New Roman"/>
          <w:kern w:val="0"/>
          <w:sz w:val="32"/>
          <w:szCs w:val="32"/>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（五）谈判程序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2.由监督人员或采购机构委托的公证机构检查报价文件的密封情况，确认无误后，由工作人员统一拆封。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(1)密封时未加盖、少加盖公章或者密封章，但是密封完好、完整标明了报价方名称且得到报价方（法定代表人或者授权代表）现场认可的；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(2)正副本数量齐全、密封完好，只是未按照谈判文件要求进行分装或者统装的；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(3)存在个别地方（总数不超过2个且占应签字地方的比例不超过20%）没有法定代表人签字，但有法定代表人的私人印章或者授权代表有效签字的；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(4)除谈判文件明确要求加盖供应商（法人）公章的以外，其他地方以相关专用章加盖的。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4.谈判。谈判小组所有成员集中与报价方进行谈判，报价方派代表参加（法定代表人或授权代表及技术人员必须参加）。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w:t>
      </w:r>
      <w:r>
        <w:rPr>
          <w:rFonts w:hint="eastAsia" w:ascii="宋体" w:hAnsi="宋体" w:eastAsia="宋体" w:cs="宋体"/>
          <w:color w:val="FF0000"/>
          <w:kern w:val="0"/>
          <w:sz w:val="32"/>
          <w:szCs w:val="32"/>
        </w:rPr>
        <w:t>第二次报价</w:t>
      </w:r>
      <w:r>
        <w:rPr>
          <w:rFonts w:hint="eastAsia" w:ascii="仿宋_GB2312" w:hAnsi="宋体" w:eastAsia="仿宋_GB2312" w:cs="Times New Roman"/>
          <w:color w:val="FF0000"/>
          <w:kern w:val="0"/>
          <w:sz w:val="32"/>
          <w:szCs w:val="32"/>
        </w:rPr>
        <w:t>。</w:t>
      </w:r>
      <w:r>
        <w:rPr>
          <w:rFonts w:hint="eastAsia" w:ascii="仿宋_GB2312" w:hAnsi="宋体" w:eastAsia="仿宋_GB2312" w:cs="Times New Roman"/>
          <w:kern w:val="0"/>
          <w:sz w:val="32"/>
          <w:szCs w:val="32"/>
        </w:rPr>
        <w:t>报价文件中的报价即为报价方第一次报价。在上述谈判基础上，报价方在谈判室独立填写《第二次报价表》和澄清承诺，并由其法定代表人或者其授权代表签字确认，由采购机构工作人员收齐后集中递交谈判小组。第二次报价为最终报价，报价方提交最终报价后，当场宣布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10.商务、技术评审。按照谈判文件中规定的评审方法和标准，对资格性审查和符合性审查合格的报价方进行技术评审和商务评审（不含价格因素）。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11.价格评审。存在低价恶意竞争的，由谈判小组全体成员按前款（六）谈判报价有关要求认定；不存在低价恶意竞争的，由商务评委依据评审方法和评审标准对最终报价进行评审。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复核评审情况。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13.谈判小组依据经过复核的评审结果，对报价方进行排序并推荐预成交供应商。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成交价格。同一品种、规格的物资，2家以上供应商成交时，报价低于第一预成交供应商的，执行各自报价；报价高于或者等于第一预成交供应商的，成交价格一律执行第一预成交供应商报价。成交供应商不接受第一预成交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(2)获取谈判文件供应商名单、报价供应商名单和谈判小组成员名单；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(4)谈判记录和评审情况及说明，包括无效报价供应商名称及原因；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(6)谈判小组成交建议。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（六）对下列情况，采购机构以及谈判小组按照《军队物资采购评审管理办法》及相关规定处理。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1.谈判文件递交截止时间前，少于3家供应商报价的，不得开始谈判，采购机构应当按照中止采购处理。除改用比照竞争性谈判方式或者建议采用单一来源方式外，不得拆封报价文件，并当场退还报价方。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开始后，经评审满足谈判文件要求的报价供应商只有2家的，谈判小组应当分析原因。谈判小组（五分之四以上评委）认定报价供应商报价客观合理的，应当在评审报告中注明，可直接比照竞争性谈判方式，按照至少2轮谈判、供应商3次报价程序，采用原评审方法及评审标准组织评审；经评审满足谈判文件要求的报价供应商只有1家时，谈判小组（五分之四以上评委）认定报价供应商满足单一来源条件的，应当在评审报告中注明；采购机构应当将该项目在军队采购外网上公示1周（涉密项目除外），无其他供应商响应时，报物资采购管理部门申请变更采购机构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部分供应商报价超采购预算的，应当继续进行评审。第一预成交供应商报价未超采购预算的，评审结果有效；第一预成交供应商超采购预算的，报物资采购管理部门处理。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同一需求部门（单位）同一经费来源的同类物资，部分产品单价或者金额超采购预算，但成交总金额未超采购预算的，不视为需求部门（单位）不能支付。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3.报价方及其报价文件有下列情形之一的，在符合性审查时按照无效报价处理：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(1)未按照谈判文件规定要求密封、签署、盖章的（符合资格性和符合性审查要求的除外）；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(2)报价文件组成明显不符合谈判文件的规定要求，影响谈判小组评判的；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(3)应交未交谈判保证金的或保证金金额不足的；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(4)报价有效期不符合谈判文件要求的；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(5)其他未满足对报价文件有效性、完整性和对谈判文件响应程度要求的情形。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4.报价方及其报价文件有下列情形之一的，在资格性审查时按照无效报价处理：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(1)不具备谈判文件中规定的资格性要求的；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(2)法人代表授权不符合要求的；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(3)属于禁止参加报价的供应商的；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(6)代理人同期（180天以内）代理2家以上供应商参加军队采购活动的。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5.在商务评审过程中，有下列情形之一的，其报价将被否决：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(1)报价方或其制造商与采购机构有利害关系可能影响谈判公正性的；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(2)报价方参与项目前期咨询或谈判文件编制的；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(4)报价文件未按谈判文件的要求签署的；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(5)报价方的报价书、资格证明材料未提供，或不符合国家规定或者谈判文件要求的；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(6)同一报价方提交两个以上不同的报价方案或者报价的，但谈判文件要求提交备选方案的除外；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(7)报价文件不满足谈判文件加注星号（“★”）的重要商务条款要求的；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(8)报价高于谈判文件设定的最高报价限价的；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(9)报价方有串通报价、弄虚作假、行贿等违法行为的；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(10)存在谈判文件中规定的否决报价的其他商务条款的。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6.技术评审过程中，有下列情形之一的，其报价将被否决：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(1)报价文件不满足谈判文件技术规格中加注星号（“★”）的重要条款（参数）要求，或加注星号（“★”）的重要条款（参数）无符合谈判文件要求的技术资料支持的；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(2)报价文件技术要求中一般参数超出允许偏离的最大范围或最多项数的；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(3)报价文件技术要求中的响应与事实不符或虚假报价的；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(4)复制谈判文件的技术规格相关部分内容作为报价文件中一部分的；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(5)存在谈判文件中规定的否决报价的其他技术条款的。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7.有下列情形之一的，属于报价方相互串通报价，谈判小组应当对串通报价方按照无效报价处理：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(1)报价方之间协商报价等报价文件的实质性内容的；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(2)报价方之间约定成交供应商的；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(3)报价方之间约定部分报价方放弃报价或者成交的；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(4)属于同一集团、协会、商会等组织成员的报价方按照该组织要求协同报价的；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(5)报价方之间为谋取成交或者排斥特定报价方而采取其他联合行动的。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8.有下列情形之一的，视为报价方相互串通报价，谈判小组应当对串通报价方按照无效报价处理：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(1)不同报价方的报价文件由同一单位或者个人编制的；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(2)不同报价方委托同一单位或者个人办理谈判事宜的；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(3)不同报价方的报价文件载明的项目管理成员为同一人的；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(4)不同报价方的报价文件异常一致或者报价呈规律性差异的；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(5)不同报价方的报价文件相互混装的；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(6)不同报价方的谈判保证金从同一单位或者个人的账户转出的。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9.有下列情形之一的，属于采购机构与报价方串通报价，谈判小组应当对串通报价方按照无效报价处理：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(1)采购机构在谈判开始前开启报价文件并将有关信息泄露给其他报价方的;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(2)采购机构直接或者间接向报价方泄露采购预算、谈判小组成员等信息的；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(3)采购机构明示或者暗示报价方压低或者抬高报价的；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(4)采购机构授意报价方撤换、修改报价文件的；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(5)采购机构明示或者暗示报价方为特定报价方成交提供方便的；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(6)采购机构与报价方为谋求特定报价方成交而采取其他串通行为的。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10.有下列情形之一的，属于虚假报价，谈判小组应当对报价方按照无效报价处理：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11.有下列情形之一的，应当终止谈判：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(1)参加谈判的供应商均被淘汰的；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(2)谈判结束后，供应商报价文件均不能满足谈判文件最低要求的；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(3)其他无法继续开展谈判或者无法成交的情形；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(4)因重大变故，取消采购任务的。</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rPr>
        <w:t>（七）经谈判小组评审，认为所有报价都不符合谈判文件要求的，谈判小组可否决所有报价，采购机构有权重新组织采购。</w:t>
      </w:r>
    </w:p>
    <w:p>
      <w:pPr>
        <w:tabs>
          <w:tab w:val="left" w:pos="1608"/>
        </w:tabs>
        <w:ind w:firstLine="542" w:firstLineChars="200"/>
        <w:rPr>
          <w:rFonts w:ascii="Times New Roman" w:hAnsi="Times New Roman" w:eastAsia="黑体" w:cs="Times New Roman"/>
          <w:kern w:val="0"/>
          <w:sz w:val="32"/>
          <w:szCs w:val="32"/>
        </w:rPr>
      </w:pPr>
      <w:r>
        <w:rPr>
          <w:rFonts w:ascii="宋体" w:hAnsi="宋体" w:eastAsia="宋体" w:cs="Times New Roman"/>
          <w:kern w:val="0"/>
          <w:sz w:val="28"/>
          <w:szCs w:val="28"/>
        </w:rPr>
        <w:tab/>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（三）采购机构的</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联系人：</w:t>
      </w:r>
      <w:r>
        <w:rPr>
          <w:rFonts w:hint="eastAsia" w:ascii="仿宋_GB2312" w:hAnsi="宋体" w:eastAsia="仿宋_GB2312" w:cs="Times New Roman"/>
          <w:kern w:val="0"/>
          <w:sz w:val="32"/>
          <w:szCs w:val="32"/>
          <w:u w:val="single"/>
        </w:rPr>
        <w:t>罗助理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电话：</w:t>
      </w:r>
      <w:r>
        <w:rPr>
          <w:rFonts w:hint="eastAsia" w:ascii="仿宋_GB2312" w:hAnsi="宋体" w:eastAsia="仿宋_GB2312" w:cs="Times New Roman"/>
          <w:kern w:val="0"/>
          <w:sz w:val="32"/>
          <w:szCs w:val="32"/>
          <w:u w:val="single"/>
        </w:rPr>
        <w:t>023-68762399</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地址：</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邮  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（四）供应商认为谈判文件存在限制性、倾向性、排他性条款，使自己权益受到损害的，可以在提交报价文件截止时间10日前向采购机构设立的质疑处理机构提出书面质疑和相关证明材料。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采购机构设立的质疑处理机构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3.供应商</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或者采购机构与供应商之间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骗取成交</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或者质疑处理机构未答复以及未在规定期限内作出答复的，参照质疑要求的格式和内容向招标人上级管理机构提出书面投诉。投诉联系电话：023-68752144</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（一）确定成交供应商</w:t>
      </w:r>
    </w:p>
    <w:p>
      <w:pPr>
        <w:ind w:firstLine="622"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评审结束后3个工作日内，采购机构根据谈判小组提出的书面评审报告，在中国招标网和中国政府采购网上公示评审结果，公示期为3个工作日。在公示期内无异议的，确定排名第一的供应商为采购项目成交供应商。对按成交比例确定成交供应商的采购项目，根据谈判文件确定的成交供应商数量，按照评审排序依次确定2家以上供应商为成交供应商；公示期内有异议的，按照本须知“质疑与投诉”规定的程序处理。</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采购机构在确定成交供应商后3个工作日内，以书面形式向成交供应商发出《成交通知书》，</w:t>
      </w:r>
      <w:r>
        <w:rPr>
          <w:rFonts w:hint="eastAsia" w:ascii="仿宋_GB2312" w:hAnsi="宋体" w:eastAsia="仿宋_GB2312" w:cs="Times New Roman"/>
          <w:kern w:val="0"/>
          <w:sz w:val="32"/>
          <w:szCs w:val="32"/>
          <w:lang w:val="zh-CN"/>
        </w:rPr>
        <w:t>同时向未成交供应商发出《未成交通知书》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《成交通知书》是签订合同草案的依据。若合同草案未获批准，采购机构有权取消合同草案。</w:t>
      </w:r>
      <w:r>
        <w:rPr>
          <w:rFonts w:hint="eastAsia" w:ascii="仿宋_GB2312" w:hAnsi="宋体" w:eastAsia="仿宋_GB2312" w:cs="宋体"/>
          <w:snapToGrid w:val="0"/>
          <w:kern w:val="0"/>
          <w:sz w:val="32"/>
          <w:szCs w:val="32"/>
        </w:rPr>
        <w:t>《成交通知书》及签订的合同草案不能作为成交供应商启动生产或备货的依据，应待正式合同签订后再启动生产备货，否则，由此造成的后果由成交供应商自行承担。</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成交供应商在采购机构发出《成交通知书》之日起10个工作日内，按照采购机构规定的时间、地点签订合同草案，合同草案经批准后签订正式合同。未经采购机构同意逾期不签订合同的，将取消成交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（二）谈判文件、成交供应商的报价文件、补充报价文件、澄清承诺、说明、补正和《成交通知书》等，均为签订合同的依据。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（三）所签订的合同不得对成交供应商及其最终报价作实质性修改。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（四）成交供应商应当按照合同约定履行义务，完成采购项目。成交供应商不得向他人转让采购项目，也不得将采购项目分包向他人转让或委托加工。</w:t>
      </w:r>
    </w:p>
    <w:p>
      <w:pPr>
        <w:pStyle w:val="2"/>
        <w:ind w:firstLine="622" w:firstLineChars="200"/>
        <w:rPr>
          <w:rFonts w:ascii="仿宋_GB2312" w:hAnsi="宋体" w:eastAsia="仿宋_GB2312" w:cs="宋体"/>
          <w:snapToGrid w:val="0"/>
          <w:color w:val="FF0000"/>
          <w:sz w:val="32"/>
          <w:szCs w:val="32"/>
          <w:lang w:val="zh-CN"/>
        </w:rPr>
      </w:pPr>
      <w:r>
        <w:rPr>
          <w:rFonts w:hint="eastAsia" w:ascii="仿宋_GB2312" w:hAnsi="宋体" w:eastAsia="仿宋_GB2312" w:cs="宋体"/>
          <w:snapToGrid w:val="0"/>
          <w:color w:val="FF0000"/>
          <w:sz w:val="32"/>
          <w:szCs w:val="32"/>
          <w:lang w:val="zh-CN"/>
        </w:rPr>
        <w:t>（五）履约保证金：</w:t>
      </w:r>
      <w:r>
        <w:rPr>
          <w:rFonts w:hint="eastAsia" w:ascii="仿宋_GB2312" w:hAnsi="宋体" w:eastAsia="仿宋_GB2312"/>
          <w:sz w:val="32"/>
          <w:szCs w:val="32"/>
          <w:highlight w:val="yellow"/>
        </w:rPr>
        <w:t>中标供应商在签订合同前需缴纳合同金额10%的履约保证金，用于监管日常维护行为，合同终止后无息返还。如中标供应商在合同期满前拒绝履行合同义务、存在违约行为或擅自终止合同，我方有权没收其保证金。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hAnsi="宋体" w:eastAsia="宋体" w:cs="Times New Roman"/>
          <w:kern w:val="0"/>
          <w:sz w:val="28"/>
          <w:szCs w:val="28"/>
        </w:rPr>
      </w:pPr>
    </w:p>
    <w:p>
      <w:pPr>
        <w:jc w:val="center"/>
        <w:rPr>
          <w:rFonts w:ascii="宋体" w:hAnsi="宋体" w:eastAsia="宋体" w:cs="宋体"/>
          <w:snapToGrid w:val="0"/>
          <w:kern w:val="0"/>
          <w:sz w:val="28"/>
          <w:szCs w:val="28"/>
          <w:lang w:val="zh-CN"/>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（一）成交供应商应当按照合同约定履行义务，如成交供应商提供的服务未达到甲方要求，甲方有权要求其整改，</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r>
        <w:rPr>
          <w:rFonts w:hint="eastAsia" w:ascii="仿宋_GB2312" w:hAnsi="宋体" w:eastAsia="仿宋_GB2312" w:cs="Times New Roman"/>
          <w:kern w:val="0"/>
          <w:sz w:val="32"/>
          <w:szCs w:val="32"/>
        </w:rPr>
        <w:t>如出现三次（含）以上未按时达到甲方要求，甲方</w:t>
      </w:r>
      <w:r>
        <w:rPr>
          <w:rFonts w:ascii="仿宋_GB2312" w:hAnsi="宋体" w:eastAsia="仿宋_GB2312" w:cs="Times New Roman"/>
          <w:kern w:val="0"/>
          <w:sz w:val="32"/>
          <w:szCs w:val="32"/>
        </w:rPr>
        <w:t>有权取消</w:t>
      </w:r>
      <w:r>
        <w:rPr>
          <w:rFonts w:hint="eastAsia" w:ascii="仿宋_GB2312" w:hAnsi="宋体" w:eastAsia="仿宋_GB2312" w:cs="Times New Roman"/>
          <w:kern w:val="0"/>
          <w:sz w:val="32"/>
          <w:szCs w:val="32"/>
        </w:rPr>
        <w:t>或解除</w:t>
      </w:r>
      <w:r>
        <w:rPr>
          <w:rFonts w:ascii="仿宋_GB2312" w:hAnsi="宋体" w:eastAsia="仿宋_GB2312" w:cs="Times New Roman"/>
          <w:kern w:val="0"/>
          <w:sz w:val="32"/>
          <w:szCs w:val="32"/>
        </w:rPr>
        <w:t>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p>
    <w:p>
      <w:pPr>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11" w:type="default"/>
          <w:footerReference r:id="rId12"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Times New Roman"/>
          <w:kern w:val="0"/>
          <w:sz w:val="32"/>
          <w:szCs w:val="32"/>
        </w:rPr>
        <w:t>本谈判文件由采购机构负责解释。</w:t>
      </w:r>
    </w:p>
    <w:p>
      <w:pPr>
        <w:spacing w:line="560" w:lineRule="exact"/>
        <w:jc w:val="center"/>
        <w:outlineLvl w:val="0"/>
        <w:rPr>
          <w:rFonts w:ascii="Times New Roman" w:hAnsi="Times New Roman" w:eastAsia="方正小标宋简体" w:cs="Times New Roman"/>
          <w:bCs/>
          <w:kern w:val="0"/>
          <w:sz w:val="44"/>
          <w:szCs w:val="44"/>
        </w:rPr>
      </w:pPr>
      <w:bookmarkStart w:id="26" w:name="_Toc390713969"/>
      <w:bookmarkStart w:id="27" w:name="_Toc285612603"/>
      <w:bookmarkStart w:id="28" w:name="_Toc435540981"/>
      <w:r>
        <w:rPr>
          <w:rFonts w:hint="eastAsia" w:ascii="Times New Roman" w:hAnsi="Times New Roman" w:eastAsia="方正小标宋简体" w:cs="Times New Roman"/>
          <w:bCs/>
          <w:kern w:val="0"/>
          <w:sz w:val="44"/>
          <w:szCs w:val="44"/>
        </w:rPr>
        <w:t>第四部分合同样本</w:t>
      </w:r>
      <w:bookmarkEnd w:id="26"/>
      <w:bookmarkEnd w:id="27"/>
      <w:bookmarkEnd w:id="28"/>
    </w:p>
    <w:p>
      <w:pPr>
        <w:spacing w:line="560" w:lineRule="exact"/>
        <w:jc w:val="center"/>
        <w:outlineLvl w:val="0"/>
        <w:rPr>
          <w:rFonts w:ascii="仿宋_GB2312" w:hAnsi="仿宋_GB2312" w:eastAsia="仿宋_GB2312" w:cs="仿宋_GB2312"/>
          <w:kern w:val="0"/>
          <w:sz w:val="32"/>
          <w:szCs w:val="32"/>
        </w:rPr>
      </w:pPr>
      <w:bookmarkStart w:id="29" w:name="_Toc285612604"/>
      <w:bookmarkStart w:id="30" w:name="_Toc240432233"/>
      <w:bookmarkStart w:id="31" w:name="_Toc435540982"/>
      <w:bookmarkStart w:id="32" w:name="_Toc390713970"/>
      <w:r>
        <w:rPr>
          <w:rFonts w:hint="eastAsia" w:ascii="仿宋_GB2312" w:hAnsi="仿宋_GB2312" w:eastAsia="仿宋_GB2312" w:cs="仿宋_GB2312"/>
          <w:kern w:val="0"/>
          <w:sz w:val="32"/>
          <w:szCs w:val="32"/>
        </w:rPr>
        <w:t>（中标后具体予以明确）</w:t>
      </w: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p>
    <w:p>
      <w:pPr>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第五部分  附件/报价文件参考格式</w:t>
      </w:r>
      <w:bookmarkEnd w:id="29"/>
      <w:bookmarkEnd w:id="30"/>
      <w:bookmarkEnd w:id="31"/>
      <w:bookmarkEnd w:id="32"/>
    </w:p>
    <w:p>
      <w:pPr>
        <w:spacing w:line="580" w:lineRule="exact"/>
        <w:ind w:firstLine="542" w:firstLineChars="200"/>
        <w:rPr>
          <w:rFonts w:ascii="黑体" w:hAnsi="黑体" w:eastAsia="黑体" w:cs="黑体"/>
          <w:kern w:val="0"/>
          <w:sz w:val="28"/>
          <w:szCs w:val="28"/>
        </w:rPr>
      </w:pPr>
      <w:r>
        <w:rPr>
          <w:rFonts w:hint="eastAsia" w:ascii="黑体" w:hAnsi="黑体" w:eastAsia="黑体" w:cs="黑体"/>
          <w:kern w:val="0"/>
          <w:sz w:val="28"/>
          <w:szCs w:val="28"/>
        </w:rPr>
        <w:t>一、报价文件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1.报价函（附件1）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2.报价一览表（附件2）</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3.报价构成表（附件3）</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4.主要技术条款响应偏离表（附件4）</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5.主要商务条款响应偏离表（附件5）</w:t>
      </w:r>
    </w:p>
    <w:p>
      <w:pPr>
        <w:pStyle w:val="2"/>
        <w:ind w:firstLine="622" w:firstLineChars="200"/>
        <w:rPr>
          <w:rFonts w:ascii="仿宋_GB2312" w:hAnsi="宋体" w:eastAsia="仿宋_GB2312"/>
          <w:sz w:val="32"/>
          <w:szCs w:val="32"/>
        </w:rPr>
      </w:pPr>
      <w:r>
        <w:rPr>
          <w:rFonts w:hint="eastAsia" w:ascii="仿宋_GB2312" w:hAnsi="宋体" w:eastAsia="仿宋_GB2312"/>
          <w:sz w:val="32"/>
          <w:szCs w:val="32"/>
        </w:rPr>
        <w:t>6.总体服务方案（附件6）</w:t>
      </w:r>
    </w:p>
    <w:p>
      <w:pPr>
        <w:pStyle w:val="3"/>
        <w:ind w:left="0" w:firstLine="622" w:firstLineChars="200"/>
      </w:pPr>
      <w:r>
        <w:rPr>
          <w:rFonts w:hint="eastAsia" w:ascii="仿宋_GB2312" w:hAnsi="宋体" w:eastAsia="仿宋_GB2312"/>
          <w:sz w:val="32"/>
          <w:szCs w:val="32"/>
        </w:rPr>
        <w:t>7.管理规章制度（附件7）</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8.应急预案及保障措施（附件8）</w:t>
      </w:r>
    </w:p>
    <w:p>
      <w:pPr>
        <w:pStyle w:val="2"/>
        <w:ind w:firstLine="622" w:firstLineChars="200"/>
        <w:rPr>
          <w:rFonts w:ascii="仿宋_GB2312" w:hAnsi="宋体" w:eastAsia="仿宋_GB2312"/>
          <w:sz w:val="32"/>
          <w:szCs w:val="32"/>
        </w:rPr>
      </w:pPr>
      <w:r>
        <w:rPr>
          <w:rFonts w:hint="eastAsia" w:ascii="仿宋_GB2312" w:hAnsi="宋体" w:eastAsia="仿宋_GB2312"/>
          <w:sz w:val="32"/>
          <w:szCs w:val="32"/>
        </w:rPr>
        <w:t>9.质量保证与服务承诺（附件9）</w:t>
      </w:r>
    </w:p>
    <w:p>
      <w:pPr>
        <w:pStyle w:val="3"/>
        <w:ind w:left="0" w:firstLine="622" w:firstLineChars="200"/>
      </w:pPr>
      <w:r>
        <w:rPr>
          <w:rFonts w:hint="eastAsia" w:ascii="仿宋_GB2312" w:hAnsi="宋体" w:eastAsia="仿宋_GB2312"/>
          <w:sz w:val="32"/>
          <w:szCs w:val="32"/>
        </w:rPr>
        <w:t>10.医院感染防控服务方案（附件10）</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11.近3年（2018年-2020年）成交案例及同类项目案例（附件11）</w:t>
      </w:r>
    </w:p>
    <w:p>
      <w:pPr>
        <w:ind w:firstLine="622" w:firstLineChars="200"/>
        <w:rPr>
          <w:rFonts w:eastAsia="仿宋_GB2312"/>
        </w:rPr>
      </w:pPr>
      <w:r>
        <w:rPr>
          <w:rFonts w:hint="eastAsia" w:ascii="仿宋_GB2312" w:hAnsi="宋体" w:eastAsia="仿宋_GB2312" w:cs="Times New Roman"/>
          <w:kern w:val="0"/>
          <w:sz w:val="32"/>
          <w:szCs w:val="32"/>
        </w:rPr>
        <w:t>12.保密承诺书（附件12）</w:t>
      </w:r>
    </w:p>
    <w:p>
      <w:pPr>
        <w:spacing w:line="580" w:lineRule="exact"/>
        <w:ind w:firstLine="542" w:firstLineChars="200"/>
        <w:rPr>
          <w:rFonts w:ascii="黑体" w:hAnsi="黑体" w:eastAsia="黑体" w:cs="黑体"/>
          <w:kern w:val="0"/>
          <w:sz w:val="28"/>
          <w:szCs w:val="28"/>
        </w:rPr>
      </w:pPr>
      <w:r>
        <w:rPr>
          <w:rFonts w:hint="eastAsia" w:ascii="黑体" w:hAnsi="黑体" w:eastAsia="黑体" w:cs="黑体"/>
          <w:kern w:val="0"/>
          <w:sz w:val="28"/>
          <w:szCs w:val="28"/>
        </w:rPr>
        <w:t>二、资格证明文件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2.组织机构代码证副本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4.参加本次采购活动前3年内在经营活动中没有重大违法记录的书面声明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5.主要股东或出资人信息（附件13）</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6.法定代表人资格证明书（附件14）</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7.法定代表人授权书（附件14）</w:t>
      </w:r>
    </w:p>
    <w:p>
      <w:pPr>
        <w:widowControl/>
        <w:spacing w:line="500" w:lineRule="exact"/>
        <w:ind w:firstLine="58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8.代理人缴纳的最近连续6个月本单位养老保险凭证（</w:t>
      </w:r>
      <w:r>
        <w:rPr>
          <w:rFonts w:hint="eastAsia" w:ascii="仿宋_GB2312" w:hAnsi="宋体" w:eastAsia="仿宋_GB2312" w:cs="Times New Roman"/>
          <w:kern w:val="0"/>
          <w:sz w:val="32"/>
          <w:szCs w:val="32"/>
        </w:rPr>
        <w:t>附件16</w:t>
      </w:r>
      <w:r>
        <w:rPr>
          <w:rFonts w:hint="eastAsia" w:ascii="仿宋_GB2312" w:hAnsi="仿宋_GB2312" w:eastAsia="仿宋_GB2312" w:cs="仿宋_GB2312"/>
          <w:sz w:val="30"/>
          <w:szCs w:val="30"/>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9.提供2020年度的财经审计报告（附件17）</w:t>
      </w:r>
    </w:p>
    <w:p>
      <w:pPr>
        <w:pStyle w:val="2"/>
        <w:rPr>
          <w:rFonts w:eastAsia="仿宋_GB2312"/>
        </w:rPr>
      </w:pPr>
      <w:r>
        <w:rPr>
          <w:rFonts w:hint="eastAsia" w:ascii="仿宋_GB2312" w:hAnsi="宋体" w:eastAsia="仿宋_GB2312"/>
          <w:sz w:val="32"/>
          <w:szCs w:val="32"/>
        </w:rPr>
        <w:t xml:space="preserve">    10.管理体系认证（附件18）</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11.报价方基本情况表（附件19）</w:t>
      </w: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  价  函</w:t>
      </w:r>
    </w:p>
    <w:p>
      <w:pPr>
        <w:spacing w:line="400" w:lineRule="exact"/>
        <w:rPr>
          <w:rFonts w:ascii="仿宋_GB2312" w:hAnsi="Times New Roman" w:eastAsia="仿宋_GB2312" w:cs="Times New Roman"/>
          <w:kern w:val="0"/>
          <w:sz w:val="32"/>
          <w:szCs w:val="32"/>
        </w:rPr>
      </w:pPr>
    </w:p>
    <w:p>
      <w:pPr>
        <w:spacing w:line="4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（采购机构名称）：</w:t>
      </w:r>
    </w:p>
    <w:p>
      <w:pPr>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我方参加贵部组织的</w:t>
      </w:r>
      <w:r>
        <w:rPr>
          <w:rFonts w:hint="eastAsia" w:ascii="仿宋_GB2312" w:hAnsi="宋体" w:eastAsia="仿宋_GB2312" w:cs="Times New Roman"/>
          <w:kern w:val="0"/>
          <w:sz w:val="32"/>
          <w:szCs w:val="32"/>
          <w:u w:val="single"/>
        </w:rPr>
        <w:t>（项目编号、项目名称）</w:t>
      </w:r>
      <w:r>
        <w:rPr>
          <w:rFonts w:hint="eastAsia" w:ascii="仿宋_GB2312" w:hAnsi="宋体" w:eastAsia="仿宋_GB2312" w:cs="Times New Roman"/>
          <w:kern w:val="0"/>
          <w:sz w:val="32"/>
          <w:szCs w:val="32"/>
        </w:rPr>
        <w:t>竞争性谈判采购活动，并对</w:t>
      </w:r>
      <w:r>
        <w:rPr>
          <w:rFonts w:hint="eastAsia" w:ascii="仿宋_GB2312" w:hAnsi="宋体" w:eastAsia="仿宋_GB2312" w:cs="Times New Roman"/>
          <w:kern w:val="0"/>
          <w:sz w:val="32"/>
          <w:szCs w:val="32"/>
          <w:u w:val="single"/>
        </w:rPr>
        <w:t>（包号或货物名称）</w:t>
      </w:r>
      <w:r>
        <w:rPr>
          <w:rFonts w:hint="eastAsia" w:ascii="仿宋_GB2312" w:hAnsi="宋体" w:eastAsia="仿宋_GB2312" w:cs="Times New Roman"/>
          <w:kern w:val="0"/>
          <w:sz w:val="32"/>
          <w:szCs w:val="32"/>
        </w:rPr>
        <w:t>进行报价。</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一、按照谈判文件规定提交</w:t>
      </w:r>
      <w:r>
        <w:rPr>
          <w:rFonts w:hint="eastAsia" w:ascii="仿宋_GB2312" w:hAnsi="宋体" w:eastAsia="仿宋_GB2312" w:cs="Times New Roman"/>
          <w:kern w:val="0"/>
          <w:sz w:val="32"/>
          <w:szCs w:val="32"/>
          <w:lang w:val="zh-CN"/>
        </w:rPr>
        <w:t>报价文件正本</w:t>
      </w:r>
      <w:r>
        <w:rPr>
          <w:rFonts w:hint="eastAsia" w:ascii="仿宋_GB2312" w:hAnsi="宋体" w:eastAsia="仿宋_GB2312" w:cs="Times New Roman"/>
          <w:kern w:val="0"/>
          <w:sz w:val="32"/>
          <w:szCs w:val="32"/>
          <w:u w:val="single"/>
        </w:rPr>
        <w:t>1</w:t>
      </w:r>
      <w:r>
        <w:rPr>
          <w:rFonts w:hint="eastAsia" w:ascii="仿宋_GB2312" w:hAnsi="宋体" w:eastAsia="仿宋_GB2312" w:cs="Times New Roman"/>
          <w:kern w:val="0"/>
          <w:sz w:val="32"/>
          <w:szCs w:val="32"/>
          <w:lang w:val="zh-CN"/>
        </w:rPr>
        <w:t>份和副本</w:t>
      </w:r>
      <w:r>
        <w:rPr>
          <w:rFonts w:hint="eastAsia" w:ascii="仿宋_GB2312" w:hAnsi="宋体" w:eastAsia="仿宋_GB2312" w:cs="Times New Roman"/>
          <w:kern w:val="0"/>
          <w:sz w:val="32"/>
          <w:szCs w:val="32"/>
          <w:u w:val="single"/>
        </w:rPr>
        <w:t>2</w:t>
      </w:r>
      <w:r>
        <w:rPr>
          <w:rFonts w:hint="eastAsia" w:ascii="仿宋_GB2312" w:hAnsi="宋体" w:eastAsia="仿宋_GB2312" w:cs="Times New Roman"/>
          <w:kern w:val="0"/>
          <w:sz w:val="32"/>
          <w:szCs w:val="32"/>
          <w:lang w:val="zh-CN"/>
        </w:rPr>
        <w:t>份</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lang w:val="zh-CN"/>
        </w:rPr>
        <w:t>我方已完全理解谈判文件的全部内容，自愿接受并执行谈判文件的全部条款</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三、本报价文件</w:t>
      </w:r>
      <w:r>
        <w:rPr>
          <w:rFonts w:hint="eastAsia" w:ascii="仿宋_GB2312" w:hAnsi="宋体" w:eastAsia="仿宋_GB2312" w:cs="Times New Roman"/>
          <w:kern w:val="0"/>
          <w:sz w:val="32"/>
          <w:szCs w:val="32"/>
          <w:lang w:val="zh-CN"/>
        </w:rPr>
        <w:t>有效期自报价截止之日起180日内有效</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四、</w:t>
      </w:r>
      <w:r>
        <w:rPr>
          <w:rFonts w:hint="eastAsia" w:ascii="仿宋_GB2312" w:hAnsi="宋体" w:eastAsia="仿宋_GB2312" w:cs="宋体"/>
          <w:snapToGrid w:val="0"/>
          <w:kern w:val="0"/>
          <w:sz w:val="32"/>
          <w:szCs w:val="32"/>
          <w:lang w:val="zh-CN"/>
        </w:rPr>
        <w:t>我方在参与谈判前已仔细研究了谈判文件和所有相关资料，同意谈判文件的相关条款。</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宋体"/>
          <w:snapToGrid w:val="0"/>
          <w:kern w:val="0"/>
          <w:sz w:val="32"/>
          <w:szCs w:val="32"/>
          <w:lang w:val="zh-CN"/>
        </w:rPr>
        <w:t>六、</w:t>
      </w:r>
      <w:r>
        <w:rPr>
          <w:rFonts w:hint="eastAsia" w:ascii="仿宋_GB2312" w:hAnsi="宋体" w:eastAsia="仿宋_GB2312" w:cs="Times New Roman"/>
          <w:kern w:val="0"/>
          <w:sz w:val="32"/>
          <w:szCs w:val="32"/>
        </w:rPr>
        <w:t>我方承诺自愿遵守、执行军队采购管理法规制度及政策规定。</w:t>
      </w:r>
    </w:p>
    <w:p>
      <w:pPr>
        <w:tabs>
          <w:tab w:val="left" w:pos="888"/>
        </w:tabs>
        <w:spacing w:line="400" w:lineRule="exact"/>
        <w:ind w:firstLine="622" w:firstLineChars="200"/>
        <w:rPr>
          <w:rFonts w:ascii="仿宋_GB2312" w:hAnsi="Times New Roman" w:eastAsia="仿宋_GB2312" w:cs="Times New Roman"/>
          <w:kern w:val="0"/>
          <w:sz w:val="32"/>
          <w:szCs w:val="32"/>
        </w:rPr>
      </w:pPr>
      <w:r>
        <w:rPr>
          <w:rFonts w:hint="eastAsia" w:ascii="仿宋_GB2312" w:hAnsi="宋体" w:eastAsia="仿宋_GB2312" w:cs="Times New Roman"/>
          <w:kern w:val="0"/>
          <w:sz w:val="32"/>
          <w:szCs w:val="32"/>
        </w:rPr>
        <w:t>七、</w:t>
      </w:r>
      <w:r>
        <w:rPr>
          <w:rFonts w:hint="eastAsia" w:ascii="仿宋_GB2312" w:hAnsi="Times New Roman" w:eastAsia="仿宋_GB2312" w:cs="Times New Roman"/>
          <w:kern w:val="0"/>
          <w:sz w:val="32"/>
          <w:szCs w:val="32"/>
        </w:rPr>
        <w:t>联系方式</w:t>
      </w:r>
    </w:p>
    <w:p>
      <w:pPr>
        <w:spacing w:line="400" w:lineRule="exact"/>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联 系 人：        电话：          传    真：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地    址：                        邮政编码：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开户名称：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开户银行：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银行账号：                        </w:t>
      </w:r>
    </w:p>
    <w:p>
      <w:pPr>
        <w:spacing w:line="400" w:lineRule="exact"/>
        <w:ind w:firstLine="1524" w:firstLineChars="490"/>
        <w:rPr>
          <w:rFonts w:ascii="仿宋_GB2312" w:hAnsi="Times New Roman"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ind w:firstLine="542" w:firstLineChars="200"/>
        <w:rPr>
          <w:rFonts w:ascii="宋体" w:hAnsi="宋体" w:eastAsia="宋体" w:cs="Times New Roman"/>
          <w:kern w:val="0"/>
          <w:sz w:val="28"/>
          <w:szCs w:val="28"/>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tbl>
      <w:tblPr>
        <w:tblStyle w:val="20"/>
        <w:tblpPr w:leftFromText="180" w:rightFromText="180" w:vertAnchor="text" w:horzAnchor="page" w:tblpX="1322" w:tblpY="1121"/>
        <w:tblOverlap w:val="never"/>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311"/>
        <w:gridCol w:w="1705"/>
        <w:gridCol w:w="235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804" w:type="dxa"/>
            <w:noWrap/>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投标人全称</w:t>
            </w:r>
          </w:p>
        </w:tc>
        <w:tc>
          <w:tcPr>
            <w:tcW w:w="7915" w:type="dxa"/>
            <w:gridSpan w:val="4"/>
            <w:noWrap/>
            <w:vAlign w:val="center"/>
          </w:tcPr>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115" w:type="dxa"/>
            <w:gridSpan w:val="2"/>
            <w:noWrap/>
            <w:vAlign w:val="center"/>
          </w:tcPr>
          <w:p>
            <w:pPr>
              <w:spacing w:line="300" w:lineRule="exact"/>
              <w:jc w:val="center"/>
              <w:rPr>
                <w:rFonts w:ascii="仿宋_GB2312" w:hAnsi="宋体" w:eastAsia="仿宋_GB2312"/>
                <w:sz w:val="24"/>
                <w:szCs w:val="24"/>
              </w:rPr>
            </w:pPr>
            <w:r>
              <w:rPr>
                <w:rFonts w:hint="eastAsia" w:ascii="仿宋_GB2312" w:hAnsi="宋体" w:eastAsia="仿宋_GB2312"/>
                <w:sz w:val="24"/>
                <w:szCs w:val="24"/>
              </w:rPr>
              <w:t>项目名称</w:t>
            </w:r>
          </w:p>
        </w:tc>
        <w:tc>
          <w:tcPr>
            <w:tcW w:w="1705" w:type="dxa"/>
            <w:noWrap/>
            <w:vAlign w:val="center"/>
          </w:tcPr>
          <w:p>
            <w:pPr>
              <w:spacing w:line="300" w:lineRule="exact"/>
              <w:jc w:val="center"/>
              <w:rPr>
                <w:rFonts w:ascii="仿宋_GB2312" w:hAnsi="宋体" w:eastAsia="仿宋_GB2312"/>
                <w:sz w:val="24"/>
                <w:szCs w:val="24"/>
              </w:rPr>
            </w:pPr>
            <w:r>
              <w:rPr>
                <w:rFonts w:hint="eastAsia" w:ascii="仿宋_GB2312" w:hAnsi="宋体" w:eastAsia="仿宋_GB2312"/>
                <w:sz w:val="24"/>
                <w:szCs w:val="24"/>
              </w:rPr>
              <w:t>数量</w:t>
            </w:r>
          </w:p>
        </w:tc>
        <w:tc>
          <w:tcPr>
            <w:tcW w:w="2355" w:type="dxa"/>
            <w:noWrap/>
            <w:vAlign w:val="center"/>
          </w:tcPr>
          <w:p>
            <w:pPr>
              <w:spacing w:line="300" w:lineRule="exact"/>
              <w:jc w:val="center"/>
              <w:rPr>
                <w:rFonts w:ascii="仿宋_GB2312" w:hAnsi="宋体" w:eastAsia="仿宋_GB2312"/>
                <w:sz w:val="24"/>
                <w:szCs w:val="24"/>
              </w:rPr>
            </w:pPr>
            <w:r>
              <w:rPr>
                <w:rFonts w:hint="eastAsia" w:ascii="仿宋_GB2312" w:hAnsi="宋体" w:eastAsia="仿宋_GB2312"/>
                <w:sz w:val="24"/>
                <w:szCs w:val="24"/>
              </w:rPr>
              <w:t>报 价</w:t>
            </w:r>
          </w:p>
          <w:p>
            <w:pPr>
              <w:spacing w:line="300" w:lineRule="exact"/>
              <w:jc w:val="center"/>
            </w:pPr>
            <w:r>
              <w:rPr>
                <w:rFonts w:hint="eastAsia" w:ascii="仿宋_GB2312" w:hAnsi="宋体" w:eastAsia="仿宋_GB2312"/>
                <w:sz w:val="24"/>
                <w:szCs w:val="24"/>
              </w:rPr>
              <w:t>（单位：元）</w:t>
            </w:r>
          </w:p>
        </w:tc>
        <w:tc>
          <w:tcPr>
            <w:tcW w:w="2544" w:type="dxa"/>
            <w:noWrap/>
            <w:vAlign w:val="center"/>
          </w:tcPr>
          <w:p>
            <w:pPr>
              <w:spacing w:line="300" w:lineRule="exact"/>
              <w:jc w:val="center"/>
              <w:rPr>
                <w:rFonts w:ascii="仿宋_GB2312" w:hAnsi="宋体" w:eastAsia="仿宋_GB2312"/>
                <w:sz w:val="24"/>
                <w:szCs w:val="24"/>
              </w:rPr>
            </w:pPr>
            <w:r>
              <w:rPr>
                <w:rFonts w:hint="eastAsia" w:ascii="仿宋_GB2312" w:hAnsi="宋体" w:eastAsia="仿宋_GB2312"/>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3115" w:type="dxa"/>
            <w:gridSpan w:val="2"/>
            <w:tcBorders>
              <w:bottom w:val="single" w:color="auto" w:sz="4" w:space="0"/>
            </w:tcBorders>
            <w:noWrap/>
            <w:vAlign w:val="center"/>
          </w:tcPr>
          <w:p>
            <w:pPr>
              <w:spacing w:line="400" w:lineRule="exact"/>
              <w:jc w:val="center"/>
              <w:rPr>
                <w:rFonts w:ascii="仿宋_GB2312" w:hAnsi="宋体" w:eastAsia="仿宋_GB2312"/>
                <w:sz w:val="24"/>
                <w:szCs w:val="24"/>
              </w:rPr>
            </w:pPr>
          </w:p>
        </w:tc>
        <w:tc>
          <w:tcPr>
            <w:tcW w:w="1705" w:type="dxa"/>
            <w:tcBorders>
              <w:bottom w:val="single" w:color="auto" w:sz="4" w:space="0"/>
            </w:tcBorders>
            <w:noWrap/>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1项</w:t>
            </w:r>
          </w:p>
        </w:tc>
        <w:tc>
          <w:tcPr>
            <w:tcW w:w="2355" w:type="dxa"/>
            <w:tcBorders>
              <w:bottom w:val="single" w:color="auto" w:sz="4" w:space="0"/>
            </w:tcBorders>
            <w:noWrap/>
          </w:tcPr>
          <w:p>
            <w:pPr>
              <w:spacing w:line="400" w:lineRule="exact"/>
              <w:rPr>
                <w:rFonts w:ascii="仿宋_GB2312" w:hAnsi="宋体" w:eastAsia="仿宋_GB2312"/>
                <w:sz w:val="24"/>
                <w:szCs w:val="24"/>
              </w:rPr>
            </w:pPr>
          </w:p>
        </w:tc>
        <w:tc>
          <w:tcPr>
            <w:tcW w:w="2544" w:type="dxa"/>
            <w:tcBorders>
              <w:bottom w:val="single" w:color="auto" w:sz="4" w:space="0"/>
            </w:tcBorders>
            <w:noWrap/>
          </w:tcPr>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719" w:type="dxa"/>
            <w:gridSpan w:val="5"/>
            <w:tcBorders>
              <w:bottom w:val="single" w:color="auto" w:sz="4" w:space="0"/>
            </w:tcBorders>
            <w:noWrap/>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719" w:type="dxa"/>
            <w:gridSpan w:val="5"/>
            <w:noWrap/>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备注：</w:t>
            </w:r>
          </w:p>
        </w:tc>
      </w:tr>
    </w:tbl>
    <w:p>
      <w:pPr>
        <w:pStyle w:val="2"/>
      </w:pPr>
    </w:p>
    <w:p>
      <w:pPr>
        <w:pStyle w:val="3"/>
        <w:ind w:left="0"/>
      </w:pPr>
    </w:p>
    <w:p/>
    <w:p>
      <w:pPr>
        <w:ind w:firstLine="4620" w:firstLineChars="20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报价方全称：（盖章）</w:t>
      </w:r>
    </w:p>
    <w:p>
      <w:pPr>
        <w:ind w:firstLine="4620" w:firstLineChars="2000"/>
        <w:rPr>
          <w:rFonts w:ascii="宋体" w:hAnsi="宋体" w:eastAsia="宋体" w:cs="Times New Roman"/>
          <w:kern w:val="0"/>
          <w:sz w:val="24"/>
          <w:szCs w:val="24"/>
        </w:rPr>
      </w:pPr>
      <w:r>
        <w:rPr>
          <w:rFonts w:hint="eastAsia" w:ascii="宋体" w:hAnsi="宋体" w:eastAsia="宋体" w:cs="Times New Roman"/>
          <w:kern w:val="0"/>
          <w:sz w:val="24"/>
          <w:szCs w:val="24"/>
          <w:lang w:val="zh-CN"/>
        </w:rPr>
        <w:t xml:space="preserve">法定代表人（或授权代表）：（签字）  </w:t>
      </w:r>
    </w:p>
    <w:p>
      <w:pPr>
        <w:ind w:firstLine="5544" w:firstLineChars="24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年  月  日</w:t>
      </w:r>
    </w:p>
    <w:p>
      <w:pPr>
        <w:pStyle w:val="6"/>
        <w:rPr>
          <w:rFonts w:ascii="宋体" w:hAnsi="宋体" w:eastAsia="宋体" w:cs="Times New Roman"/>
          <w:kern w:val="0"/>
          <w:sz w:val="24"/>
          <w:szCs w:val="24"/>
          <w:lang w:val="zh-CN"/>
        </w:rPr>
      </w:pPr>
    </w:p>
    <w:p>
      <w:pPr>
        <w:rPr>
          <w:rFonts w:ascii="宋体" w:hAnsi="宋体" w:eastAsia="宋体" w:cs="Times New Roman"/>
          <w:kern w:val="0"/>
          <w:sz w:val="24"/>
          <w:szCs w:val="24"/>
          <w:lang w:val="zh-CN"/>
        </w:rPr>
      </w:pPr>
    </w:p>
    <w:p>
      <w:pPr>
        <w:pStyle w:val="6"/>
        <w:rPr>
          <w:rFonts w:ascii="宋体" w:hAnsi="宋体" w:eastAsia="宋体" w:cs="Times New Roman"/>
          <w:kern w:val="0"/>
          <w:sz w:val="24"/>
          <w:szCs w:val="24"/>
          <w:lang w:val="zh-CN"/>
        </w:rPr>
      </w:pPr>
    </w:p>
    <w:p>
      <w:pPr>
        <w:rPr>
          <w:rFonts w:ascii="宋体" w:hAnsi="宋体" w:eastAsia="宋体" w:cs="Times New Roman"/>
          <w:kern w:val="0"/>
          <w:sz w:val="24"/>
          <w:szCs w:val="24"/>
          <w:lang w:val="zh-CN"/>
        </w:rPr>
      </w:pPr>
    </w:p>
    <w:p>
      <w:pPr>
        <w:rPr>
          <w:lang w:val="zh-CN"/>
        </w:rPr>
      </w:pPr>
    </w:p>
    <w:p>
      <w:pPr>
        <w:spacing w:line="400" w:lineRule="exact"/>
        <w:rPr>
          <w:rFonts w:ascii="仿宋_GB2312" w:hAnsi="宋体" w:eastAsia="仿宋_GB2312"/>
          <w:sz w:val="24"/>
          <w:szCs w:val="24"/>
        </w:rPr>
      </w:pPr>
    </w:p>
    <w:p>
      <w:pPr>
        <w:pStyle w:val="3"/>
        <w:ind w:left="0"/>
        <w:sectPr>
          <w:headerReference r:id="rId13" w:type="default"/>
          <w:footerReference r:id="rId14"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spacing w:line="560" w:lineRule="exact"/>
        <w:jc w:val="center"/>
        <w:rPr>
          <w:rFonts w:hint="eastAsia" w:ascii="方正小标宋简体" w:hAnsi="Times New Roman" w:eastAsia="方正小标宋简体" w:cs="Times New Roman"/>
          <w:color w:val="auto"/>
          <w:kern w:val="0"/>
          <w:sz w:val="44"/>
          <w:szCs w:val="44"/>
          <w:lang w:val="en-US" w:eastAsia="zh-CN"/>
        </w:rPr>
      </w:pPr>
      <w:r>
        <w:rPr>
          <w:rFonts w:hint="eastAsia" w:ascii="方正小标宋简体" w:hAnsi="Times New Roman" w:eastAsia="方正小标宋简体" w:cs="Times New Roman"/>
          <w:color w:val="auto"/>
          <w:kern w:val="0"/>
          <w:sz w:val="44"/>
          <w:szCs w:val="44"/>
          <w:lang w:val="en-US" w:eastAsia="zh-CN"/>
        </w:rPr>
        <w:t>报价构成表</w:t>
      </w:r>
    </w:p>
    <w:tbl>
      <w:tblPr>
        <w:tblStyle w:val="21"/>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958"/>
        <w:gridCol w:w="1904"/>
        <w:gridCol w:w="1268"/>
        <w:gridCol w:w="173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项目名称</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人数</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月服务费标准（单位：元）</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月数</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小计     （单位：元）</w:t>
            </w:r>
          </w:p>
        </w:tc>
        <w:tc>
          <w:tcPr>
            <w:tcW w:w="19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0"/>
                <w:sz w:val="28"/>
                <w:szCs w:val="28"/>
                <w:vertAlign w:val="baseline"/>
                <w:lang w:val="en-US" w:eastAsia="zh-CN"/>
              </w:rPr>
            </w:pP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19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护工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0"/>
                <w:sz w:val="28"/>
                <w:szCs w:val="28"/>
                <w:vertAlign w:val="baseline"/>
                <w:lang w:val="en-US" w:eastAsia="zh-CN"/>
              </w:rPr>
            </w:pP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rPr>
            </w:pPr>
          </w:p>
        </w:tc>
        <w:tc>
          <w:tcPr>
            <w:tcW w:w="19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陪护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合计</w:t>
            </w:r>
          </w:p>
        </w:tc>
        <w:tc>
          <w:tcPr>
            <w:tcW w:w="7798"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0"/>
                <w:sz w:val="28"/>
                <w:szCs w:val="28"/>
                <w:vertAlign w:val="baseline"/>
                <w:lang w:val="en-US" w:eastAsia="zh-CN"/>
              </w:rPr>
            </w:pPr>
            <w:r>
              <w:rPr>
                <w:rFonts w:hint="eastAsia" w:ascii="仿宋_GB2312" w:hAnsi="仿宋_GB2312" w:eastAsia="仿宋_GB2312" w:cs="仿宋_GB2312"/>
                <w:color w:val="auto"/>
                <w:kern w:val="0"/>
                <w:sz w:val="28"/>
                <w:szCs w:val="28"/>
                <w:vertAlign w:val="baseline"/>
                <w:lang w:val="en-US" w:eastAsia="zh-CN"/>
              </w:rPr>
              <w:t>大写：                          （¥         ）</w:t>
            </w:r>
          </w:p>
        </w:tc>
      </w:tr>
    </w:tbl>
    <w:p>
      <w:pPr>
        <w:rPr>
          <w:rFonts w:ascii="黑体" w:hAnsi="黑体" w:eastAsia="黑体" w:cs="Times New Roman"/>
          <w:kern w:val="0"/>
          <w:sz w:val="32"/>
          <w:szCs w:val="32"/>
        </w:rPr>
      </w:pPr>
    </w:p>
    <w:p>
      <w:pPr>
        <w:rPr>
          <w:rFonts w:ascii="黑体" w:hAnsi="黑体" w:eastAsia="黑体" w:cs="Times New Roman"/>
          <w:kern w:val="0"/>
          <w:sz w:val="32"/>
          <w:szCs w:val="32"/>
        </w:rPr>
      </w:pPr>
    </w:p>
    <w:p>
      <w:pPr>
        <w:ind w:firstLine="4620" w:firstLineChars="20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报价方全称：（盖章）</w:t>
      </w:r>
    </w:p>
    <w:p>
      <w:pPr>
        <w:ind w:firstLine="4620" w:firstLineChars="2000"/>
        <w:rPr>
          <w:rFonts w:ascii="宋体" w:hAnsi="宋体" w:eastAsia="宋体" w:cs="Times New Roman"/>
          <w:kern w:val="0"/>
          <w:sz w:val="24"/>
          <w:szCs w:val="24"/>
        </w:rPr>
      </w:pPr>
      <w:r>
        <w:rPr>
          <w:rFonts w:hint="eastAsia" w:ascii="宋体" w:hAnsi="宋体" w:eastAsia="宋体" w:cs="Times New Roman"/>
          <w:kern w:val="0"/>
          <w:sz w:val="24"/>
          <w:szCs w:val="24"/>
          <w:lang w:val="zh-CN"/>
        </w:rPr>
        <w:t xml:space="preserve">法定代表人（或授权代表）：（签字）  </w:t>
      </w:r>
    </w:p>
    <w:p>
      <w:pPr>
        <w:ind w:firstLine="5544" w:firstLineChars="24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ind w:firstLine="95" w:firstLineChars="41"/>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w:t>
            </w:r>
            <w:r>
              <w:rPr>
                <w:rFonts w:hint="eastAsia" w:ascii="Times New Roman" w:hAnsi="Times New Roman" w:eastAsia="宋体" w:cs="Times New Roman"/>
                <w:kern w:val="0"/>
                <w:sz w:val="24"/>
                <w:szCs w:val="24"/>
                <w:lang w:val="en-US" w:eastAsia="zh-CN"/>
              </w:rPr>
              <w:t>技术</w:t>
            </w:r>
            <w:r>
              <w:rPr>
                <w:rFonts w:hint="eastAsia" w:ascii="Times New Roman" w:hAnsi="Times New Roman" w:eastAsia="宋体" w:cs="Times New Roman"/>
                <w:kern w:val="0"/>
                <w:sz w:val="24"/>
                <w:szCs w:val="24"/>
              </w:rPr>
              <w:t>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报价文件</w:t>
            </w:r>
            <w:r>
              <w:rPr>
                <w:rFonts w:hint="eastAsia" w:ascii="Times New Roman" w:hAnsi="Times New Roman" w:eastAsia="宋体" w:cs="Times New Roman"/>
                <w:kern w:val="0"/>
                <w:sz w:val="24"/>
                <w:szCs w:val="24"/>
                <w:lang w:val="en-US" w:eastAsia="zh-CN"/>
              </w:rPr>
              <w:t>技术</w:t>
            </w:r>
            <w:r>
              <w:rPr>
                <w:rFonts w:hint="eastAsia" w:ascii="Times New Roman" w:hAnsi="Times New Roman" w:eastAsia="宋体" w:cs="Times New Roman"/>
                <w:kern w:val="0"/>
                <w:sz w:val="24"/>
                <w:szCs w:val="24"/>
              </w:rPr>
              <w:t>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bl>
    <w:p>
      <w:pPr>
        <w:ind w:firstLine="462" w:firstLineChars="200"/>
        <w:rPr>
          <w:rFonts w:ascii="宋体" w:hAnsi="宋体"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Times New Roman"/>
          <w:kern w:val="0"/>
          <w:sz w:val="24"/>
          <w:szCs w:val="24"/>
          <w:u w:val="single"/>
        </w:rPr>
        <w:t>特别提示</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本表即为对本项目“</w:t>
      </w:r>
      <w:r>
        <w:rPr>
          <w:rFonts w:hint="eastAsia" w:ascii="宋体" w:hAnsi="宋体" w:eastAsia="宋体" w:cs="Times New Roman"/>
          <w:kern w:val="0"/>
          <w:sz w:val="24"/>
          <w:szCs w:val="24"/>
          <w:lang w:val="zh-CN"/>
        </w:rPr>
        <w:t>第二部分采购项目技术和商务要求”</w:t>
      </w:r>
      <w:r>
        <w:rPr>
          <w:rFonts w:hint="eastAsia" w:ascii="宋体" w:hAnsi="宋体" w:eastAsia="宋体" w:cs="Times New Roman"/>
          <w:kern w:val="0"/>
          <w:sz w:val="24"/>
          <w:szCs w:val="24"/>
        </w:rPr>
        <w:t>谈判文件中的技术要求“★”标注条款进行比较和响应；</w:t>
      </w:r>
    </w:p>
    <w:p>
      <w:pPr>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rPr>
        <w:t>2.该表必须按照询价要求逐条如实填写，根据响应情况在“差异说明”项填写正偏离或负偏离及原因，完全符合的填写“无差异”；</w:t>
      </w:r>
    </w:p>
    <w:p>
      <w:pPr>
        <w:ind w:firstLine="4620" w:firstLineChars="20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报价方全称：（盖章）</w:t>
      </w:r>
    </w:p>
    <w:p>
      <w:pPr>
        <w:ind w:firstLine="4620" w:firstLineChars="2000"/>
        <w:rPr>
          <w:rFonts w:ascii="宋体" w:hAnsi="宋体" w:eastAsia="宋体" w:cs="Times New Roman"/>
          <w:kern w:val="0"/>
          <w:sz w:val="24"/>
          <w:szCs w:val="24"/>
        </w:rPr>
      </w:pPr>
      <w:r>
        <w:rPr>
          <w:rFonts w:hint="eastAsia" w:ascii="宋体" w:hAnsi="宋体" w:eastAsia="宋体" w:cs="Times New Roman"/>
          <w:kern w:val="0"/>
          <w:sz w:val="24"/>
          <w:szCs w:val="24"/>
          <w:lang w:val="zh-CN"/>
        </w:rPr>
        <w:t xml:space="preserve">法定代表人（或授权代表）：（签字）  </w:t>
      </w:r>
    </w:p>
    <w:p>
      <w:pPr>
        <w:ind w:firstLine="5544" w:firstLineChars="24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年  月  日</w:t>
      </w:r>
    </w:p>
    <w:p>
      <w:pPr>
        <w:pStyle w:val="3"/>
        <w:ind w:left="0"/>
      </w:pPr>
      <w:r>
        <w:rPr>
          <w:snapToGrid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ind w:firstLine="95" w:firstLineChars="41"/>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报价文件商务条款响应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ascii="Times New Roman" w:hAnsi="Times New Roman" w:eastAsia="宋体" w:cs="Times New Roman"/>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商务条款主要包括报价要求、售后服务、专利权和保密要求、交货时间、地点与方式、付款及结算方式等。如有遗漏，请报价方按照谈判文件正文自行补充完整。</w:t>
      </w:r>
    </w:p>
    <w:p>
      <w:pPr>
        <w:ind w:firstLine="462" w:firstLineChars="200"/>
        <w:rPr>
          <w:rFonts w:ascii="Times New Roman" w:hAnsi="Times New Roman" w:eastAsia="宋体"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Times New Roman"/>
          <w:kern w:val="0"/>
          <w:sz w:val="24"/>
          <w:szCs w:val="24"/>
          <w:u w:val="single"/>
        </w:rPr>
        <w:t>特别提示</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本表即为对本项目“</w:t>
      </w:r>
      <w:r>
        <w:rPr>
          <w:rFonts w:hint="eastAsia" w:ascii="宋体" w:hAnsi="宋体" w:eastAsia="宋体" w:cs="Times New Roman"/>
          <w:kern w:val="0"/>
          <w:sz w:val="24"/>
          <w:szCs w:val="24"/>
          <w:lang w:val="zh-CN"/>
        </w:rPr>
        <w:t>第二部分采购项目技术和商务要求”</w:t>
      </w:r>
      <w:r>
        <w:rPr>
          <w:rFonts w:hint="eastAsia" w:ascii="宋体" w:hAnsi="宋体" w:eastAsia="宋体" w:cs="Times New Roman"/>
          <w:kern w:val="0"/>
          <w:sz w:val="24"/>
          <w:szCs w:val="24"/>
        </w:rPr>
        <w:t>谈判文件中的商务要求“★”标注条款进行比较和响应；</w:t>
      </w:r>
    </w:p>
    <w:p>
      <w:pPr>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rPr>
        <w:t>2.该表必须按照询价要求逐条如实填写，根据响应情况在“差异说明”项填写正偏离或负偏离及原因，完全符合的填写“无差异”；</w:t>
      </w:r>
    </w:p>
    <w:p>
      <w:pPr>
        <w:ind w:firstLine="4620" w:firstLineChars="20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报价方全称：（盖章）</w:t>
      </w:r>
    </w:p>
    <w:p>
      <w:pPr>
        <w:ind w:firstLine="4620" w:firstLineChars="2000"/>
        <w:rPr>
          <w:rFonts w:ascii="宋体" w:hAnsi="宋体" w:eastAsia="宋体" w:cs="Times New Roman"/>
          <w:kern w:val="0"/>
          <w:sz w:val="24"/>
          <w:szCs w:val="24"/>
        </w:rPr>
      </w:pPr>
      <w:r>
        <w:rPr>
          <w:rFonts w:hint="eastAsia" w:ascii="宋体" w:hAnsi="宋体" w:eastAsia="宋体" w:cs="Times New Roman"/>
          <w:kern w:val="0"/>
          <w:sz w:val="24"/>
          <w:szCs w:val="24"/>
          <w:lang w:val="zh-CN"/>
        </w:rPr>
        <w:t xml:space="preserve">法定代表人（或授权代表）：（签字）  </w:t>
      </w:r>
    </w:p>
    <w:p>
      <w:pPr>
        <w:ind w:firstLine="5544" w:firstLineChars="24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年  月  日</w:t>
      </w:r>
    </w:p>
    <w:p>
      <w:pPr>
        <w:pStyle w:val="2"/>
        <w:rPr>
          <w:lang w:val="zh-CN"/>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总体服务方案</w:t>
      </w: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管理规章制度</w:t>
      </w:r>
    </w:p>
    <w:p>
      <w:pPr>
        <w:pStyle w:val="2"/>
        <w:rPr>
          <w:rFonts w:ascii="方正小标宋简体" w:eastAsia="方正小标宋简体"/>
          <w:sz w:val="44"/>
          <w:szCs w:val="44"/>
        </w:rPr>
      </w:pPr>
    </w:p>
    <w:p>
      <w:pPr>
        <w:pStyle w:val="3"/>
        <w:rPr>
          <w:rFonts w:ascii="方正小标宋简体" w:eastAsia="方正小标宋简体"/>
          <w:sz w:val="44"/>
          <w:szCs w:val="44"/>
        </w:rPr>
      </w:pPr>
    </w:p>
    <w:p>
      <w:pPr>
        <w:rPr>
          <w:rFonts w:ascii="方正小标宋简体" w:hAnsi="Times New Roman" w:eastAsia="方正小标宋简体" w:cs="Times New Roman"/>
          <w:kern w:val="0"/>
          <w:sz w:val="44"/>
          <w:szCs w:val="44"/>
        </w:rPr>
      </w:pPr>
    </w:p>
    <w:p>
      <w:pPr>
        <w:pStyle w:val="2"/>
        <w:rPr>
          <w:rFonts w:ascii="方正小标宋简体" w:eastAsia="方正小标宋简体"/>
          <w:sz w:val="44"/>
          <w:szCs w:val="44"/>
        </w:rPr>
      </w:pPr>
    </w:p>
    <w:p>
      <w:pPr>
        <w:pStyle w:val="3"/>
        <w:rPr>
          <w:rFonts w:ascii="方正小标宋简体" w:eastAsia="方正小标宋简体"/>
          <w:sz w:val="44"/>
          <w:szCs w:val="44"/>
        </w:rPr>
      </w:pPr>
    </w:p>
    <w:p>
      <w:pPr>
        <w:rPr>
          <w:rFonts w:ascii="方正小标宋简体" w:hAnsi="Times New Roman" w:eastAsia="方正小标宋简体" w:cs="Times New Roman"/>
          <w:kern w:val="0"/>
          <w:sz w:val="44"/>
          <w:szCs w:val="44"/>
        </w:rPr>
      </w:pPr>
    </w:p>
    <w:p>
      <w:pPr>
        <w:pStyle w:val="2"/>
        <w:rPr>
          <w:rFonts w:ascii="方正小标宋简体" w:eastAsia="方正小标宋简体"/>
          <w:sz w:val="44"/>
          <w:szCs w:val="44"/>
        </w:rPr>
      </w:pPr>
    </w:p>
    <w:p>
      <w:pPr>
        <w:pStyle w:val="3"/>
        <w:rPr>
          <w:rFonts w:ascii="方正小标宋简体" w:eastAsia="方正小标宋简体"/>
          <w:sz w:val="44"/>
          <w:szCs w:val="44"/>
        </w:rPr>
      </w:pPr>
    </w:p>
    <w:p>
      <w:pPr>
        <w:rPr>
          <w:rFonts w:ascii="方正小标宋简体" w:hAnsi="Times New Roman" w:eastAsia="方正小标宋简体" w:cs="Times New Roman"/>
          <w:kern w:val="0"/>
          <w:sz w:val="44"/>
          <w:szCs w:val="44"/>
        </w:rPr>
      </w:pPr>
    </w:p>
    <w:p>
      <w:pPr>
        <w:pStyle w:val="2"/>
        <w:rPr>
          <w:rFonts w:ascii="方正小标宋简体" w:eastAsia="方正小标宋简体"/>
          <w:sz w:val="44"/>
          <w:szCs w:val="44"/>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应急预案及保障措施</w:t>
      </w:r>
    </w:p>
    <w:p>
      <w:pPr>
        <w:pStyle w:val="3"/>
        <w:rPr>
          <w:rFonts w:ascii="方正小标宋简体" w:eastAsia="方正小标宋简体"/>
          <w:sz w:val="44"/>
          <w:szCs w:val="44"/>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质量保证与服务承诺</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医院感染防控服务方案</w:t>
      </w: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近三年成交案例业绩</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40"/>
        <w:gridCol w:w="977"/>
        <w:gridCol w:w="1682"/>
        <w:gridCol w:w="1394"/>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（包括同类项目，产品名称、型号等）</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用户联系人</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备注：1.同类项目指本次谈判的产品或同类产品。合同有效金额是指合同中本次谈判的产品或同类产品金额。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2.报价方应附销售合同复印件，按合同有效金额由高到低顺序装订，包括：合同首尾页、签字盖章页、合同金额页、产品信息页。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8"/>
          <w:szCs w:val="28"/>
        </w:rPr>
      </w:pPr>
      <w:r>
        <w:rPr>
          <w:rFonts w:hint="eastAsia" w:ascii="宋体" w:hAnsi="宋体" w:eastAsia="宋体" w:cs="Times New Roman"/>
          <w:bCs/>
          <w:kern w:val="0"/>
          <w:sz w:val="24"/>
          <w:szCs w:val="24"/>
        </w:rPr>
        <w:t>3.报价方提供虚假合同的，按虚假投标处理。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354" w:firstLineChars="1400"/>
        <w:rPr>
          <w:rFonts w:ascii="方正小标宋简体" w:hAnsi="Times New Roman" w:eastAsia="方正小标宋简体" w:cs="Times New Roman"/>
          <w:kern w:val="0"/>
          <w:sz w:val="44"/>
          <w:szCs w:val="44"/>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rPr>
        <w:t>的名称为的项目采购活动，根据有关保密法规制度，知悉应当承担的保密义务和法律责任，本公司承诺：</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四、谈判文件以及相关技术文件专室放置、专盘存储、专人管理。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五、未经采购机构审查批准，不得擅自在互联网、通讯媒体等发表涉及此次采购项目相关内容或资讯。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2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我方承诺，以上信息真实可靠；如填报的股东出资额、出资比例等与实际不符，视为放弃成交资格。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（报价方全称）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w:pict>
          <v:shape id="_x0000_s2053" o:spid="_x0000_s2053" o:spt="202" type="#_x0000_t202" style="position:absolute;left:0pt;margin-left:225.4pt;margin-top:9.6pt;height:103.9pt;width:209.1pt;z-index:251660288;v-text-anchor:middle;mso-width-relative:page;mso-height-relative:page;" coordsize="21600,21600" o:gfxdata="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Bzg1LWAAAACgEAAA8AAAAA&#10;AAAAAQAgAAAAIgAAAGRycy9kb3ducmV2LnhtbFBLAQIUABQAAAAIAIdO4kBxmXNbTwIAAKIEAAAO&#10;AAAAAAAAAAEAIAAAACUBAABkcnMvZTJvRG9jLnhtbFBLBQYAAAAABgAGAFkBAADm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Times New Roman" w:hAnsi="Times New Roman" w:eastAsia="宋体" w:cs="Times New Roman"/>
          <w:sz w:val="24"/>
          <w:szCs w:val="24"/>
        </w:rPr>
        <w:pict>
          <v:shape id="_x0000_s2052" o:spid="_x0000_s2052" o:spt="202" type="#_x0000_t202" style="position:absolute;left:0pt;margin-left:2.1pt;margin-top:9.6pt;height:103.9pt;width:206.6pt;z-index:251659264;v-text-anchor:middle;mso-width-relative:page;mso-height-relative:page;" coordsize="21600,21600" o:gfxdata="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qOFddUAAAAIAQAADwAAAAAA&#10;AAABACAAAAAiAAAAZHJzL2Rvd25yZXYueG1sUEsBAhQAFAAAAAgAh07iQL4+e7FPAgAAogQAAA4A&#10;AAAAAAAAAQAgAAAAJAEAAGRycy9lMm9Eb2MueG1sUEsFBgAAAAAGAAYAWQEAAOU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报价方全称：（盖章）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ind w:firstLine="5812" w:firstLineChars="1869"/>
        <w:jc w:val="left"/>
        <w:rPr>
          <w:rFonts w:ascii="Times New Roman" w:hAnsi="Times New Roman" w:eastAsia="宋体" w:cs="Times New Roman"/>
          <w:kern w:val="0"/>
          <w:sz w:val="32"/>
          <w:szCs w:val="32"/>
        </w:rPr>
      </w:pPr>
    </w:p>
    <w:p>
      <w:pPr>
        <w:ind w:firstLine="4317" w:firstLineChars="1869"/>
        <w:jc w:val="left"/>
        <w:rPr>
          <w:rFonts w:ascii="Times New Roman" w:hAnsi="Times New Roman" w:eastAsia="宋体" w:cs="Times New Roman"/>
          <w:kern w:val="0"/>
          <w:sz w:val="24"/>
          <w:szCs w:val="24"/>
        </w:rPr>
      </w:pPr>
    </w:p>
    <w:p>
      <w:pPr>
        <w:ind w:firstLine="5759" w:firstLineChars="2493"/>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（报价方全称）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授权代表姓名：          身份证号码：</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w:pict>
          <v:shape id="_x0000_s2051" o:spid="_x0000_s2051" o:spt="202" type="#_x0000_t202" style="position:absolute;left:0pt;margin-left:227.5pt;margin-top:13.8pt;height:105.95pt;width:210.95pt;z-index:251662336;v-text-anchor:middle;mso-width-relative:page;mso-height-relative:page;" coordsize="21600,21600" o:gfxdata="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Qe6lDYAAAACgEAAA8A&#10;AAAAAAAAAQAgAAAAIgAAAGRycy9kb3ducmV2LnhtbFBLAQIUABQAAAAIAIdO4kBu7ReiUAIAAKIE&#10;AAAOAAAAAAAAAAEAIAAAACcBAABkcnMvZTJvRG9jLnhtbFBLBQYAAAAABgAGAFkBAADp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Times New Roman" w:hAnsi="Times New Roman" w:eastAsia="宋体" w:cs="Times New Roman"/>
          <w:szCs w:val="24"/>
        </w:rPr>
        <w:pict>
          <v:shape id="_x0000_s2050" o:spid="_x0000_s2050" o:spt="202" type="#_x0000_t202" style="position:absolute;left:0pt;margin-left:-3.1pt;margin-top:14.85pt;height:104.6pt;width:211.6pt;z-index:251661312;v-text-anchor:middle;mso-width-relative:page;mso-height-relative:page;" coordsize="21600,21600" o:gfxdata="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39s1s1gAAAAkBAAAPAAAAAAAA&#10;AAEAIAAAACIAAABkcnMvZG93bnJldi54bWxQSwECFAAUAAAACACHTuJAItxAXk0CAACiBAAADgAA&#10;AAAAAAABACAAAAAlAQAAZHJzL2Uyb0RvYy54bWxQSwUGAAAAAAYABgBZAQAA5A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widowControl/>
        <w:spacing w:line="500" w:lineRule="exact"/>
        <w:rPr>
          <w:rFonts w:ascii="黑体" w:hAnsi="黑体" w:eastAsia="黑体" w:cs="Times New Roman"/>
          <w:kern w:val="0"/>
          <w:sz w:val="32"/>
          <w:szCs w:val="32"/>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附件16</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代理人缴纳的最近连续6个月本单位养老保险凭证</w:t>
      </w: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ind w:firstLine="622" w:firstLineChars="200"/>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附件17</w:t>
      </w:r>
    </w:p>
    <w:p>
      <w:pPr>
        <w:ind w:left="1042" w:leftChars="308" w:hanging="423" w:hangingChars="98"/>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提供2020年度的财经审计报告</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（2020年无亏损，且必须包含资产负债表，现金流量表，利润表。）</w:t>
      </w:r>
    </w:p>
    <w:p>
      <w:pPr>
        <w:pStyle w:val="6"/>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pStyle w:val="2"/>
        <w:rPr>
          <w:rFonts w:ascii="黑体" w:hAnsi="黑体" w:eastAsia="黑体"/>
          <w:sz w:val="32"/>
          <w:szCs w:val="32"/>
        </w:rPr>
      </w:pPr>
    </w:p>
    <w:p>
      <w:pPr>
        <w:pStyle w:val="3"/>
        <w:rPr>
          <w:rFonts w:ascii="黑体" w:hAnsi="黑体" w:eastAsia="黑体"/>
          <w:sz w:val="32"/>
          <w:szCs w:val="32"/>
        </w:rPr>
      </w:pPr>
    </w:p>
    <w:p>
      <w:pPr>
        <w:rPr>
          <w:rFonts w:ascii="黑体" w:hAnsi="黑体" w:eastAsia="黑体" w:cs="Times New Roman"/>
          <w:kern w:val="0"/>
          <w:sz w:val="32"/>
          <w:szCs w:val="32"/>
        </w:rPr>
      </w:pPr>
    </w:p>
    <w:p>
      <w:pPr>
        <w:pStyle w:val="2"/>
        <w:rPr>
          <w:rFonts w:ascii="黑体" w:hAnsi="黑体" w:eastAsia="黑体"/>
          <w:sz w:val="32"/>
          <w:szCs w:val="32"/>
        </w:rPr>
      </w:pPr>
    </w:p>
    <w:p>
      <w:pPr>
        <w:pStyle w:val="3"/>
        <w:rPr>
          <w:rFonts w:ascii="黑体" w:hAnsi="黑体" w:eastAsia="黑体"/>
          <w:sz w:val="32"/>
          <w:szCs w:val="32"/>
        </w:rPr>
      </w:pPr>
    </w:p>
    <w:p>
      <w:pPr>
        <w:rPr>
          <w:rFonts w:ascii="黑体" w:hAnsi="黑体" w:eastAsia="黑体" w:cs="Times New Roman"/>
          <w:kern w:val="0"/>
          <w:sz w:val="32"/>
          <w:szCs w:val="32"/>
        </w:rPr>
      </w:pPr>
    </w:p>
    <w:p>
      <w:pPr>
        <w:pStyle w:val="2"/>
        <w:rPr>
          <w:rFonts w:ascii="黑体" w:hAnsi="黑体" w:eastAsia="黑体"/>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附件18</w:t>
      </w:r>
    </w:p>
    <w:p>
      <w:pPr>
        <w:pStyle w:val="3"/>
      </w:pPr>
      <w:r>
        <w:rPr>
          <w:rFonts w:hint="eastAsia" w:eastAsia="方正小标宋简体"/>
          <w:bCs/>
          <w:sz w:val="44"/>
          <w:szCs w:val="44"/>
        </w:rPr>
        <w:t>管理体系认证</w:t>
      </w: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报价方基本情况表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055"/>
        <w:gridCol w:w="710"/>
        <w:gridCol w:w="359"/>
        <w:gridCol w:w="533"/>
        <w:gridCol w:w="535"/>
        <w:gridCol w:w="355"/>
        <w:gridCol w:w="715"/>
        <w:gridCol w:w="178"/>
        <w:gridCol w:w="710"/>
        <w:gridCol w:w="715"/>
        <w:gridCol w:w="17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报价方全称</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及机构</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及特长</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    万元</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9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务情况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主要货物状况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货物</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上年销售值</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pPr>
      <w:r>
        <w:rPr>
          <w:rFonts w:hint="eastAsia" w:ascii="Times New Roman" w:hAnsi="Times New Roman" w:eastAsia="宋体" w:cs="Times New Roman"/>
          <w:kern w:val="0"/>
          <w:sz w:val="24"/>
          <w:szCs w:val="24"/>
        </w:rPr>
        <w:t>纸面不敷时，可以另加页</w:t>
      </w:r>
    </w:p>
    <w:sectPr>
      <w:headerReference r:id="rId15"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rPr>
        <w:sz w:val="24"/>
        <w:szCs w:val="24"/>
      </w:rPr>
    </w:pPr>
    <w:r>
      <w:rPr>
        <w:sz w:val="24"/>
      </w:rPr>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path/>
          <v:fill on="f" focussize="0,0"/>
          <v:stroke on="f" weight="0.5pt" joinstyle="miter"/>
          <v:imagedata o:title=""/>
          <o:lock v:ext="edit"/>
          <v:textbox inset="0mm,0mm,0mm,0mm" style="mso-fit-shape-to-text:t;">
            <w:txbxContent>
              <w:p>
                <w:pPr>
                  <w:pStyle w:val="13"/>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8402"/>
      <w:rPr>
        <w:rFonts w:ascii="宋体" w:cs="宋体"/>
        <w:sz w:val="24"/>
        <w:szCs w:val="24"/>
      </w:rPr>
    </w:pPr>
    <w:r>
      <w:rPr>
        <w:sz w:val="24"/>
      </w:rPr>
      <w:pict>
        <v:shape id="_x0000_s3076" o:spid="_x0000_s307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10</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8132"/>
      <w:rPr>
        <w:rFonts w:ascii="宋体" w:cs="宋体"/>
        <w:sz w:val="24"/>
        <w:szCs w:val="24"/>
      </w:rPr>
    </w:pPr>
    <w:r>
      <w:rPr>
        <w:sz w:val="24"/>
      </w:rPr>
      <w:pict>
        <v:shape id="_x0000_s3075" o:spid="_x0000_s3075"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13</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8244"/>
      <w:rPr>
        <w:rFonts w:ascii="宋体" w:cs="宋体"/>
        <w:sz w:val="24"/>
        <w:szCs w:val="24"/>
      </w:rPr>
    </w:pPr>
    <w:r>
      <w:rPr>
        <w:rFonts w:hint="eastAsia" w:ascii="仿宋_GB2312" w:hAnsi="仿宋_GB2312" w:eastAsia="仿宋_GB2312" w:cs="仿宋_GB2312"/>
        <w:spacing w:val="-9"/>
        <w:position w:val="-3"/>
        <w:szCs w:val="21"/>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rPr>
        <w:sz w:val="24"/>
        <w:szCs w:val="24"/>
      </w:rPr>
    </w:pPr>
    <w:r>
      <w:rPr>
        <w:sz w:val="24"/>
      </w:rPr>
      <w:pict>
        <v:shape id="_x0000_s3074" o:spid="_x0000_s3074"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35</w:t>
                </w:r>
                <w:r>
                  <w:fldChar w:fldCharType="end"/>
                </w:r>
                <w: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rPr>
        <w:rFonts w:ascii="宋体"/>
        <w:sz w:val="24"/>
        <w:szCs w:val="24"/>
      </w:rPr>
    </w:pPr>
    <w:r>
      <w:rPr>
        <w:sz w:val="24"/>
      </w:rPr>
      <w:pict>
        <v:shape id="_x0000_s3073" o:spid="_x0000_s3073"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73</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p>
  <w:p>
    <w:pPr>
      <w:pStyle w:val="14"/>
      <w:jc w:val="both"/>
      <w:rPr>
        <w:rFonts w:ascii="楷体_GB2312" w:eastAsia="楷体_GB2312"/>
        <w:sz w:val="21"/>
        <w:szCs w:val="21"/>
      </w:rPr>
    </w:pPr>
  </w:p>
  <w:p>
    <w:pPr>
      <w:pStyle w:val="14"/>
      <w:jc w:val="both"/>
      <w:rPr>
        <w:rFonts w:ascii="楷体_GB2312" w:eastAsia="楷体_GB2312"/>
        <w:sz w:val="21"/>
        <w:szCs w:val="21"/>
      </w:rPr>
    </w:pPr>
    <w:r>
      <w:rPr>
        <w:rFonts w:hint="eastAsia" w:ascii="楷体_GB2312" w:eastAsia="楷体_GB2312"/>
        <w:sz w:val="21"/>
        <w:szCs w:val="21"/>
      </w:rPr>
      <w:t>谈判文件谈判邀请书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275"/>
      <w:rPr>
        <w:rFonts w:ascii="楷体" w:hAnsi="楷体" w:eastAsia="楷体" w:cs="楷体"/>
      </w:rPr>
    </w:pPr>
    <w:r>
      <w:drawing>
        <wp:anchor distT="0" distB="0" distL="114300" distR="114300" simplePos="0" relativeHeight="251664384" behindDoc="0" locked="0" layoutInCell="0" allowOverlap="1">
          <wp:simplePos x="0" y="0"/>
          <wp:positionH relativeFrom="page">
            <wp:posOffset>1008380</wp:posOffset>
          </wp:positionH>
          <wp:positionV relativeFrom="page">
            <wp:posOffset>1070610</wp:posOffset>
          </wp:positionV>
          <wp:extent cx="5615940" cy="8890"/>
          <wp:effectExtent l="0" t="0" r="0" b="0"/>
          <wp:wrapNone/>
          <wp:docPr id="4" name="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12"/>
                  <pic:cNvPicPr>
                    <a:picLocks noChangeAspect="1"/>
                  </pic:cNvPicPr>
                </pic:nvPicPr>
                <pic:blipFill>
                  <a:blip r:embed="rId1"/>
                  <a:stretch>
                    <a:fillRect/>
                  </a:stretch>
                </pic:blipFill>
                <pic:spPr>
                  <a:xfrm>
                    <a:off x="0" y="0"/>
                    <a:ext cx="5615940" cy="8890"/>
                  </a:xfrm>
                  <a:prstGeom prst="rect">
                    <a:avLst/>
                  </a:prstGeom>
                  <a:noFill/>
                  <a:ln>
                    <a:noFill/>
                  </a:ln>
                </pic:spPr>
              </pic:pic>
            </a:graphicData>
          </a:graphic>
        </wp:anchor>
      </w:drawing>
    </w:r>
    <w:r>
      <w:rPr>
        <w:rFonts w:hint="eastAsia" w:ascii="楷体" w:hAnsi="楷体" w:eastAsia="楷体" w:cs="楷体"/>
        <w:spacing w:val="-1"/>
      </w:rPr>
      <w:t>谈判文件技术和商务要求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
      <w:rPr>
        <w:rFonts w:ascii="楷体" w:hAnsi="楷体" w:eastAsia="楷体" w:cs="楷体"/>
      </w:rPr>
    </w:pPr>
    <w:r>
      <w:drawing>
        <wp:anchor distT="0" distB="0" distL="114300" distR="114300" simplePos="0" relativeHeight="251665408" behindDoc="0" locked="0" layoutInCell="0" allowOverlap="1">
          <wp:simplePos x="0" y="0"/>
          <wp:positionH relativeFrom="page">
            <wp:posOffset>1008380</wp:posOffset>
          </wp:positionH>
          <wp:positionV relativeFrom="page">
            <wp:posOffset>1070610</wp:posOffset>
          </wp:positionV>
          <wp:extent cx="5615940" cy="8890"/>
          <wp:effectExtent l="0" t="0" r="0" b="0"/>
          <wp:wrapNone/>
          <wp:docPr id="7" name="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 14"/>
                  <pic:cNvPicPr>
                    <a:picLocks noChangeAspect="1"/>
                  </pic:cNvPicPr>
                </pic:nvPicPr>
                <pic:blipFill>
                  <a:blip r:embed="rId1"/>
                  <a:stretch>
                    <a:fillRect/>
                  </a:stretch>
                </pic:blipFill>
                <pic:spPr>
                  <a:xfrm>
                    <a:off x="0" y="0"/>
                    <a:ext cx="5615940" cy="8890"/>
                  </a:xfrm>
                  <a:prstGeom prst="rect">
                    <a:avLst/>
                  </a:prstGeom>
                  <a:noFill/>
                  <a:ln>
                    <a:noFill/>
                  </a:ln>
                </pic:spPr>
              </pic:pic>
            </a:graphicData>
          </a:graphic>
        </wp:anchor>
      </w:drawing>
    </w:r>
    <w:r>
      <w:rPr>
        <w:rFonts w:hint="eastAsia" w:ascii="楷体" w:hAnsi="楷体" w:eastAsia="楷体" w:cs="楷体"/>
        <w:spacing w:val="-1"/>
      </w:rPr>
      <w:t>谈判文件技术和商务要求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16"/>
      <w:rPr>
        <w:rFonts w:ascii="楷体" w:hAnsi="楷体" w:eastAsia="楷体" w:cs="楷体"/>
      </w:rPr>
    </w:pPr>
    <w:r>
      <w:drawing>
        <wp:anchor distT="0" distB="0" distL="114300" distR="114300" simplePos="0" relativeHeight="251666432" behindDoc="0" locked="0" layoutInCell="0" allowOverlap="1">
          <wp:simplePos x="0" y="0"/>
          <wp:positionH relativeFrom="page">
            <wp:posOffset>1008380</wp:posOffset>
          </wp:positionH>
          <wp:positionV relativeFrom="page">
            <wp:posOffset>1070610</wp:posOffset>
          </wp:positionV>
          <wp:extent cx="5615940" cy="8890"/>
          <wp:effectExtent l="0" t="0" r="0" b="0"/>
          <wp:wrapNone/>
          <wp:docPr id="8" name="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 17"/>
                  <pic:cNvPicPr>
                    <a:picLocks noChangeAspect="1"/>
                  </pic:cNvPicPr>
                </pic:nvPicPr>
                <pic:blipFill>
                  <a:blip r:embed="rId1"/>
                  <a:stretch>
                    <a:fillRect/>
                  </a:stretch>
                </pic:blipFill>
                <pic:spPr>
                  <a:xfrm>
                    <a:off x="0" y="0"/>
                    <a:ext cx="5615940" cy="8890"/>
                  </a:xfrm>
                  <a:prstGeom prst="rect">
                    <a:avLst/>
                  </a:prstGeom>
                  <a:noFill/>
                  <a:ln>
                    <a:noFill/>
                  </a:ln>
                </pic:spPr>
              </pic:pic>
            </a:graphicData>
          </a:graphic>
        </wp:anchor>
      </w:drawing>
    </w:r>
    <w:r>
      <w:rPr>
        <w:rFonts w:hint="eastAsia" w:ascii="楷体" w:hAnsi="楷体" w:eastAsia="楷体" w:cs="楷体"/>
        <w:spacing w:val="-1"/>
      </w:rPr>
      <w:t>谈判文件技术和商务要求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p>
  <w:p>
    <w:pPr>
      <w:pStyle w:val="14"/>
      <w:jc w:val="both"/>
      <w:rPr>
        <w:rFonts w:ascii="楷体_GB2312" w:eastAsia="楷体_GB2312"/>
        <w:sz w:val="21"/>
        <w:szCs w:val="21"/>
      </w:rPr>
    </w:pPr>
  </w:p>
  <w:p>
    <w:pPr>
      <w:pStyle w:val="14"/>
      <w:jc w:val="both"/>
      <w:rPr>
        <w:rFonts w:ascii="楷体_GB2312" w:eastAsia="楷体_GB2312"/>
        <w:sz w:val="21"/>
        <w:szCs w:val="21"/>
      </w:rPr>
    </w:pPr>
    <w:r>
      <w:rPr>
        <w:rFonts w:hint="eastAsia" w:ascii="楷体_GB2312" w:eastAsia="楷体_GB2312"/>
        <w:sz w:val="21"/>
        <w:szCs w:val="21"/>
      </w:rPr>
      <w:t>谈判文件               报价方须知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p>
  <w:p>
    <w:pPr>
      <w:pStyle w:val="14"/>
      <w:jc w:val="both"/>
      <w:rPr>
        <w:rFonts w:ascii="楷体_GB2312" w:eastAsia="楷体_GB2312"/>
        <w:sz w:val="21"/>
        <w:szCs w:val="21"/>
      </w:rPr>
    </w:pPr>
  </w:p>
  <w:p>
    <w:pPr>
      <w:pStyle w:val="14"/>
      <w:jc w:val="both"/>
      <w:rPr>
        <w:rFonts w:ascii="楷体_GB2312" w:eastAsia="楷体_GB2312"/>
        <w:sz w:val="21"/>
        <w:szCs w:val="21"/>
      </w:rPr>
    </w:pPr>
    <w:r>
      <w:rPr>
        <w:rFonts w:hint="eastAsia" w:ascii="楷体_GB2312" w:eastAsia="楷体_GB2312"/>
        <w:sz w:val="21"/>
        <w:szCs w:val="21"/>
      </w:rPr>
      <w:t xml:space="preserve">谈判文件    </w:t>
    </w:r>
    <w:r>
      <w:rPr>
        <w:rFonts w:hint="eastAsia" w:ascii="楷体_GB2312" w:hAnsi="华文中宋" w:eastAsia="楷体_GB2312"/>
        <w:sz w:val="21"/>
        <w:szCs w:val="21"/>
      </w:rPr>
      <w:t>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bCs/>
        <w:sz w:val="21"/>
        <w:szCs w:val="21"/>
      </w:rPr>
    </w:pPr>
  </w:p>
  <w:p>
    <w:pPr>
      <w:pStyle w:val="14"/>
      <w:jc w:val="both"/>
      <w:rPr>
        <w:rFonts w:ascii="楷体_GB2312" w:eastAsia="楷体_GB2312"/>
        <w:bCs/>
        <w:sz w:val="21"/>
        <w:szCs w:val="21"/>
      </w:rPr>
    </w:pPr>
  </w:p>
  <w:p>
    <w:pPr>
      <w:pStyle w:val="14"/>
      <w:jc w:val="both"/>
      <w:rPr>
        <w:rFonts w:ascii="楷体_GB2312" w:eastAsia="楷体_GB2312"/>
        <w:bCs/>
        <w:sz w:val="21"/>
        <w:szCs w:val="21"/>
      </w:rPr>
    </w:pPr>
    <w:r>
      <w:rPr>
        <w:rFonts w:hint="eastAsia" w:ascii="楷体_GB2312" w:eastAsia="楷体_GB2312"/>
        <w:bCs/>
        <w:sz w:val="21"/>
        <w:szCs w:val="21"/>
      </w:rPr>
      <w:t>谈判文件</w:t>
    </w:r>
    <w:r>
      <w:rPr>
        <w:rFonts w:hint="eastAsia" w:ascii="楷体_GB2312" w:hAnsi="华文中宋" w:eastAsia="楷体_GB2312"/>
        <w:sz w:val="21"/>
        <w:szCs w:val="21"/>
      </w:rPr>
      <w:t xml:space="preserve">                                                      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52783"/>
    <w:multiLevelType w:val="singleLevel"/>
    <w:tmpl w:val="A2F52783"/>
    <w:lvl w:ilvl="0" w:tentative="0">
      <w:start w:val="1"/>
      <w:numFmt w:val="decimal"/>
      <w:lvlText w:val="%1."/>
      <w:lvlJc w:val="left"/>
      <w:pPr>
        <w:tabs>
          <w:tab w:val="left" w:pos="312"/>
        </w:tabs>
      </w:pPr>
      <w:rPr>
        <w:rFonts w:cs="Times New Roman"/>
      </w:rPr>
    </w:lvl>
  </w:abstractNum>
  <w:abstractNum w:abstractNumId="1">
    <w:nsid w:val="E8A6AB3D"/>
    <w:multiLevelType w:val="singleLevel"/>
    <w:tmpl w:val="E8A6AB3D"/>
    <w:lvl w:ilvl="0" w:tentative="0">
      <w:start w:val="3"/>
      <w:numFmt w:val="decimal"/>
      <w:lvlText w:val="%1."/>
      <w:lvlJc w:val="left"/>
      <w:pPr>
        <w:tabs>
          <w:tab w:val="left" w:pos="312"/>
        </w:tabs>
        <w:ind w:left="-22"/>
      </w:pPr>
    </w:lvl>
  </w:abstractNum>
  <w:abstractNum w:abstractNumId="2">
    <w:nsid w:val="3D4DE663"/>
    <w:multiLevelType w:val="singleLevel"/>
    <w:tmpl w:val="3D4DE66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201"/>
  <w:drawingGridVerticalSpacing w:val="579"/>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F19EE"/>
    <w:rsid w:val="00027CF2"/>
    <w:rsid w:val="00057E1D"/>
    <w:rsid w:val="00064303"/>
    <w:rsid w:val="00082A64"/>
    <w:rsid w:val="00094D66"/>
    <w:rsid w:val="0009631F"/>
    <w:rsid w:val="000A16A1"/>
    <w:rsid w:val="000A47EE"/>
    <w:rsid w:val="000B6DC5"/>
    <w:rsid w:val="000C05CF"/>
    <w:rsid w:val="000C0756"/>
    <w:rsid w:val="000E203F"/>
    <w:rsid w:val="000F19EE"/>
    <w:rsid w:val="00146B8C"/>
    <w:rsid w:val="00153547"/>
    <w:rsid w:val="00154A37"/>
    <w:rsid w:val="00156746"/>
    <w:rsid w:val="00167E17"/>
    <w:rsid w:val="001A14C3"/>
    <w:rsid w:val="00214820"/>
    <w:rsid w:val="00265A44"/>
    <w:rsid w:val="00282812"/>
    <w:rsid w:val="002C0F66"/>
    <w:rsid w:val="002C6A11"/>
    <w:rsid w:val="002D331A"/>
    <w:rsid w:val="002E3D9F"/>
    <w:rsid w:val="002F1927"/>
    <w:rsid w:val="003027C7"/>
    <w:rsid w:val="003222A0"/>
    <w:rsid w:val="00384C3A"/>
    <w:rsid w:val="00387C50"/>
    <w:rsid w:val="003B09EC"/>
    <w:rsid w:val="003B3BD0"/>
    <w:rsid w:val="003F5B3D"/>
    <w:rsid w:val="0041496A"/>
    <w:rsid w:val="004208CD"/>
    <w:rsid w:val="00430345"/>
    <w:rsid w:val="004350C6"/>
    <w:rsid w:val="00452E89"/>
    <w:rsid w:val="004569F6"/>
    <w:rsid w:val="00481283"/>
    <w:rsid w:val="004E18EC"/>
    <w:rsid w:val="004E35E3"/>
    <w:rsid w:val="00582550"/>
    <w:rsid w:val="005A24EB"/>
    <w:rsid w:val="005B5235"/>
    <w:rsid w:val="005F2C28"/>
    <w:rsid w:val="005F3E10"/>
    <w:rsid w:val="0062692F"/>
    <w:rsid w:val="006624BA"/>
    <w:rsid w:val="006979A0"/>
    <w:rsid w:val="006A7511"/>
    <w:rsid w:val="006B2818"/>
    <w:rsid w:val="006C1CF4"/>
    <w:rsid w:val="006E5F9F"/>
    <w:rsid w:val="006E67F2"/>
    <w:rsid w:val="007264A9"/>
    <w:rsid w:val="0073357E"/>
    <w:rsid w:val="00756021"/>
    <w:rsid w:val="0077103A"/>
    <w:rsid w:val="0079773B"/>
    <w:rsid w:val="007A278C"/>
    <w:rsid w:val="007B376E"/>
    <w:rsid w:val="007D7610"/>
    <w:rsid w:val="007F1DBB"/>
    <w:rsid w:val="00802D9C"/>
    <w:rsid w:val="00807080"/>
    <w:rsid w:val="0084720F"/>
    <w:rsid w:val="008642CB"/>
    <w:rsid w:val="008D583C"/>
    <w:rsid w:val="008E43CB"/>
    <w:rsid w:val="008F3C8F"/>
    <w:rsid w:val="008F7856"/>
    <w:rsid w:val="00932621"/>
    <w:rsid w:val="00942048"/>
    <w:rsid w:val="009478E9"/>
    <w:rsid w:val="00977E68"/>
    <w:rsid w:val="009942A5"/>
    <w:rsid w:val="009959AD"/>
    <w:rsid w:val="009A1A23"/>
    <w:rsid w:val="009D7580"/>
    <w:rsid w:val="009F0E89"/>
    <w:rsid w:val="009F315B"/>
    <w:rsid w:val="00A072CB"/>
    <w:rsid w:val="00A20EFA"/>
    <w:rsid w:val="00A272F7"/>
    <w:rsid w:val="00A522F8"/>
    <w:rsid w:val="00AA43E5"/>
    <w:rsid w:val="00AE4417"/>
    <w:rsid w:val="00B01F17"/>
    <w:rsid w:val="00B14E99"/>
    <w:rsid w:val="00B2575B"/>
    <w:rsid w:val="00B67EE1"/>
    <w:rsid w:val="00B81FFF"/>
    <w:rsid w:val="00BC12B2"/>
    <w:rsid w:val="00BD7E70"/>
    <w:rsid w:val="00BF1317"/>
    <w:rsid w:val="00C475A2"/>
    <w:rsid w:val="00C5456B"/>
    <w:rsid w:val="00C7014A"/>
    <w:rsid w:val="00C840DC"/>
    <w:rsid w:val="00CD3A99"/>
    <w:rsid w:val="00CD46E0"/>
    <w:rsid w:val="00D51588"/>
    <w:rsid w:val="00D93183"/>
    <w:rsid w:val="00DC3285"/>
    <w:rsid w:val="00DD114F"/>
    <w:rsid w:val="00DE2535"/>
    <w:rsid w:val="00DE45D1"/>
    <w:rsid w:val="00DF28D9"/>
    <w:rsid w:val="00E41380"/>
    <w:rsid w:val="00E43651"/>
    <w:rsid w:val="00E60B3D"/>
    <w:rsid w:val="00E74634"/>
    <w:rsid w:val="00E7484E"/>
    <w:rsid w:val="00E87939"/>
    <w:rsid w:val="00E9244B"/>
    <w:rsid w:val="00EA0E56"/>
    <w:rsid w:val="00EB77AB"/>
    <w:rsid w:val="00F01F2D"/>
    <w:rsid w:val="00F61B44"/>
    <w:rsid w:val="00F75355"/>
    <w:rsid w:val="00F76A38"/>
    <w:rsid w:val="00FA4E4F"/>
    <w:rsid w:val="00FC33D8"/>
    <w:rsid w:val="00FE133A"/>
    <w:rsid w:val="00FF768E"/>
    <w:rsid w:val="01062EEC"/>
    <w:rsid w:val="011D2710"/>
    <w:rsid w:val="0134468E"/>
    <w:rsid w:val="016F45ED"/>
    <w:rsid w:val="01770A47"/>
    <w:rsid w:val="018E1EA2"/>
    <w:rsid w:val="018E4567"/>
    <w:rsid w:val="01CB0705"/>
    <w:rsid w:val="01D20745"/>
    <w:rsid w:val="01E50D53"/>
    <w:rsid w:val="01F714C9"/>
    <w:rsid w:val="02046644"/>
    <w:rsid w:val="020E3E06"/>
    <w:rsid w:val="021E5570"/>
    <w:rsid w:val="02357E9C"/>
    <w:rsid w:val="02E9543A"/>
    <w:rsid w:val="03393015"/>
    <w:rsid w:val="0361440A"/>
    <w:rsid w:val="036B5288"/>
    <w:rsid w:val="037351D5"/>
    <w:rsid w:val="03C50E3C"/>
    <w:rsid w:val="03FF1F88"/>
    <w:rsid w:val="042711AF"/>
    <w:rsid w:val="044C330C"/>
    <w:rsid w:val="04581CB1"/>
    <w:rsid w:val="0494445C"/>
    <w:rsid w:val="04FB6596"/>
    <w:rsid w:val="05003933"/>
    <w:rsid w:val="05042D98"/>
    <w:rsid w:val="05571F68"/>
    <w:rsid w:val="0563090D"/>
    <w:rsid w:val="057B562E"/>
    <w:rsid w:val="057B7EA7"/>
    <w:rsid w:val="05A15F84"/>
    <w:rsid w:val="05D25A75"/>
    <w:rsid w:val="05FD0A8D"/>
    <w:rsid w:val="06224324"/>
    <w:rsid w:val="062F6A41"/>
    <w:rsid w:val="06585F98"/>
    <w:rsid w:val="06A765D7"/>
    <w:rsid w:val="06B86A2D"/>
    <w:rsid w:val="06C3448A"/>
    <w:rsid w:val="07063D1A"/>
    <w:rsid w:val="072E320B"/>
    <w:rsid w:val="074D0A20"/>
    <w:rsid w:val="07754928"/>
    <w:rsid w:val="079248D9"/>
    <w:rsid w:val="07B62F76"/>
    <w:rsid w:val="07E15B19"/>
    <w:rsid w:val="08422A5C"/>
    <w:rsid w:val="08640C24"/>
    <w:rsid w:val="089A2898"/>
    <w:rsid w:val="08A059D4"/>
    <w:rsid w:val="08AF5C17"/>
    <w:rsid w:val="08F16230"/>
    <w:rsid w:val="090146C5"/>
    <w:rsid w:val="09376339"/>
    <w:rsid w:val="096E2427"/>
    <w:rsid w:val="097F55EA"/>
    <w:rsid w:val="098A4739"/>
    <w:rsid w:val="09A90D29"/>
    <w:rsid w:val="09E21873"/>
    <w:rsid w:val="09E51014"/>
    <w:rsid w:val="0A0C1573"/>
    <w:rsid w:val="0A1A1AA5"/>
    <w:rsid w:val="0A4725AB"/>
    <w:rsid w:val="0A4F0D85"/>
    <w:rsid w:val="0A897FD3"/>
    <w:rsid w:val="0AA0643E"/>
    <w:rsid w:val="0AC017C4"/>
    <w:rsid w:val="0AC37758"/>
    <w:rsid w:val="0AC40FB7"/>
    <w:rsid w:val="0ACF1FC9"/>
    <w:rsid w:val="0AE34E05"/>
    <w:rsid w:val="0AF3003D"/>
    <w:rsid w:val="0B16508E"/>
    <w:rsid w:val="0B72535E"/>
    <w:rsid w:val="0B9C1D62"/>
    <w:rsid w:val="0BC1638D"/>
    <w:rsid w:val="0C3B1C9C"/>
    <w:rsid w:val="0C450D6C"/>
    <w:rsid w:val="0C48260B"/>
    <w:rsid w:val="0C564D28"/>
    <w:rsid w:val="0C696F16"/>
    <w:rsid w:val="0CBF1356"/>
    <w:rsid w:val="0CDA25AE"/>
    <w:rsid w:val="0CE00A95"/>
    <w:rsid w:val="0CE413B8"/>
    <w:rsid w:val="0CFF03DE"/>
    <w:rsid w:val="0D2A1D10"/>
    <w:rsid w:val="0D314E4D"/>
    <w:rsid w:val="0D505C1B"/>
    <w:rsid w:val="0D541022"/>
    <w:rsid w:val="0D7611AE"/>
    <w:rsid w:val="0D9C584B"/>
    <w:rsid w:val="0DAE2941"/>
    <w:rsid w:val="0DC92108"/>
    <w:rsid w:val="0DEB76F2"/>
    <w:rsid w:val="0DF447F8"/>
    <w:rsid w:val="0E092B26"/>
    <w:rsid w:val="0E283F4D"/>
    <w:rsid w:val="0E590AFF"/>
    <w:rsid w:val="0EAB29D3"/>
    <w:rsid w:val="0EBB6277"/>
    <w:rsid w:val="0EBC4BEA"/>
    <w:rsid w:val="0EC35F79"/>
    <w:rsid w:val="0EE3661B"/>
    <w:rsid w:val="0EEF448F"/>
    <w:rsid w:val="0EF97FBE"/>
    <w:rsid w:val="0F187426"/>
    <w:rsid w:val="0F38778F"/>
    <w:rsid w:val="0F3D5653"/>
    <w:rsid w:val="0F470958"/>
    <w:rsid w:val="0F6D6000"/>
    <w:rsid w:val="0F81030D"/>
    <w:rsid w:val="0F9022FF"/>
    <w:rsid w:val="0F94164E"/>
    <w:rsid w:val="0FA638D0"/>
    <w:rsid w:val="0FDF308D"/>
    <w:rsid w:val="105C21A1"/>
    <w:rsid w:val="10613C9B"/>
    <w:rsid w:val="10675009"/>
    <w:rsid w:val="106E68B7"/>
    <w:rsid w:val="10914580"/>
    <w:rsid w:val="109951E3"/>
    <w:rsid w:val="10A818CA"/>
    <w:rsid w:val="10BE2E9B"/>
    <w:rsid w:val="111451B1"/>
    <w:rsid w:val="1125116C"/>
    <w:rsid w:val="11396B95"/>
    <w:rsid w:val="11586EE7"/>
    <w:rsid w:val="11692E07"/>
    <w:rsid w:val="11731929"/>
    <w:rsid w:val="11732F57"/>
    <w:rsid w:val="11B322D4"/>
    <w:rsid w:val="11DF30C9"/>
    <w:rsid w:val="11FF3AD5"/>
    <w:rsid w:val="121A05A5"/>
    <w:rsid w:val="121C129E"/>
    <w:rsid w:val="123478B9"/>
    <w:rsid w:val="125A1D3E"/>
    <w:rsid w:val="127907B7"/>
    <w:rsid w:val="12A10CC7"/>
    <w:rsid w:val="12E905C7"/>
    <w:rsid w:val="12FB3F33"/>
    <w:rsid w:val="135074B9"/>
    <w:rsid w:val="137B1518"/>
    <w:rsid w:val="13904FC3"/>
    <w:rsid w:val="13E744B7"/>
    <w:rsid w:val="142474B9"/>
    <w:rsid w:val="14381ACC"/>
    <w:rsid w:val="14533F85"/>
    <w:rsid w:val="14587163"/>
    <w:rsid w:val="14840DF9"/>
    <w:rsid w:val="148D32B1"/>
    <w:rsid w:val="14C62A71"/>
    <w:rsid w:val="14E064EF"/>
    <w:rsid w:val="14FE41AE"/>
    <w:rsid w:val="150325A5"/>
    <w:rsid w:val="15253048"/>
    <w:rsid w:val="152E4D15"/>
    <w:rsid w:val="153E6DC2"/>
    <w:rsid w:val="154422E1"/>
    <w:rsid w:val="154E24EE"/>
    <w:rsid w:val="155838BF"/>
    <w:rsid w:val="15637299"/>
    <w:rsid w:val="15791A87"/>
    <w:rsid w:val="158C3568"/>
    <w:rsid w:val="159579DE"/>
    <w:rsid w:val="15BB3E4D"/>
    <w:rsid w:val="15BC0CA2"/>
    <w:rsid w:val="15CA49B5"/>
    <w:rsid w:val="15CA5CEC"/>
    <w:rsid w:val="15E6711C"/>
    <w:rsid w:val="15F01D49"/>
    <w:rsid w:val="16227A29"/>
    <w:rsid w:val="163112C6"/>
    <w:rsid w:val="16371117"/>
    <w:rsid w:val="164D6AB7"/>
    <w:rsid w:val="165279E3"/>
    <w:rsid w:val="166D15EC"/>
    <w:rsid w:val="16750620"/>
    <w:rsid w:val="16B203B4"/>
    <w:rsid w:val="16B74A1D"/>
    <w:rsid w:val="16D57191"/>
    <w:rsid w:val="16EC0900"/>
    <w:rsid w:val="170432DD"/>
    <w:rsid w:val="171E3A93"/>
    <w:rsid w:val="17397720"/>
    <w:rsid w:val="17546308"/>
    <w:rsid w:val="175D340E"/>
    <w:rsid w:val="17966844"/>
    <w:rsid w:val="17A60298"/>
    <w:rsid w:val="17A76437"/>
    <w:rsid w:val="17AC6144"/>
    <w:rsid w:val="17D246D4"/>
    <w:rsid w:val="17DF482A"/>
    <w:rsid w:val="18245CDA"/>
    <w:rsid w:val="18534811"/>
    <w:rsid w:val="18811059"/>
    <w:rsid w:val="189F36EA"/>
    <w:rsid w:val="18C80D5B"/>
    <w:rsid w:val="18CB6574"/>
    <w:rsid w:val="19263CD4"/>
    <w:rsid w:val="192B12EA"/>
    <w:rsid w:val="1937296F"/>
    <w:rsid w:val="193E62A3"/>
    <w:rsid w:val="194172BE"/>
    <w:rsid w:val="19600F94"/>
    <w:rsid w:val="19680E93"/>
    <w:rsid w:val="19775234"/>
    <w:rsid w:val="198B7357"/>
    <w:rsid w:val="199E7D0E"/>
    <w:rsid w:val="19A8479A"/>
    <w:rsid w:val="19AC5F87"/>
    <w:rsid w:val="19C77265"/>
    <w:rsid w:val="19E83D12"/>
    <w:rsid w:val="19F2708A"/>
    <w:rsid w:val="1A0A7151"/>
    <w:rsid w:val="1A2975D8"/>
    <w:rsid w:val="1A3B3323"/>
    <w:rsid w:val="1A473F02"/>
    <w:rsid w:val="1A4B1C44"/>
    <w:rsid w:val="1A503830"/>
    <w:rsid w:val="1A800001"/>
    <w:rsid w:val="1A9E414F"/>
    <w:rsid w:val="1AC01CEF"/>
    <w:rsid w:val="1AFD2812"/>
    <w:rsid w:val="1B481CDF"/>
    <w:rsid w:val="1B6B6965"/>
    <w:rsid w:val="1B9015FE"/>
    <w:rsid w:val="1BA23AE5"/>
    <w:rsid w:val="1BB47375"/>
    <w:rsid w:val="1BB67591"/>
    <w:rsid w:val="1BBC5AF0"/>
    <w:rsid w:val="1BEE6D2B"/>
    <w:rsid w:val="1C045FAD"/>
    <w:rsid w:val="1C60189E"/>
    <w:rsid w:val="1C6F14EE"/>
    <w:rsid w:val="1C7D1864"/>
    <w:rsid w:val="1C7D36C7"/>
    <w:rsid w:val="1CEE2D5A"/>
    <w:rsid w:val="1CFD55EE"/>
    <w:rsid w:val="1D03639E"/>
    <w:rsid w:val="1D1C3424"/>
    <w:rsid w:val="1D1C78C7"/>
    <w:rsid w:val="1D4C4073"/>
    <w:rsid w:val="1D554CD2"/>
    <w:rsid w:val="1D5801D4"/>
    <w:rsid w:val="1D5E5D84"/>
    <w:rsid w:val="1D7274E7"/>
    <w:rsid w:val="1D972104"/>
    <w:rsid w:val="1DE008F5"/>
    <w:rsid w:val="1DF1014D"/>
    <w:rsid w:val="1E0C793C"/>
    <w:rsid w:val="1E0D5462"/>
    <w:rsid w:val="1E116D00"/>
    <w:rsid w:val="1E2D03C3"/>
    <w:rsid w:val="1E3E73CA"/>
    <w:rsid w:val="1E4A3FC0"/>
    <w:rsid w:val="1E85149C"/>
    <w:rsid w:val="1E884875"/>
    <w:rsid w:val="1ECC0E79"/>
    <w:rsid w:val="1EDA07CC"/>
    <w:rsid w:val="1EEA12FF"/>
    <w:rsid w:val="1F040613"/>
    <w:rsid w:val="1F1D5E2E"/>
    <w:rsid w:val="1F246BFA"/>
    <w:rsid w:val="1F291E28"/>
    <w:rsid w:val="1F5F1CED"/>
    <w:rsid w:val="1F7F7C9A"/>
    <w:rsid w:val="1FA13B34"/>
    <w:rsid w:val="1FD20711"/>
    <w:rsid w:val="1FD75D28"/>
    <w:rsid w:val="1FF71773"/>
    <w:rsid w:val="201F05CA"/>
    <w:rsid w:val="20234AC9"/>
    <w:rsid w:val="20653333"/>
    <w:rsid w:val="2068094F"/>
    <w:rsid w:val="2079062B"/>
    <w:rsid w:val="20854257"/>
    <w:rsid w:val="209B586A"/>
    <w:rsid w:val="20CE5733"/>
    <w:rsid w:val="20E701EC"/>
    <w:rsid w:val="20F4088B"/>
    <w:rsid w:val="2107759F"/>
    <w:rsid w:val="21274A8D"/>
    <w:rsid w:val="21336F8E"/>
    <w:rsid w:val="2136082C"/>
    <w:rsid w:val="214B7F29"/>
    <w:rsid w:val="215F3A54"/>
    <w:rsid w:val="216252EF"/>
    <w:rsid w:val="216954FD"/>
    <w:rsid w:val="218B74B9"/>
    <w:rsid w:val="219F63D1"/>
    <w:rsid w:val="21BA145D"/>
    <w:rsid w:val="21C709E5"/>
    <w:rsid w:val="21F11323"/>
    <w:rsid w:val="21F4496F"/>
    <w:rsid w:val="21F7620D"/>
    <w:rsid w:val="220A4192"/>
    <w:rsid w:val="221E75BD"/>
    <w:rsid w:val="222C235B"/>
    <w:rsid w:val="22482F0D"/>
    <w:rsid w:val="22543660"/>
    <w:rsid w:val="225B679C"/>
    <w:rsid w:val="226C7F49"/>
    <w:rsid w:val="22B00A35"/>
    <w:rsid w:val="22B660C8"/>
    <w:rsid w:val="22C47CF1"/>
    <w:rsid w:val="22E542B8"/>
    <w:rsid w:val="22F83FEB"/>
    <w:rsid w:val="22FB3ADB"/>
    <w:rsid w:val="238166D6"/>
    <w:rsid w:val="23B048C6"/>
    <w:rsid w:val="23B819CC"/>
    <w:rsid w:val="23BF2D5B"/>
    <w:rsid w:val="24151EDF"/>
    <w:rsid w:val="242F3DD2"/>
    <w:rsid w:val="242F4753"/>
    <w:rsid w:val="24374FE7"/>
    <w:rsid w:val="244B48B3"/>
    <w:rsid w:val="247973AD"/>
    <w:rsid w:val="24925A8E"/>
    <w:rsid w:val="24AF2EB0"/>
    <w:rsid w:val="24C34ACD"/>
    <w:rsid w:val="24D64800"/>
    <w:rsid w:val="24E76A0D"/>
    <w:rsid w:val="256E67E6"/>
    <w:rsid w:val="2580184C"/>
    <w:rsid w:val="25937D6F"/>
    <w:rsid w:val="25B3069D"/>
    <w:rsid w:val="25BA096E"/>
    <w:rsid w:val="25F110F9"/>
    <w:rsid w:val="26040EF9"/>
    <w:rsid w:val="26132F18"/>
    <w:rsid w:val="26144C1A"/>
    <w:rsid w:val="2630211E"/>
    <w:rsid w:val="26355556"/>
    <w:rsid w:val="26385E8A"/>
    <w:rsid w:val="2673620C"/>
    <w:rsid w:val="26834513"/>
    <w:rsid w:val="268D5392"/>
    <w:rsid w:val="26A5092E"/>
    <w:rsid w:val="26B5751A"/>
    <w:rsid w:val="26BD457E"/>
    <w:rsid w:val="26BE19EF"/>
    <w:rsid w:val="26E03714"/>
    <w:rsid w:val="26FD3900"/>
    <w:rsid w:val="27086AFF"/>
    <w:rsid w:val="27221F7E"/>
    <w:rsid w:val="2730303E"/>
    <w:rsid w:val="27602AA7"/>
    <w:rsid w:val="27653582"/>
    <w:rsid w:val="2767283C"/>
    <w:rsid w:val="27802801"/>
    <w:rsid w:val="27934C2A"/>
    <w:rsid w:val="27E2170E"/>
    <w:rsid w:val="27E37B96"/>
    <w:rsid w:val="27F154AD"/>
    <w:rsid w:val="27F66143"/>
    <w:rsid w:val="282074C9"/>
    <w:rsid w:val="282A7CEC"/>
    <w:rsid w:val="285C14C0"/>
    <w:rsid w:val="287E38B9"/>
    <w:rsid w:val="289A5B44"/>
    <w:rsid w:val="28AD30FD"/>
    <w:rsid w:val="28B07116"/>
    <w:rsid w:val="28B208E4"/>
    <w:rsid w:val="28BF1224"/>
    <w:rsid w:val="28DB0637"/>
    <w:rsid w:val="29080D00"/>
    <w:rsid w:val="2917799C"/>
    <w:rsid w:val="293B7327"/>
    <w:rsid w:val="29453D02"/>
    <w:rsid w:val="29471828"/>
    <w:rsid w:val="29B0540B"/>
    <w:rsid w:val="29CB4C6D"/>
    <w:rsid w:val="29E97C4D"/>
    <w:rsid w:val="2A135965"/>
    <w:rsid w:val="2A2D6919"/>
    <w:rsid w:val="2A3F50E2"/>
    <w:rsid w:val="2A471949"/>
    <w:rsid w:val="2A4E6BE6"/>
    <w:rsid w:val="2A506E02"/>
    <w:rsid w:val="2A554419"/>
    <w:rsid w:val="2A557F75"/>
    <w:rsid w:val="2A5976F3"/>
    <w:rsid w:val="2A5D507B"/>
    <w:rsid w:val="2A866380"/>
    <w:rsid w:val="2A905451"/>
    <w:rsid w:val="2A9817E1"/>
    <w:rsid w:val="2AAF63FE"/>
    <w:rsid w:val="2B0F1B82"/>
    <w:rsid w:val="2B464595"/>
    <w:rsid w:val="2B6F2DD8"/>
    <w:rsid w:val="2BA54F2C"/>
    <w:rsid w:val="2BB807BB"/>
    <w:rsid w:val="2BB941AE"/>
    <w:rsid w:val="2BBD42C3"/>
    <w:rsid w:val="2BC60FC8"/>
    <w:rsid w:val="2BDE20BE"/>
    <w:rsid w:val="2C210F74"/>
    <w:rsid w:val="2C290D74"/>
    <w:rsid w:val="2C335F2B"/>
    <w:rsid w:val="2C3D132A"/>
    <w:rsid w:val="2C864D5D"/>
    <w:rsid w:val="2CDA29B3"/>
    <w:rsid w:val="2CFC6DCE"/>
    <w:rsid w:val="2D16113C"/>
    <w:rsid w:val="2D662499"/>
    <w:rsid w:val="2D84141F"/>
    <w:rsid w:val="2DE007D6"/>
    <w:rsid w:val="2DF26A2D"/>
    <w:rsid w:val="2DFB52D7"/>
    <w:rsid w:val="2E382087"/>
    <w:rsid w:val="2E450300"/>
    <w:rsid w:val="2E5F1DFB"/>
    <w:rsid w:val="2E6C1D31"/>
    <w:rsid w:val="2E7977F6"/>
    <w:rsid w:val="2E894691"/>
    <w:rsid w:val="2EBA0CEE"/>
    <w:rsid w:val="2EBF4557"/>
    <w:rsid w:val="2EF9732E"/>
    <w:rsid w:val="2EFD4F49"/>
    <w:rsid w:val="2F1D77C3"/>
    <w:rsid w:val="2F25281F"/>
    <w:rsid w:val="2F3F2FA2"/>
    <w:rsid w:val="2F416D1A"/>
    <w:rsid w:val="2F467300"/>
    <w:rsid w:val="2F485AEB"/>
    <w:rsid w:val="2F546A4D"/>
    <w:rsid w:val="2FA21EAE"/>
    <w:rsid w:val="2FAF0127"/>
    <w:rsid w:val="2FB80CDE"/>
    <w:rsid w:val="2FCD7F51"/>
    <w:rsid w:val="30324129"/>
    <w:rsid w:val="30420F9B"/>
    <w:rsid w:val="3050190A"/>
    <w:rsid w:val="30536D05"/>
    <w:rsid w:val="30545BB1"/>
    <w:rsid w:val="307614DC"/>
    <w:rsid w:val="307849BD"/>
    <w:rsid w:val="30812771"/>
    <w:rsid w:val="309418B1"/>
    <w:rsid w:val="30C0743E"/>
    <w:rsid w:val="30C95219"/>
    <w:rsid w:val="30D2151E"/>
    <w:rsid w:val="30DC4F4C"/>
    <w:rsid w:val="3106021B"/>
    <w:rsid w:val="31104BF6"/>
    <w:rsid w:val="31496359"/>
    <w:rsid w:val="314E2BE3"/>
    <w:rsid w:val="315D3273"/>
    <w:rsid w:val="317909ED"/>
    <w:rsid w:val="31B33A2F"/>
    <w:rsid w:val="31C205E6"/>
    <w:rsid w:val="31CD6F8B"/>
    <w:rsid w:val="31D85ACB"/>
    <w:rsid w:val="32025383"/>
    <w:rsid w:val="32342B66"/>
    <w:rsid w:val="329A38A8"/>
    <w:rsid w:val="329D4BAF"/>
    <w:rsid w:val="32C57FA5"/>
    <w:rsid w:val="32EC23C2"/>
    <w:rsid w:val="32F83B8C"/>
    <w:rsid w:val="33354DE7"/>
    <w:rsid w:val="333B6C47"/>
    <w:rsid w:val="3349256E"/>
    <w:rsid w:val="33564A61"/>
    <w:rsid w:val="33582884"/>
    <w:rsid w:val="33746B5C"/>
    <w:rsid w:val="33C87A09"/>
    <w:rsid w:val="33F001AC"/>
    <w:rsid w:val="33FE78CF"/>
    <w:rsid w:val="34022119"/>
    <w:rsid w:val="341E111C"/>
    <w:rsid w:val="343A7DB6"/>
    <w:rsid w:val="34620773"/>
    <w:rsid w:val="346E4810"/>
    <w:rsid w:val="347F583A"/>
    <w:rsid w:val="349D49F2"/>
    <w:rsid w:val="34FA09EA"/>
    <w:rsid w:val="35357321"/>
    <w:rsid w:val="353C0347"/>
    <w:rsid w:val="35505F08"/>
    <w:rsid w:val="35814314"/>
    <w:rsid w:val="3596650B"/>
    <w:rsid w:val="35BE0F0A"/>
    <w:rsid w:val="35C97A69"/>
    <w:rsid w:val="35EF54F1"/>
    <w:rsid w:val="35F42D38"/>
    <w:rsid w:val="35F7306C"/>
    <w:rsid w:val="36454AF6"/>
    <w:rsid w:val="366B28CE"/>
    <w:rsid w:val="36985DB9"/>
    <w:rsid w:val="36AA1648"/>
    <w:rsid w:val="36B14785"/>
    <w:rsid w:val="3709636F"/>
    <w:rsid w:val="37670687"/>
    <w:rsid w:val="378E4AC6"/>
    <w:rsid w:val="37977E1F"/>
    <w:rsid w:val="37B02C8E"/>
    <w:rsid w:val="37C36E66"/>
    <w:rsid w:val="37C52BDE"/>
    <w:rsid w:val="380E2EA1"/>
    <w:rsid w:val="382734B8"/>
    <w:rsid w:val="38523D46"/>
    <w:rsid w:val="388F4F9A"/>
    <w:rsid w:val="38991974"/>
    <w:rsid w:val="38997BC6"/>
    <w:rsid w:val="38DC3D18"/>
    <w:rsid w:val="39192362"/>
    <w:rsid w:val="395C02F5"/>
    <w:rsid w:val="397A79F8"/>
    <w:rsid w:val="397B5273"/>
    <w:rsid w:val="39932868"/>
    <w:rsid w:val="39A238BD"/>
    <w:rsid w:val="39D07618"/>
    <w:rsid w:val="3A0923ED"/>
    <w:rsid w:val="3A1763AB"/>
    <w:rsid w:val="3A327E40"/>
    <w:rsid w:val="3A391F5A"/>
    <w:rsid w:val="3A773F37"/>
    <w:rsid w:val="3AA20FB4"/>
    <w:rsid w:val="3AAB598F"/>
    <w:rsid w:val="3AC727C9"/>
    <w:rsid w:val="3AD82C28"/>
    <w:rsid w:val="3ADB2718"/>
    <w:rsid w:val="3B163750"/>
    <w:rsid w:val="3B201ED9"/>
    <w:rsid w:val="3B6E70E8"/>
    <w:rsid w:val="3B824942"/>
    <w:rsid w:val="3B8561E0"/>
    <w:rsid w:val="3B883620"/>
    <w:rsid w:val="3B8B5D0C"/>
    <w:rsid w:val="3BDF2E7A"/>
    <w:rsid w:val="3C460065"/>
    <w:rsid w:val="3C4E40A9"/>
    <w:rsid w:val="3C7D493C"/>
    <w:rsid w:val="3C934686"/>
    <w:rsid w:val="3CAA6878"/>
    <w:rsid w:val="3CB52F38"/>
    <w:rsid w:val="3CD30B15"/>
    <w:rsid w:val="3D317041"/>
    <w:rsid w:val="3D511487"/>
    <w:rsid w:val="3D5D7415"/>
    <w:rsid w:val="3D7D1865"/>
    <w:rsid w:val="3DB96BE7"/>
    <w:rsid w:val="3DC2419A"/>
    <w:rsid w:val="3E045AE2"/>
    <w:rsid w:val="3E047890"/>
    <w:rsid w:val="3E0A25EE"/>
    <w:rsid w:val="3E171CB9"/>
    <w:rsid w:val="3E1833E5"/>
    <w:rsid w:val="3E5A7DC5"/>
    <w:rsid w:val="3E772758"/>
    <w:rsid w:val="3EA66B99"/>
    <w:rsid w:val="3EE146BD"/>
    <w:rsid w:val="3EE723CB"/>
    <w:rsid w:val="3EE80F60"/>
    <w:rsid w:val="3EF26282"/>
    <w:rsid w:val="3F057D64"/>
    <w:rsid w:val="3F295856"/>
    <w:rsid w:val="3F300635"/>
    <w:rsid w:val="3F4A101C"/>
    <w:rsid w:val="3F6B250C"/>
    <w:rsid w:val="3F7F3F21"/>
    <w:rsid w:val="3F960DE7"/>
    <w:rsid w:val="3FA4757D"/>
    <w:rsid w:val="3FAF7CCF"/>
    <w:rsid w:val="3FE23C01"/>
    <w:rsid w:val="3FEE709E"/>
    <w:rsid w:val="3FF46985"/>
    <w:rsid w:val="3FF658FE"/>
    <w:rsid w:val="40095632"/>
    <w:rsid w:val="400B403A"/>
    <w:rsid w:val="40346692"/>
    <w:rsid w:val="406E14F4"/>
    <w:rsid w:val="408F12CA"/>
    <w:rsid w:val="40B51316"/>
    <w:rsid w:val="40BB61AC"/>
    <w:rsid w:val="40C02079"/>
    <w:rsid w:val="40CB56E0"/>
    <w:rsid w:val="40D15BCF"/>
    <w:rsid w:val="40DE113A"/>
    <w:rsid w:val="4100432A"/>
    <w:rsid w:val="41270465"/>
    <w:rsid w:val="41461ECC"/>
    <w:rsid w:val="416C40CA"/>
    <w:rsid w:val="41725499"/>
    <w:rsid w:val="41831414"/>
    <w:rsid w:val="41A361FB"/>
    <w:rsid w:val="41E33C60"/>
    <w:rsid w:val="41EA1493"/>
    <w:rsid w:val="41FD751D"/>
    <w:rsid w:val="42095809"/>
    <w:rsid w:val="42181B5C"/>
    <w:rsid w:val="42276B58"/>
    <w:rsid w:val="42295B17"/>
    <w:rsid w:val="423436D6"/>
    <w:rsid w:val="423A25CF"/>
    <w:rsid w:val="426B2B8D"/>
    <w:rsid w:val="427F607F"/>
    <w:rsid w:val="42B37AD7"/>
    <w:rsid w:val="42D55C9F"/>
    <w:rsid w:val="42D75573"/>
    <w:rsid w:val="42DF6B1E"/>
    <w:rsid w:val="42EE1440"/>
    <w:rsid w:val="42FE6FA4"/>
    <w:rsid w:val="431E13F4"/>
    <w:rsid w:val="432908FF"/>
    <w:rsid w:val="432A7D99"/>
    <w:rsid w:val="43301127"/>
    <w:rsid w:val="43402695"/>
    <w:rsid w:val="43490FD2"/>
    <w:rsid w:val="438576C5"/>
    <w:rsid w:val="438D4536"/>
    <w:rsid w:val="439D4A0F"/>
    <w:rsid w:val="43B458B4"/>
    <w:rsid w:val="43C97236"/>
    <w:rsid w:val="43CB0FC8"/>
    <w:rsid w:val="43DD12AF"/>
    <w:rsid w:val="43F3462F"/>
    <w:rsid w:val="441C3545"/>
    <w:rsid w:val="447E11A1"/>
    <w:rsid w:val="44E65F41"/>
    <w:rsid w:val="44EC107E"/>
    <w:rsid w:val="450E5003"/>
    <w:rsid w:val="45126D36"/>
    <w:rsid w:val="4517259F"/>
    <w:rsid w:val="456E3B75"/>
    <w:rsid w:val="457974DA"/>
    <w:rsid w:val="45F92180"/>
    <w:rsid w:val="45FF0D83"/>
    <w:rsid w:val="466002AF"/>
    <w:rsid w:val="46955E71"/>
    <w:rsid w:val="46A72415"/>
    <w:rsid w:val="46DC75FC"/>
    <w:rsid w:val="473860EE"/>
    <w:rsid w:val="474D4586"/>
    <w:rsid w:val="474F4272"/>
    <w:rsid w:val="47524C24"/>
    <w:rsid w:val="47972F5B"/>
    <w:rsid w:val="47B61DE1"/>
    <w:rsid w:val="47B64CAA"/>
    <w:rsid w:val="480908C5"/>
    <w:rsid w:val="481608EC"/>
    <w:rsid w:val="48233009"/>
    <w:rsid w:val="484E4DAF"/>
    <w:rsid w:val="488427FF"/>
    <w:rsid w:val="488C32A4"/>
    <w:rsid w:val="489B6891"/>
    <w:rsid w:val="48A203D1"/>
    <w:rsid w:val="48A842A9"/>
    <w:rsid w:val="48B9326B"/>
    <w:rsid w:val="48B959CA"/>
    <w:rsid w:val="48F74BC1"/>
    <w:rsid w:val="48FA645F"/>
    <w:rsid w:val="48FB7C6B"/>
    <w:rsid w:val="493D634C"/>
    <w:rsid w:val="495D254A"/>
    <w:rsid w:val="497A134E"/>
    <w:rsid w:val="49940EDE"/>
    <w:rsid w:val="499624A2"/>
    <w:rsid w:val="49D942C7"/>
    <w:rsid w:val="49E778AE"/>
    <w:rsid w:val="49EC224C"/>
    <w:rsid w:val="49EC544D"/>
    <w:rsid w:val="4A6F3379"/>
    <w:rsid w:val="4A713D5E"/>
    <w:rsid w:val="4A8F62AB"/>
    <w:rsid w:val="4AB10DA0"/>
    <w:rsid w:val="4ABE5E18"/>
    <w:rsid w:val="4AEF6234"/>
    <w:rsid w:val="4B12476D"/>
    <w:rsid w:val="4B555BCF"/>
    <w:rsid w:val="4B5A5C38"/>
    <w:rsid w:val="4B643A1E"/>
    <w:rsid w:val="4B7F0E9E"/>
    <w:rsid w:val="4B967592"/>
    <w:rsid w:val="4BAB57EF"/>
    <w:rsid w:val="4BC13264"/>
    <w:rsid w:val="4BC54AE5"/>
    <w:rsid w:val="4BD5286C"/>
    <w:rsid w:val="4C0D64AA"/>
    <w:rsid w:val="4C1B5024"/>
    <w:rsid w:val="4C3D7453"/>
    <w:rsid w:val="4C4F0870"/>
    <w:rsid w:val="4C5B0FC3"/>
    <w:rsid w:val="4C7A2D57"/>
    <w:rsid w:val="4C7C2CD0"/>
    <w:rsid w:val="4C912C37"/>
    <w:rsid w:val="4C96791F"/>
    <w:rsid w:val="4CB608EF"/>
    <w:rsid w:val="4CC96309"/>
    <w:rsid w:val="4CD60F91"/>
    <w:rsid w:val="4CF24466"/>
    <w:rsid w:val="4D05280E"/>
    <w:rsid w:val="4D7F0AF9"/>
    <w:rsid w:val="4DA811EC"/>
    <w:rsid w:val="4DD04D46"/>
    <w:rsid w:val="4DF571F5"/>
    <w:rsid w:val="4E355844"/>
    <w:rsid w:val="4E3D58AC"/>
    <w:rsid w:val="4E402B66"/>
    <w:rsid w:val="4E724CEA"/>
    <w:rsid w:val="4E887DA1"/>
    <w:rsid w:val="4E8B0804"/>
    <w:rsid w:val="4E9E693D"/>
    <w:rsid w:val="4EB26E94"/>
    <w:rsid w:val="4EE861A3"/>
    <w:rsid w:val="4EF24D42"/>
    <w:rsid w:val="4EF63225"/>
    <w:rsid w:val="4F0B69B3"/>
    <w:rsid w:val="4F19198E"/>
    <w:rsid w:val="4F2002A2"/>
    <w:rsid w:val="4F314280"/>
    <w:rsid w:val="4F756840"/>
    <w:rsid w:val="4F8F3647"/>
    <w:rsid w:val="4F9C71EF"/>
    <w:rsid w:val="4FB31116"/>
    <w:rsid w:val="4FEB6B02"/>
    <w:rsid w:val="4FF36D40"/>
    <w:rsid w:val="4FFD05E3"/>
    <w:rsid w:val="50147B4A"/>
    <w:rsid w:val="504B134F"/>
    <w:rsid w:val="50707007"/>
    <w:rsid w:val="508D202F"/>
    <w:rsid w:val="509F6E0B"/>
    <w:rsid w:val="50BE7D72"/>
    <w:rsid w:val="50C636F7"/>
    <w:rsid w:val="50EC2B32"/>
    <w:rsid w:val="50F464C2"/>
    <w:rsid w:val="51411796"/>
    <w:rsid w:val="516F72BF"/>
    <w:rsid w:val="517B2BDB"/>
    <w:rsid w:val="51917235"/>
    <w:rsid w:val="519D3FAA"/>
    <w:rsid w:val="51CE66DB"/>
    <w:rsid w:val="51F872B4"/>
    <w:rsid w:val="51FE70FC"/>
    <w:rsid w:val="52020133"/>
    <w:rsid w:val="522F7782"/>
    <w:rsid w:val="523A167B"/>
    <w:rsid w:val="523E7AF4"/>
    <w:rsid w:val="52452709"/>
    <w:rsid w:val="5281374D"/>
    <w:rsid w:val="52B511BD"/>
    <w:rsid w:val="52B93278"/>
    <w:rsid w:val="52C0045A"/>
    <w:rsid w:val="52CE19E6"/>
    <w:rsid w:val="52E52FC3"/>
    <w:rsid w:val="52EA4E4F"/>
    <w:rsid w:val="530C3017"/>
    <w:rsid w:val="532105A3"/>
    <w:rsid w:val="5322283B"/>
    <w:rsid w:val="534327B1"/>
    <w:rsid w:val="53560736"/>
    <w:rsid w:val="53A13005"/>
    <w:rsid w:val="53BF452D"/>
    <w:rsid w:val="53C102A5"/>
    <w:rsid w:val="53EA65BF"/>
    <w:rsid w:val="53FF5E06"/>
    <w:rsid w:val="540463E4"/>
    <w:rsid w:val="543E60CC"/>
    <w:rsid w:val="54784397"/>
    <w:rsid w:val="54840186"/>
    <w:rsid w:val="548D70F5"/>
    <w:rsid w:val="548F0716"/>
    <w:rsid w:val="54AB0BC4"/>
    <w:rsid w:val="54B716A8"/>
    <w:rsid w:val="54C067AF"/>
    <w:rsid w:val="54C55B73"/>
    <w:rsid w:val="54D20290"/>
    <w:rsid w:val="54E87AB4"/>
    <w:rsid w:val="54F3118B"/>
    <w:rsid w:val="54FE4BE1"/>
    <w:rsid w:val="55004DFD"/>
    <w:rsid w:val="550B72FE"/>
    <w:rsid w:val="55173EF5"/>
    <w:rsid w:val="554A7E27"/>
    <w:rsid w:val="55582E57"/>
    <w:rsid w:val="555B0286"/>
    <w:rsid w:val="555E38D2"/>
    <w:rsid w:val="55787201"/>
    <w:rsid w:val="55986DE4"/>
    <w:rsid w:val="55B21658"/>
    <w:rsid w:val="55B31E70"/>
    <w:rsid w:val="55BA485F"/>
    <w:rsid w:val="55C027DF"/>
    <w:rsid w:val="55F467A2"/>
    <w:rsid w:val="56002BDB"/>
    <w:rsid w:val="560C332E"/>
    <w:rsid w:val="564D5947"/>
    <w:rsid w:val="5668147B"/>
    <w:rsid w:val="56B22127"/>
    <w:rsid w:val="56D12522"/>
    <w:rsid w:val="570D302A"/>
    <w:rsid w:val="570D462C"/>
    <w:rsid w:val="571C3A45"/>
    <w:rsid w:val="577C44E3"/>
    <w:rsid w:val="57833AC4"/>
    <w:rsid w:val="579F6C1A"/>
    <w:rsid w:val="57A64BAB"/>
    <w:rsid w:val="57D85BBE"/>
    <w:rsid w:val="581035A9"/>
    <w:rsid w:val="58737694"/>
    <w:rsid w:val="58921EEB"/>
    <w:rsid w:val="58947CB9"/>
    <w:rsid w:val="58A12453"/>
    <w:rsid w:val="58C6296A"/>
    <w:rsid w:val="59101830"/>
    <w:rsid w:val="591F1D3F"/>
    <w:rsid w:val="595546FB"/>
    <w:rsid w:val="59570D64"/>
    <w:rsid w:val="59787DE5"/>
    <w:rsid w:val="59AF6060"/>
    <w:rsid w:val="5A421A14"/>
    <w:rsid w:val="5AC73CC7"/>
    <w:rsid w:val="5AD84127"/>
    <w:rsid w:val="5AE72137"/>
    <w:rsid w:val="5B0D1717"/>
    <w:rsid w:val="5B0D5B7E"/>
    <w:rsid w:val="5B194678"/>
    <w:rsid w:val="5B7976B8"/>
    <w:rsid w:val="5B8A71CF"/>
    <w:rsid w:val="5B9242D5"/>
    <w:rsid w:val="5B957437"/>
    <w:rsid w:val="5BA90CD5"/>
    <w:rsid w:val="5BAF6C35"/>
    <w:rsid w:val="5BC1645D"/>
    <w:rsid w:val="5BC211A2"/>
    <w:rsid w:val="5BE958A4"/>
    <w:rsid w:val="5BF52287"/>
    <w:rsid w:val="5C0476A0"/>
    <w:rsid w:val="5C297F2A"/>
    <w:rsid w:val="5C2C5F07"/>
    <w:rsid w:val="5C6E4D42"/>
    <w:rsid w:val="5C787D93"/>
    <w:rsid w:val="5C7D740C"/>
    <w:rsid w:val="5C957927"/>
    <w:rsid w:val="5CE13766"/>
    <w:rsid w:val="5CEE19DF"/>
    <w:rsid w:val="5D0134C1"/>
    <w:rsid w:val="5D303DA6"/>
    <w:rsid w:val="5D8440F2"/>
    <w:rsid w:val="5D8D6E33"/>
    <w:rsid w:val="5DB209FB"/>
    <w:rsid w:val="5E100764"/>
    <w:rsid w:val="5E1664DA"/>
    <w:rsid w:val="5E2F0A79"/>
    <w:rsid w:val="5E4A70E9"/>
    <w:rsid w:val="5E7B3747"/>
    <w:rsid w:val="5EAC56AE"/>
    <w:rsid w:val="5EB51BD7"/>
    <w:rsid w:val="5ED510A9"/>
    <w:rsid w:val="5EDA046D"/>
    <w:rsid w:val="5EF3152F"/>
    <w:rsid w:val="5EF468E4"/>
    <w:rsid w:val="5F024F92"/>
    <w:rsid w:val="5F2809DA"/>
    <w:rsid w:val="5F451392"/>
    <w:rsid w:val="5F531FCE"/>
    <w:rsid w:val="5FAB3BB8"/>
    <w:rsid w:val="5FBE1B3D"/>
    <w:rsid w:val="5FC66C44"/>
    <w:rsid w:val="5FC829BC"/>
    <w:rsid w:val="5FE175D9"/>
    <w:rsid w:val="5FED4A45"/>
    <w:rsid w:val="5FF160F1"/>
    <w:rsid w:val="5FF76DFD"/>
    <w:rsid w:val="601654D5"/>
    <w:rsid w:val="60172FFB"/>
    <w:rsid w:val="604256BF"/>
    <w:rsid w:val="604F7DB8"/>
    <w:rsid w:val="607C1729"/>
    <w:rsid w:val="6081720E"/>
    <w:rsid w:val="60B13FA4"/>
    <w:rsid w:val="60C56332"/>
    <w:rsid w:val="60D71E88"/>
    <w:rsid w:val="610C0686"/>
    <w:rsid w:val="610C4B2A"/>
    <w:rsid w:val="613100ED"/>
    <w:rsid w:val="617C4140"/>
    <w:rsid w:val="61D27B22"/>
    <w:rsid w:val="61E41BDC"/>
    <w:rsid w:val="61E671F1"/>
    <w:rsid w:val="61E909C7"/>
    <w:rsid w:val="620C7701"/>
    <w:rsid w:val="62917095"/>
    <w:rsid w:val="629E17B2"/>
    <w:rsid w:val="62FA10DE"/>
    <w:rsid w:val="630930CF"/>
    <w:rsid w:val="63384C1E"/>
    <w:rsid w:val="634379DF"/>
    <w:rsid w:val="63512CC8"/>
    <w:rsid w:val="637C15CE"/>
    <w:rsid w:val="63D731CD"/>
    <w:rsid w:val="63DE512B"/>
    <w:rsid w:val="63FE4679"/>
    <w:rsid w:val="641A649B"/>
    <w:rsid w:val="64204537"/>
    <w:rsid w:val="64554CE3"/>
    <w:rsid w:val="647B4B09"/>
    <w:rsid w:val="64902585"/>
    <w:rsid w:val="64B17EC2"/>
    <w:rsid w:val="64BE5FF1"/>
    <w:rsid w:val="64EC320F"/>
    <w:rsid w:val="650049A6"/>
    <w:rsid w:val="65055B18"/>
    <w:rsid w:val="65087982"/>
    <w:rsid w:val="6531219C"/>
    <w:rsid w:val="65476131"/>
    <w:rsid w:val="65646869"/>
    <w:rsid w:val="656F3050"/>
    <w:rsid w:val="65795592"/>
    <w:rsid w:val="65AE7F5E"/>
    <w:rsid w:val="65C92FEA"/>
    <w:rsid w:val="65F945F6"/>
    <w:rsid w:val="6642486C"/>
    <w:rsid w:val="66833198"/>
    <w:rsid w:val="66845754"/>
    <w:rsid w:val="66B372BF"/>
    <w:rsid w:val="66BF5FF7"/>
    <w:rsid w:val="66CA6A8D"/>
    <w:rsid w:val="66CC0FE3"/>
    <w:rsid w:val="66CF31C5"/>
    <w:rsid w:val="66D6776C"/>
    <w:rsid w:val="66E856F1"/>
    <w:rsid w:val="67053426"/>
    <w:rsid w:val="670A092A"/>
    <w:rsid w:val="6732696D"/>
    <w:rsid w:val="676C2E43"/>
    <w:rsid w:val="67742D85"/>
    <w:rsid w:val="67972FDD"/>
    <w:rsid w:val="67BF46A4"/>
    <w:rsid w:val="67F72090"/>
    <w:rsid w:val="67FA1B80"/>
    <w:rsid w:val="67FA56DC"/>
    <w:rsid w:val="682F3726"/>
    <w:rsid w:val="683647B6"/>
    <w:rsid w:val="683E7CBF"/>
    <w:rsid w:val="685017A0"/>
    <w:rsid w:val="68525518"/>
    <w:rsid w:val="686B0388"/>
    <w:rsid w:val="68792952"/>
    <w:rsid w:val="687E455F"/>
    <w:rsid w:val="688651C2"/>
    <w:rsid w:val="68AD09A1"/>
    <w:rsid w:val="68C87588"/>
    <w:rsid w:val="68E7418B"/>
    <w:rsid w:val="68FB5BB0"/>
    <w:rsid w:val="6949691B"/>
    <w:rsid w:val="694A61EF"/>
    <w:rsid w:val="694F6F2A"/>
    <w:rsid w:val="698C6808"/>
    <w:rsid w:val="699D1125"/>
    <w:rsid w:val="69E400C2"/>
    <w:rsid w:val="69F267A5"/>
    <w:rsid w:val="6A0C175E"/>
    <w:rsid w:val="6A1011E7"/>
    <w:rsid w:val="6A2D2A4A"/>
    <w:rsid w:val="6A325601"/>
    <w:rsid w:val="6A857DEB"/>
    <w:rsid w:val="6B364468"/>
    <w:rsid w:val="6B3C28B5"/>
    <w:rsid w:val="6B9F6CC6"/>
    <w:rsid w:val="6BA513C4"/>
    <w:rsid w:val="6BAC06CD"/>
    <w:rsid w:val="6BC26511"/>
    <w:rsid w:val="6C041279"/>
    <w:rsid w:val="6C1B6BCF"/>
    <w:rsid w:val="6C784675"/>
    <w:rsid w:val="6C832144"/>
    <w:rsid w:val="6C847C6A"/>
    <w:rsid w:val="6CAD2A01"/>
    <w:rsid w:val="6CB22A29"/>
    <w:rsid w:val="6CC00430"/>
    <w:rsid w:val="6CC12C6C"/>
    <w:rsid w:val="6CDE55CC"/>
    <w:rsid w:val="6D193B9E"/>
    <w:rsid w:val="6D195A05"/>
    <w:rsid w:val="6D567859"/>
    <w:rsid w:val="6D786995"/>
    <w:rsid w:val="6DBC51E2"/>
    <w:rsid w:val="6E1222E9"/>
    <w:rsid w:val="6E2709CB"/>
    <w:rsid w:val="6E724C82"/>
    <w:rsid w:val="6E8126B3"/>
    <w:rsid w:val="6E8E3022"/>
    <w:rsid w:val="6EA463A2"/>
    <w:rsid w:val="6EB03A00"/>
    <w:rsid w:val="6EB56801"/>
    <w:rsid w:val="6EB9753F"/>
    <w:rsid w:val="6EE175F6"/>
    <w:rsid w:val="6EF7369F"/>
    <w:rsid w:val="6F1A6EA5"/>
    <w:rsid w:val="6F241291"/>
    <w:rsid w:val="6F31757A"/>
    <w:rsid w:val="6F3761BE"/>
    <w:rsid w:val="6F524050"/>
    <w:rsid w:val="6F6D09C8"/>
    <w:rsid w:val="6F7B6D97"/>
    <w:rsid w:val="6F86531E"/>
    <w:rsid w:val="6F926779"/>
    <w:rsid w:val="6FAD572A"/>
    <w:rsid w:val="6FC52A74"/>
    <w:rsid w:val="6FD337A2"/>
    <w:rsid w:val="6FED5B27"/>
    <w:rsid w:val="70455963"/>
    <w:rsid w:val="7056191E"/>
    <w:rsid w:val="706650F5"/>
    <w:rsid w:val="7073427E"/>
    <w:rsid w:val="70763D6E"/>
    <w:rsid w:val="708055A9"/>
    <w:rsid w:val="70B00326"/>
    <w:rsid w:val="70C96594"/>
    <w:rsid w:val="70E93678"/>
    <w:rsid w:val="70EB1334"/>
    <w:rsid w:val="70FC4273"/>
    <w:rsid w:val="71045053"/>
    <w:rsid w:val="714607D7"/>
    <w:rsid w:val="715B068A"/>
    <w:rsid w:val="718A3708"/>
    <w:rsid w:val="718D75C1"/>
    <w:rsid w:val="71B2527A"/>
    <w:rsid w:val="71B7463E"/>
    <w:rsid w:val="71B82B59"/>
    <w:rsid w:val="71F31B1A"/>
    <w:rsid w:val="72303BFC"/>
    <w:rsid w:val="723E033A"/>
    <w:rsid w:val="725953D7"/>
    <w:rsid w:val="7270316B"/>
    <w:rsid w:val="72B03567"/>
    <w:rsid w:val="730C24E4"/>
    <w:rsid w:val="732B7092"/>
    <w:rsid w:val="73322872"/>
    <w:rsid w:val="736D1458"/>
    <w:rsid w:val="736D3206"/>
    <w:rsid w:val="73A11255"/>
    <w:rsid w:val="73A155A6"/>
    <w:rsid w:val="73A66718"/>
    <w:rsid w:val="73B70FE5"/>
    <w:rsid w:val="73DE2356"/>
    <w:rsid w:val="740375F1"/>
    <w:rsid w:val="740E51ED"/>
    <w:rsid w:val="74253798"/>
    <w:rsid w:val="74404415"/>
    <w:rsid w:val="7494340B"/>
    <w:rsid w:val="7499627D"/>
    <w:rsid w:val="74AC4202"/>
    <w:rsid w:val="74C3785A"/>
    <w:rsid w:val="74C66543"/>
    <w:rsid w:val="74DB0643"/>
    <w:rsid w:val="74F31E31"/>
    <w:rsid w:val="750C4CA1"/>
    <w:rsid w:val="752C33AC"/>
    <w:rsid w:val="753A74C2"/>
    <w:rsid w:val="754601B3"/>
    <w:rsid w:val="7578733F"/>
    <w:rsid w:val="757F0C31"/>
    <w:rsid w:val="75A634FC"/>
    <w:rsid w:val="75B400C3"/>
    <w:rsid w:val="75B90985"/>
    <w:rsid w:val="764001A5"/>
    <w:rsid w:val="765E32DA"/>
    <w:rsid w:val="76775206"/>
    <w:rsid w:val="767E1BCE"/>
    <w:rsid w:val="769A5ACE"/>
    <w:rsid w:val="76C53359"/>
    <w:rsid w:val="76DF5D07"/>
    <w:rsid w:val="76EA3E04"/>
    <w:rsid w:val="770E5223"/>
    <w:rsid w:val="77142F51"/>
    <w:rsid w:val="77270C2A"/>
    <w:rsid w:val="77940338"/>
    <w:rsid w:val="77C90C27"/>
    <w:rsid w:val="77D870BC"/>
    <w:rsid w:val="77FE27A5"/>
    <w:rsid w:val="77FE4D75"/>
    <w:rsid w:val="782F5058"/>
    <w:rsid w:val="78382C5F"/>
    <w:rsid w:val="786D3CA8"/>
    <w:rsid w:val="78727511"/>
    <w:rsid w:val="78991750"/>
    <w:rsid w:val="79027D11"/>
    <w:rsid w:val="791548D9"/>
    <w:rsid w:val="79286575"/>
    <w:rsid w:val="79537342"/>
    <w:rsid w:val="79627585"/>
    <w:rsid w:val="79D9157B"/>
    <w:rsid w:val="79E81839"/>
    <w:rsid w:val="79E85CDC"/>
    <w:rsid w:val="7A1365A7"/>
    <w:rsid w:val="7A1C479D"/>
    <w:rsid w:val="7A1C6B0A"/>
    <w:rsid w:val="7A5756C4"/>
    <w:rsid w:val="7A862E00"/>
    <w:rsid w:val="7A9C648B"/>
    <w:rsid w:val="7ABA5CE8"/>
    <w:rsid w:val="7AED3ABC"/>
    <w:rsid w:val="7AEF309B"/>
    <w:rsid w:val="7AF35B67"/>
    <w:rsid w:val="7B035717"/>
    <w:rsid w:val="7B1228E5"/>
    <w:rsid w:val="7B383A30"/>
    <w:rsid w:val="7B500EA2"/>
    <w:rsid w:val="7B50141F"/>
    <w:rsid w:val="7B541B92"/>
    <w:rsid w:val="7B615D46"/>
    <w:rsid w:val="7B641393"/>
    <w:rsid w:val="7B915F00"/>
    <w:rsid w:val="7B937ECA"/>
    <w:rsid w:val="7BF546E1"/>
    <w:rsid w:val="7C0D3330"/>
    <w:rsid w:val="7C5D7262"/>
    <w:rsid w:val="7C615BE3"/>
    <w:rsid w:val="7C694645"/>
    <w:rsid w:val="7C7750F6"/>
    <w:rsid w:val="7C8F102F"/>
    <w:rsid w:val="7CD12A58"/>
    <w:rsid w:val="7CD442F6"/>
    <w:rsid w:val="7CDE3AD5"/>
    <w:rsid w:val="7CFE1373"/>
    <w:rsid w:val="7D0B2789"/>
    <w:rsid w:val="7D3C36EE"/>
    <w:rsid w:val="7D4A0A5C"/>
    <w:rsid w:val="7D5B67C5"/>
    <w:rsid w:val="7D6C3C01"/>
    <w:rsid w:val="7D7004C3"/>
    <w:rsid w:val="7D995FC7"/>
    <w:rsid w:val="7DA2073D"/>
    <w:rsid w:val="7DBD345B"/>
    <w:rsid w:val="7DF958C3"/>
    <w:rsid w:val="7E1A042F"/>
    <w:rsid w:val="7E1C41A7"/>
    <w:rsid w:val="7E394D59"/>
    <w:rsid w:val="7E553215"/>
    <w:rsid w:val="7E655B4E"/>
    <w:rsid w:val="7E837D82"/>
    <w:rsid w:val="7E8B78C5"/>
    <w:rsid w:val="7E9B6AC9"/>
    <w:rsid w:val="7EE77104"/>
    <w:rsid w:val="7EE8052D"/>
    <w:rsid w:val="7EED5B43"/>
    <w:rsid w:val="7EEE7430"/>
    <w:rsid w:val="7EEF0030"/>
    <w:rsid w:val="7F1629A4"/>
    <w:rsid w:val="7F196938"/>
    <w:rsid w:val="7F2826D7"/>
    <w:rsid w:val="7F4B0E7B"/>
    <w:rsid w:val="7F661974"/>
    <w:rsid w:val="7F6B4C36"/>
    <w:rsid w:val="7F8A5140"/>
    <w:rsid w:val="7FE02FB2"/>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6"/>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paragraph" w:styleId="6">
    <w:name w:val="heading 3"/>
    <w:basedOn w:val="1"/>
    <w:next w:val="1"/>
    <w:unhideWhenUsed/>
    <w:qFormat/>
    <w:uiPriority w:val="9"/>
    <w:pPr>
      <w:keepNext/>
      <w:keepLines/>
      <w:spacing w:line="360" w:lineRule="auto"/>
      <w:outlineLvl w:val="2"/>
    </w:pPr>
    <w:rPr>
      <w:rFonts w:eastAsia="黑体"/>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0"/>
    <w:rPr>
      <w:rFonts w:ascii="Times New Roman" w:hAnsi="Times New Roman" w:eastAsia="宋体" w:cs="Times New Roman"/>
      <w:kern w:val="0"/>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7">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8">
    <w:name w:val="Document Map"/>
    <w:basedOn w:val="1"/>
    <w:link w:val="37"/>
    <w:semiHidden/>
    <w:qFormat/>
    <w:uiPriority w:val="0"/>
    <w:pPr>
      <w:shd w:val="clear" w:color="auto" w:fill="000080"/>
    </w:pPr>
    <w:rPr>
      <w:rFonts w:ascii="Times New Roman" w:hAnsi="Times New Roman" w:eastAsia="宋体" w:cs="Times New Roman"/>
      <w:kern w:val="0"/>
      <w:sz w:val="24"/>
      <w:szCs w:val="24"/>
    </w:rPr>
  </w:style>
  <w:style w:type="paragraph" w:styleId="9">
    <w:name w:val="Body Text Indent"/>
    <w:basedOn w:val="1"/>
    <w:link w:val="31"/>
    <w:qFormat/>
    <w:uiPriority w:val="0"/>
    <w:pPr>
      <w:ind w:firstLine="555"/>
    </w:pPr>
    <w:rPr>
      <w:rFonts w:ascii="Times New Roman" w:hAnsi="Times New Roman" w:eastAsia="宋体" w:cs="Times New Roman"/>
      <w:kern w:val="0"/>
      <w:sz w:val="24"/>
      <w:szCs w:val="24"/>
    </w:rPr>
  </w:style>
  <w:style w:type="paragraph" w:styleId="10">
    <w:name w:val="Plain Text"/>
    <w:basedOn w:val="1"/>
    <w:link w:val="38"/>
    <w:qFormat/>
    <w:uiPriority w:val="0"/>
    <w:rPr>
      <w:rFonts w:ascii="宋体" w:hAnsi="Courier New" w:eastAsia="宋体" w:cs="Courier New"/>
      <w:sz w:val="24"/>
      <w:szCs w:val="21"/>
    </w:rPr>
  </w:style>
  <w:style w:type="paragraph" w:styleId="11">
    <w:name w:val="Body Text Indent 2"/>
    <w:basedOn w:val="1"/>
    <w:link w:val="30"/>
    <w:qFormat/>
    <w:uiPriority w:val="0"/>
    <w:pPr>
      <w:spacing w:line="540" w:lineRule="exact"/>
      <w:ind w:firstLine="630"/>
    </w:pPr>
    <w:rPr>
      <w:rFonts w:ascii="Times New Roman" w:hAnsi="Times New Roman" w:eastAsia="宋体" w:cs="Times New Roman"/>
      <w:kern w:val="0"/>
      <w:sz w:val="24"/>
      <w:szCs w:val="24"/>
    </w:rPr>
  </w:style>
  <w:style w:type="paragraph" w:styleId="12">
    <w:name w:val="Balloon Text"/>
    <w:basedOn w:val="1"/>
    <w:link w:val="39"/>
    <w:semiHidden/>
    <w:qFormat/>
    <w:uiPriority w:val="0"/>
    <w:rPr>
      <w:rFonts w:ascii="Times New Roman" w:hAnsi="Times New Roman" w:eastAsia="宋体" w:cs="Times New Roman"/>
      <w:kern w:val="0"/>
      <w:sz w:val="18"/>
      <w:szCs w:val="18"/>
    </w:rPr>
  </w:style>
  <w:style w:type="paragraph" w:styleId="13">
    <w:name w:val="footer"/>
    <w:basedOn w:val="1"/>
    <w:link w:val="28"/>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5">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6">
    <w:name w:val="Body Text 2"/>
    <w:basedOn w:val="1"/>
    <w:link w:val="33"/>
    <w:qFormat/>
    <w:uiPriority w:val="0"/>
    <w:pPr>
      <w:jc w:val="center"/>
    </w:pPr>
    <w:rPr>
      <w:rFonts w:ascii="Times New Roman" w:hAnsi="Times New Roman" w:eastAsia="宋体" w:cs="Times New Roman"/>
      <w:kern w:val="0"/>
      <w:szCs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index 1"/>
    <w:basedOn w:val="1"/>
    <w:next w:val="1"/>
    <w:semiHidden/>
    <w:qFormat/>
    <w:uiPriority w:val="0"/>
    <w:rPr>
      <w:rFonts w:ascii="Times New Roman" w:hAnsi="Times New Roman" w:eastAsia="宋体" w:cs="Times New Roman"/>
      <w:kern w:val="0"/>
      <w:sz w:val="24"/>
      <w:szCs w:val="24"/>
    </w:rPr>
  </w:style>
  <w:style w:type="paragraph" w:styleId="19">
    <w:name w:val="Body Text First Indent"/>
    <w:basedOn w:val="1"/>
    <w:next w:val="1"/>
    <w:qFormat/>
    <w:uiPriority w:val="99"/>
    <w:pPr>
      <w:spacing w:after="120" w:line="275" w:lineRule="atLeast"/>
      <w:ind w:firstLine="420"/>
      <w:textAlignment w:val="baseline"/>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rPr>
      <w:rFonts w:cs="Times New Roman"/>
    </w:rPr>
  </w:style>
  <w:style w:type="character" w:styleId="24">
    <w:name w:val="Hyperlink"/>
    <w:basedOn w:val="22"/>
    <w:qFormat/>
    <w:uiPriority w:val="0"/>
    <w:rPr>
      <w:rFonts w:cs="Times New Roman"/>
      <w:color w:val="0000FF"/>
      <w:u w:val="single"/>
    </w:rPr>
  </w:style>
  <w:style w:type="character" w:customStyle="1" w:styleId="25">
    <w:name w:val="标题 1 Char"/>
    <w:basedOn w:val="22"/>
    <w:link w:val="4"/>
    <w:qFormat/>
    <w:uiPriority w:val="0"/>
    <w:rPr>
      <w:rFonts w:ascii="Times New Roman" w:hAnsi="Times New Roman" w:eastAsia="宋体" w:cs="Times New Roman"/>
      <w:b/>
      <w:bCs/>
      <w:kern w:val="44"/>
      <w:sz w:val="44"/>
      <w:szCs w:val="44"/>
    </w:rPr>
  </w:style>
  <w:style w:type="character" w:customStyle="1" w:styleId="26">
    <w:name w:val="标题 2 Char"/>
    <w:basedOn w:val="22"/>
    <w:link w:val="5"/>
    <w:qFormat/>
    <w:uiPriority w:val="0"/>
    <w:rPr>
      <w:rFonts w:ascii="Arial" w:hAnsi="Arial" w:eastAsia="黑体" w:cs="Times New Roman"/>
      <w:b/>
      <w:kern w:val="0"/>
      <w:sz w:val="32"/>
      <w:szCs w:val="20"/>
    </w:rPr>
  </w:style>
  <w:style w:type="character" w:customStyle="1" w:styleId="27">
    <w:name w:val="页眉 Char"/>
    <w:basedOn w:val="22"/>
    <w:link w:val="14"/>
    <w:qFormat/>
    <w:uiPriority w:val="0"/>
    <w:rPr>
      <w:rFonts w:ascii="Times New Roman" w:hAnsi="Times New Roman" w:eastAsia="宋体" w:cs="Times New Roman"/>
      <w:kern w:val="0"/>
      <w:sz w:val="18"/>
      <w:szCs w:val="18"/>
    </w:rPr>
  </w:style>
  <w:style w:type="character" w:customStyle="1" w:styleId="28">
    <w:name w:val="页脚 Char"/>
    <w:basedOn w:val="22"/>
    <w:link w:val="13"/>
    <w:qFormat/>
    <w:uiPriority w:val="0"/>
    <w:rPr>
      <w:rFonts w:ascii="Times New Roman" w:hAnsi="Times New Roman" w:eastAsia="宋体" w:cs="Times New Roman"/>
      <w:kern w:val="0"/>
      <w:sz w:val="18"/>
      <w:szCs w:val="18"/>
    </w:rPr>
  </w:style>
  <w:style w:type="paragraph" w:customStyle="1" w:styleId="29">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0">
    <w:name w:val="正文文本缩进 2 Char"/>
    <w:basedOn w:val="22"/>
    <w:link w:val="11"/>
    <w:qFormat/>
    <w:uiPriority w:val="0"/>
    <w:rPr>
      <w:rFonts w:ascii="Times New Roman" w:hAnsi="Times New Roman" w:eastAsia="宋体" w:cs="Times New Roman"/>
      <w:kern w:val="0"/>
      <w:sz w:val="24"/>
      <w:szCs w:val="24"/>
    </w:rPr>
  </w:style>
  <w:style w:type="character" w:customStyle="1" w:styleId="31">
    <w:name w:val="正文文本缩进 Char"/>
    <w:basedOn w:val="22"/>
    <w:link w:val="9"/>
    <w:qFormat/>
    <w:uiPriority w:val="0"/>
    <w:rPr>
      <w:rFonts w:ascii="Times New Roman" w:hAnsi="Times New Roman" w:eastAsia="宋体" w:cs="Times New Roman"/>
      <w:kern w:val="0"/>
      <w:sz w:val="24"/>
      <w:szCs w:val="24"/>
    </w:rPr>
  </w:style>
  <w:style w:type="character" w:customStyle="1" w:styleId="32">
    <w:name w:val="正文文本 Char"/>
    <w:basedOn w:val="22"/>
    <w:link w:val="2"/>
    <w:qFormat/>
    <w:uiPriority w:val="0"/>
    <w:rPr>
      <w:rFonts w:ascii="Times New Roman" w:hAnsi="Times New Roman" w:eastAsia="宋体" w:cs="Times New Roman"/>
      <w:kern w:val="0"/>
      <w:szCs w:val="24"/>
    </w:rPr>
  </w:style>
  <w:style w:type="character" w:customStyle="1" w:styleId="33">
    <w:name w:val="正文文本 2 Char"/>
    <w:basedOn w:val="22"/>
    <w:link w:val="16"/>
    <w:qFormat/>
    <w:uiPriority w:val="0"/>
    <w:rPr>
      <w:rFonts w:ascii="Times New Roman" w:hAnsi="Times New Roman" w:eastAsia="宋体" w:cs="Times New Roman"/>
      <w:kern w:val="0"/>
      <w:szCs w:val="24"/>
    </w:rPr>
  </w:style>
  <w:style w:type="paragraph" w:customStyle="1" w:styleId="34">
    <w:name w:val="样式1"/>
    <w:basedOn w:val="4"/>
    <w:qFormat/>
    <w:uiPriority w:val="0"/>
    <w:pPr>
      <w:spacing w:line="640" w:lineRule="exact"/>
      <w:jc w:val="center"/>
    </w:pPr>
    <w:rPr>
      <w:rFonts w:ascii="方正小标宋简体" w:hAnsi="华文中宋" w:eastAsia="方正小标宋简体"/>
      <w:b w:val="0"/>
    </w:rPr>
  </w:style>
  <w:style w:type="paragraph" w:customStyle="1" w:styleId="35">
    <w:name w:val="样式2"/>
    <w:basedOn w:val="4"/>
    <w:qFormat/>
    <w:uiPriority w:val="0"/>
    <w:pPr>
      <w:spacing w:line="640" w:lineRule="exact"/>
      <w:jc w:val="center"/>
    </w:pPr>
    <w:rPr>
      <w:rFonts w:ascii="方正小标宋简体" w:hAnsi="华文中宋" w:eastAsia="方正小标宋简体"/>
      <w:b w:val="0"/>
    </w:rPr>
  </w:style>
  <w:style w:type="paragraph" w:customStyle="1" w:styleId="36">
    <w:name w:val="样式3"/>
    <w:basedOn w:val="4"/>
    <w:qFormat/>
    <w:uiPriority w:val="0"/>
    <w:pPr>
      <w:spacing w:line="640" w:lineRule="exact"/>
      <w:jc w:val="center"/>
    </w:pPr>
    <w:rPr>
      <w:rFonts w:ascii="方正小标宋简体" w:hAnsi="华文中宋" w:eastAsia="方正小标宋简体"/>
      <w:b w:val="0"/>
    </w:rPr>
  </w:style>
  <w:style w:type="character" w:customStyle="1" w:styleId="37">
    <w:name w:val="文档结构图 Char"/>
    <w:basedOn w:val="22"/>
    <w:link w:val="8"/>
    <w:semiHidden/>
    <w:qFormat/>
    <w:uiPriority w:val="0"/>
    <w:rPr>
      <w:rFonts w:ascii="Times New Roman" w:hAnsi="Times New Roman" w:eastAsia="宋体" w:cs="Times New Roman"/>
      <w:kern w:val="0"/>
      <w:sz w:val="24"/>
      <w:szCs w:val="24"/>
      <w:shd w:val="clear" w:color="auto" w:fill="000080"/>
    </w:rPr>
  </w:style>
  <w:style w:type="character" w:customStyle="1" w:styleId="38">
    <w:name w:val="纯文本 Char"/>
    <w:basedOn w:val="22"/>
    <w:link w:val="10"/>
    <w:qFormat/>
    <w:uiPriority w:val="0"/>
    <w:rPr>
      <w:rFonts w:ascii="宋体" w:hAnsi="Courier New" w:eastAsia="宋体" w:cs="Courier New"/>
      <w:sz w:val="24"/>
      <w:szCs w:val="21"/>
    </w:rPr>
  </w:style>
  <w:style w:type="character" w:customStyle="1" w:styleId="39">
    <w:name w:val="批注框文本 Char"/>
    <w:basedOn w:val="22"/>
    <w:link w:val="12"/>
    <w:semiHidden/>
    <w:qFormat/>
    <w:uiPriority w:val="0"/>
    <w:rPr>
      <w:rFonts w:ascii="Times New Roman" w:hAnsi="Times New Roman" w:eastAsia="宋体" w:cs="Times New Roman"/>
      <w:kern w:val="0"/>
      <w:sz w:val="18"/>
      <w:szCs w:val="18"/>
    </w:rPr>
  </w:style>
  <w:style w:type="paragraph" w:customStyle="1" w:styleId="40">
    <w:name w:val="列出段落1"/>
    <w:basedOn w:val="1"/>
    <w:link w:val="44"/>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1">
    <w:name w:val="1111111199999"/>
    <w:basedOn w:val="1"/>
    <w:link w:val="42"/>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42">
    <w:name w:val="1111111199999 Char"/>
    <w:link w:val="41"/>
    <w:qFormat/>
    <w:locked/>
    <w:uiPriority w:val="0"/>
    <w:rPr>
      <w:rFonts w:ascii="Times New Roman" w:hAnsi="Times New Roman" w:eastAsia="宋体" w:cs="Times New Roman"/>
      <w:kern w:val="0"/>
      <w:szCs w:val="20"/>
      <w:lang w:val="zh-CN" w:eastAsia="zh-CN"/>
    </w:rPr>
  </w:style>
  <w:style w:type="character" w:customStyle="1" w:styleId="43">
    <w:name w:val="apple-style-span"/>
    <w:qFormat/>
    <w:uiPriority w:val="0"/>
  </w:style>
  <w:style w:type="character" w:customStyle="1" w:styleId="44">
    <w:name w:val="List Paragraph Char"/>
    <w:link w:val="40"/>
    <w:qFormat/>
    <w:locked/>
    <w:uiPriority w:val="0"/>
    <w:rPr>
      <w:rFonts w:ascii="Calibri" w:hAnsi="Calibri" w:eastAsia="宋体" w:cs="Times New Roman"/>
      <w:kern w:val="0"/>
      <w:sz w:val="22"/>
      <w:szCs w:val="20"/>
      <w:lang w:val="zh-CN" w:eastAsia="en-US"/>
    </w:rPr>
  </w:style>
  <w:style w:type="paragraph" w:customStyle="1" w:styleId="45">
    <w:name w:val="Char Char Char Char"/>
    <w:basedOn w:val="1"/>
    <w:qFormat/>
    <w:uiPriority w:val="0"/>
    <w:rPr>
      <w:rFonts w:ascii="Times New Roman" w:hAnsi="Times New Roman" w:eastAsia="宋体" w:cs="Times New Roman"/>
      <w:sz w:val="24"/>
      <w:szCs w:val="36"/>
    </w:rPr>
  </w:style>
  <w:style w:type="character" w:customStyle="1" w:styleId="46">
    <w:name w:val="Char Char4"/>
    <w:qFormat/>
    <w:locked/>
    <w:uiPriority w:val="0"/>
    <w:rPr>
      <w:rFonts w:ascii="宋体" w:hAnsi="Courier New" w:eastAsia="宋体"/>
      <w:kern w:val="2"/>
      <w:sz w:val="21"/>
      <w:lang w:val="zh-CN" w:eastAsia="zh-CN" w:bidi="ar-SA"/>
    </w:rPr>
  </w:style>
  <w:style w:type="character" w:customStyle="1" w:styleId="47">
    <w:name w:val="样式 (中文) 仿宋_GB2312 三号"/>
    <w:basedOn w:val="22"/>
    <w:qFormat/>
    <w:uiPriority w:val="0"/>
    <w:rPr>
      <w:rFonts w:hint="eastAsia" w:ascii="仿宋_GB2312" w:eastAsia="仿宋_GB2312"/>
      <w:sz w:val="32"/>
    </w:rPr>
  </w:style>
  <w:style w:type="character" w:customStyle="1" w:styleId="48">
    <w:name w:val="Char Char3"/>
    <w:basedOn w:val="22"/>
    <w:qFormat/>
    <w:locked/>
    <w:uiPriority w:val="0"/>
    <w:rPr>
      <w:rFonts w:ascii="宋体" w:hAnsi="宋体" w:eastAsia="宋体"/>
      <w:sz w:val="18"/>
      <w:szCs w:val="18"/>
      <w:lang w:val="en-US" w:eastAsia="zh-CN" w:bidi="ar-SA"/>
    </w:rPr>
  </w:style>
  <w:style w:type="paragraph" w:customStyle="1" w:styleId="49">
    <w:name w:val="正文1"/>
    <w:basedOn w:val="1"/>
    <w:next w:val="1"/>
    <w:qFormat/>
    <w:uiPriority w:val="0"/>
    <w:pPr>
      <w:spacing w:line="300" w:lineRule="auto"/>
      <w:ind w:firstLine="200" w:firstLineChars="200"/>
    </w:pPr>
    <w:rPr>
      <w:sz w:val="24"/>
    </w:rPr>
  </w:style>
  <w:style w:type="paragraph" w:customStyle="1" w:styleId="50">
    <w:name w:val="无缩进15居中"/>
    <w:basedOn w:val="1"/>
    <w:next w:val="1"/>
    <w:qFormat/>
    <w:uiPriority w:val="0"/>
    <w:pPr>
      <w:spacing w:line="300" w:lineRule="exact"/>
      <w:jc w:val="center"/>
    </w:pPr>
  </w:style>
  <w:style w:type="paragraph" w:customStyle="1" w:styleId="51">
    <w:name w:val="图例"/>
    <w:basedOn w:val="1"/>
    <w:qFormat/>
    <w:uiPriority w:val="0"/>
    <w:pPr>
      <w:spacing w:line="360" w:lineRule="auto"/>
      <w:jc w:val="center"/>
    </w:pPr>
    <w:rPr>
      <w:rFonts w:eastAsia="仿宋_GB2312"/>
      <w:b/>
      <w:sz w:val="24"/>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NormalCharacter"/>
    <w:semiHidden/>
    <w:qFormat/>
    <w:uiPriority w:val="0"/>
    <w:rPr>
      <w:kern w:val="2"/>
      <w:sz w:val="28"/>
      <w:lang w:val="en-US" w:eastAsia="zh-CN" w:bidi="ar-SA"/>
    </w:rPr>
  </w:style>
  <w:style w:type="character" w:customStyle="1" w:styleId="54">
    <w:name w:val="font21"/>
    <w:basedOn w:val="22"/>
    <w:qFormat/>
    <w:uiPriority w:val="0"/>
    <w:rPr>
      <w:rFonts w:hint="eastAsia" w:ascii="仿宋_GB2312" w:eastAsia="仿宋_GB2312" w:cs="仿宋_GB2312"/>
      <w:color w:val="000000"/>
      <w:sz w:val="28"/>
      <w:szCs w:val="28"/>
      <w:u w:val="none"/>
    </w:rPr>
  </w:style>
  <w:style w:type="character" w:customStyle="1" w:styleId="55">
    <w:name w:val="font31"/>
    <w:basedOn w:val="22"/>
    <w:qFormat/>
    <w:uiPriority w:val="0"/>
    <w:rPr>
      <w:rFonts w:ascii="黑体" w:hAnsi="宋体" w:eastAsia="黑体" w:cs="黑体"/>
      <w:color w:val="000000"/>
      <w:sz w:val="28"/>
      <w:szCs w:val="28"/>
      <w:u w:val="none"/>
    </w:rPr>
  </w:style>
  <w:style w:type="character" w:customStyle="1" w:styleId="56">
    <w:name w:val="font11"/>
    <w:basedOn w:val="22"/>
    <w:qFormat/>
    <w:uiPriority w:val="0"/>
    <w:rPr>
      <w:rFonts w:hint="eastAsia" w:ascii="宋体" w:hAnsi="宋体" w:eastAsia="宋体" w:cs="宋体"/>
      <w:color w:val="000000"/>
      <w:sz w:val="28"/>
      <w:szCs w:val="28"/>
      <w:u w:val="none"/>
    </w:rPr>
  </w:style>
  <w:style w:type="table" w:customStyle="1" w:styleId="5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3076"/>
    <customShpInfo spid="_x0000_s3075"/>
    <customShpInfo spid="_x0000_s3074"/>
    <customShpInfo spid="_x0000_s3073"/>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0D03A-3F6D-4E82-A669-912A01F1AEB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76</Pages>
  <Words>25597</Words>
  <Characters>3789</Characters>
  <Lines>31</Lines>
  <Paragraphs>58</Paragraphs>
  <TotalTime>45</TotalTime>
  <ScaleCrop>false</ScaleCrop>
  <LinksUpToDate>false</LinksUpToDate>
  <CharactersWithSpaces>29328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2021-12-29T09:31:00Z</cp:lastPrinted>
  <dcterms:modified xsi:type="dcterms:W3CDTF">2022-01-17T01:12:18Z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87DB2680332D416A9B552B834DC2306C</vt:lpwstr>
  </property>
</Properties>
</file>