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D15D" w14:textId="77777777" w:rsidR="00D35354" w:rsidRDefault="00D35354" w:rsidP="00D35354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：设计要求</w:t>
      </w:r>
    </w:p>
    <w:p w14:paraId="69729E58" w14:textId="77777777" w:rsidR="00D35354" w:rsidRDefault="00D35354" w:rsidP="00D35354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b/>
          <w:spacing w:val="-10"/>
          <w:sz w:val="28"/>
          <w:szCs w:val="32"/>
        </w:rPr>
      </w:pPr>
    </w:p>
    <w:p w14:paraId="6D3193B2" w14:textId="77777777" w:rsidR="00D35354" w:rsidRDefault="00D35354" w:rsidP="00D35354">
      <w:pPr>
        <w:pStyle w:val="1"/>
        <w:widowControl/>
        <w:numPr>
          <w:ilvl w:val="0"/>
          <w:numId w:val="1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设计目标：</w:t>
      </w:r>
    </w:p>
    <w:p w14:paraId="21FC0BED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本次征集旨在面向全球公开征集高水平团队按照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科创街规划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发展要求，体现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国际化、绿色化、智能化、人文化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，提供具有前瞻性与创新性的规划设计方案和高水准的建筑方案，推动重庆都市区发展，高标准打造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科学之城，创新高地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。</w:t>
      </w:r>
    </w:p>
    <w:p w14:paraId="5D624B1A" w14:textId="77777777" w:rsidR="00D35354" w:rsidRDefault="00D35354" w:rsidP="00D35354">
      <w:pPr>
        <w:pStyle w:val="1"/>
        <w:widowControl/>
        <w:numPr>
          <w:ilvl w:val="0"/>
          <w:numId w:val="1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设计原则：</w:t>
      </w:r>
    </w:p>
    <w:p w14:paraId="1EE813A4" w14:textId="77777777" w:rsidR="00D35354" w:rsidRDefault="00D35354" w:rsidP="00D35354">
      <w:pPr>
        <w:pStyle w:val="1"/>
        <w:widowControl/>
        <w:numPr>
          <w:ilvl w:val="0"/>
          <w:numId w:val="2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根植创新</w:t>
      </w:r>
    </w:p>
    <w:p w14:paraId="48464355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创新是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的核心诉求和立意。应从不同类别和层次的创新人群需求出发，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研判功能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布局、空间组合、业态构成、建筑形态和公共空间营造等。</w:t>
      </w:r>
    </w:p>
    <w:p w14:paraId="4A91FC07" w14:textId="77777777" w:rsidR="00D35354" w:rsidRDefault="00D35354" w:rsidP="00D35354">
      <w:pPr>
        <w:pStyle w:val="1"/>
        <w:widowControl/>
        <w:numPr>
          <w:ilvl w:val="0"/>
          <w:numId w:val="2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生态优先</w:t>
      </w:r>
    </w:p>
    <w:p w14:paraId="5D7E84D0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28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将生态节能的理念纳入设计之中。运用生态学、建筑技术科学和现代科学技术手段等，使人、建筑与自然生态环境之间形成一个良性循环系统，实现城市、建筑、景观的可持续发展。</w:t>
      </w:r>
    </w:p>
    <w:p w14:paraId="59BA0B75" w14:textId="77777777" w:rsidR="00D35354" w:rsidRDefault="00D35354" w:rsidP="00D35354">
      <w:pPr>
        <w:pStyle w:val="1"/>
        <w:widowControl/>
        <w:numPr>
          <w:ilvl w:val="0"/>
          <w:numId w:val="2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弹性灵活</w:t>
      </w:r>
    </w:p>
    <w:p w14:paraId="515676EC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建筑空间应具备高度的灵活性和可变性，一方面适应创新人群不同的工作组合方式，另一方面满足不同企业不同阶段运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lastRenderedPageBreak/>
        <w:t>转的可能性。因此设计方案应体现一定的弹性和塑性，与相应的功能活动相吻合。</w:t>
      </w:r>
    </w:p>
    <w:p w14:paraId="7D1D1964" w14:textId="77777777" w:rsidR="00D35354" w:rsidRDefault="00D35354" w:rsidP="00D35354">
      <w:pPr>
        <w:pStyle w:val="1"/>
        <w:widowControl/>
        <w:numPr>
          <w:ilvl w:val="0"/>
          <w:numId w:val="2"/>
        </w:numPr>
        <w:ind w:firstLineChars="0"/>
        <w:jc w:val="left"/>
        <w:rPr>
          <w:rFonts w:eastAsia="方正仿宋_GBK"/>
          <w:b/>
          <w:sz w:val="36"/>
          <w:szCs w:val="32"/>
        </w:rPr>
      </w:pPr>
      <w:r>
        <w:rPr>
          <w:rFonts w:eastAsia="方正仿宋_GBK"/>
          <w:b/>
          <w:sz w:val="32"/>
          <w:szCs w:val="32"/>
        </w:rPr>
        <w:t>人文隐喻</w:t>
      </w:r>
    </w:p>
    <w:p w14:paraId="6064137A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塑造科创街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的形象和文化标识，注重人文环境的塑造和场所精神的探索，打造活力年轻的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。</w:t>
      </w:r>
    </w:p>
    <w:p w14:paraId="7A4C1CCA" w14:textId="77777777" w:rsidR="00D35354" w:rsidRDefault="00D35354" w:rsidP="00D35354">
      <w:pPr>
        <w:pStyle w:val="1"/>
        <w:widowControl/>
        <w:numPr>
          <w:ilvl w:val="0"/>
          <w:numId w:val="1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规划指导</w:t>
      </w:r>
      <w:r>
        <w:rPr>
          <w:rFonts w:eastAsia="方正仿宋_GBK"/>
          <w:b/>
          <w:sz w:val="32"/>
          <w:szCs w:val="32"/>
        </w:rPr>
        <w:t>：</w:t>
      </w:r>
    </w:p>
    <w:p w14:paraId="54F959AF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设计应符合《重庆市国土空间总体规划（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2020-2035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年）》《西部（重庆）科学城国土空间规划（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2020-2035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年）》、《高新区（直管园）国土空间分区规划（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2020-2035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年）》、《科学大道发展主轴城市设计》、《重庆西永商务中心区重点地块城市设计》等相关规划的要求和指引。</w:t>
      </w:r>
    </w:p>
    <w:p w14:paraId="7CF2626A" w14:textId="77777777" w:rsidR="00D35354" w:rsidRDefault="00D35354" w:rsidP="00D35354">
      <w:pPr>
        <w:pStyle w:val="1"/>
        <w:widowControl/>
        <w:numPr>
          <w:ilvl w:val="0"/>
          <w:numId w:val="1"/>
        </w:numPr>
        <w:ind w:firstLineChars="0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设计重点：</w:t>
      </w:r>
    </w:p>
    <w:p w14:paraId="79B68686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建筑规模</w:t>
      </w:r>
    </w:p>
    <w:p w14:paraId="6A53B2FF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总计容建筑面积不超过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万平方米。</w:t>
      </w:r>
    </w:p>
    <w:p w14:paraId="2806C544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noProof/>
          <w:color w:val="000000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BA1F0" wp14:editId="17E0530D">
                <wp:simplePos x="0" y="0"/>
                <wp:positionH relativeFrom="column">
                  <wp:posOffset>3916680</wp:posOffset>
                </wp:positionH>
                <wp:positionV relativeFrom="paragraph">
                  <wp:posOffset>2103120</wp:posOffset>
                </wp:positionV>
                <wp:extent cx="1193800" cy="568960"/>
                <wp:effectExtent l="0" t="0" r="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73808" w14:textId="77777777" w:rsidR="00D35354" w:rsidRDefault="00D35354" w:rsidP="00D35354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32"/>
                              </w:rPr>
                              <w:t>R06-1/05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BA1F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08.4pt;margin-top:165.6pt;width:94pt;height:4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" filled="f" stroked="f" strokeweight=".5pt">
                <v:textbox>
                  <w:txbxContent>
                    <w:p w14:paraId="03D73808" w14:textId="77777777" w:rsidR="00D35354" w:rsidRDefault="00D35354" w:rsidP="00D35354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  <w:sz w:val="32"/>
                        </w:rPr>
                        <w:t>R06-1/05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CB8E" wp14:editId="6533B20B">
                <wp:simplePos x="0" y="0"/>
                <wp:positionH relativeFrom="column">
                  <wp:posOffset>3314700</wp:posOffset>
                </wp:positionH>
                <wp:positionV relativeFrom="paragraph">
                  <wp:posOffset>2133600</wp:posOffset>
                </wp:positionV>
                <wp:extent cx="2019300" cy="371475"/>
                <wp:effectExtent l="0" t="0" r="19050" b="28575"/>
                <wp:wrapNone/>
                <wp:docPr id="2" name="任意多边形: 形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71475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0 h 371475"/>
                            <a:gd name="connsiteX1" fmla="*/ 352425 w 2019300"/>
                            <a:gd name="connsiteY1" fmla="*/ 371475 h 371475"/>
                            <a:gd name="connsiteX2" fmla="*/ 2019300 w 2019300"/>
                            <a:gd name="connsiteY2" fmla="*/ 37147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19300" h="371475">
                              <a:moveTo>
                                <a:pt x="0" y="0"/>
                              </a:moveTo>
                              <a:lnTo>
                                <a:pt x="352425" y="371475"/>
                              </a:lnTo>
                              <a:lnTo>
                                <a:pt x="2019300" y="371475"/>
                              </a:lnTo>
                            </a:path>
                          </a:pathLst>
                        </a:cu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FD927" id="任意多边形: 形状 2" o:spid="_x0000_s1026" style="position:absolute;left:0;text-align:left;margin-left:261pt;margin-top:168pt;width:15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" path="m,l352425,371475r1666875,e" filled="f" strokecolor="black [3200]" strokeweight="1.25pt">
                <v:stroke joinstyle="miter"/>
                <v:path arrowok="t" o:connecttype="custom" o:connectlocs="0,0;352425,371475;2019300,3714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1"/>
        </w:rPr>
        <w:drawing>
          <wp:inline distT="0" distB="0" distL="0" distR="0" wp14:anchorId="0B423753" wp14:editId="06513124">
            <wp:extent cx="5050155" cy="3487420"/>
            <wp:effectExtent l="0" t="0" r="0" b="0"/>
            <wp:docPr id="1" name="图片 1" descr="调整后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调整后-Mo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995F" w14:textId="77777777" w:rsidR="00D35354" w:rsidRDefault="00D35354" w:rsidP="00D35354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center"/>
        <w:rPr>
          <w:rFonts w:ascii="Times New Roman" w:eastAsia="方正仿宋_GBK" w:hAnsi="Times New Roman" w:cs="Times New Roman"/>
          <w:color w:val="000000"/>
          <w:sz w:val="28"/>
        </w:rPr>
      </w:pPr>
      <w:r>
        <w:rPr>
          <w:rFonts w:ascii="Times New Roman" w:eastAsia="方正仿宋_GBK" w:hAnsi="Times New Roman" w:cs="Times New Roman"/>
          <w:color w:val="000000"/>
          <w:sz w:val="28"/>
        </w:rPr>
        <w:t>图</w:t>
      </w:r>
      <w:r>
        <w:rPr>
          <w:rFonts w:ascii="Times New Roman" w:eastAsia="方正仿宋_GBK" w:hAnsi="Times New Roman" w:cs="Times New Roman"/>
          <w:color w:val="000000"/>
          <w:sz w:val="28"/>
        </w:rPr>
        <w:t>1</w:t>
      </w:r>
      <w:proofErr w:type="gramStart"/>
      <w:r>
        <w:rPr>
          <w:rFonts w:ascii="Times New Roman" w:eastAsia="方正仿宋_GBK" w:hAnsi="Times New Roman" w:cs="Times New Roman"/>
          <w:color w:val="000000"/>
          <w:sz w:val="28"/>
        </w:rPr>
        <w:t>科创街</w:t>
      </w:r>
      <w:proofErr w:type="gramEnd"/>
      <w:r>
        <w:rPr>
          <w:rFonts w:ascii="Times New Roman" w:eastAsia="方正仿宋_GBK" w:hAnsi="Times New Roman" w:cs="Times New Roman"/>
          <w:color w:val="000000"/>
          <w:sz w:val="28"/>
        </w:rPr>
        <w:t>土地利用规划图</w:t>
      </w:r>
    </w:p>
    <w:p w14:paraId="456A98EB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建议功能构成及占比</w:t>
      </w:r>
    </w:p>
    <w:p w14:paraId="25794D2F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倡导功能混合布局。功能应包含办公、研发、酒店、文化、交流、公共服务等，方便创新人群就近工作、购物、休闲。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建议科创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街内商务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办公占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比约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60-70%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，商业约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10-15%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，配套设施占比约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20-30%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。在功能构成的基础上，应进行业态分析，明确地块具体的产品类型。</w:t>
      </w:r>
    </w:p>
    <w:p w14:paraId="3992C76F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建议配套设施</w:t>
      </w:r>
    </w:p>
    <w:p w14:paraId="4EF9D27A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应从创新人群的类别、需求、行为方式等角度配置配套设施，建议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包含科创类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设施和生活类设施，设施类型应包含但不限于表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所示。集中布局的设施建议布置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1-2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处，分散布局的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lastRenderedPageBreak/>
        <w:t>设施根据服务半径统筹布置。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不同设施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的建筑量可结合方案进行调整。</w:t>
      </w:r>
    </w:p>
    <w:p w14:paraId="610C7466" w14:textId="77777777" w:rsidR="00D35354" w:rsidRDefault="00D35354" w:rsidP="00D35354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center"/>
        <w:rPr>
          <w:rFonts w:ascii="Times New Roman" w:eastAsia="方正仿宋_GBK" w:hAnsi="Times New Roman" w:cs="Times New Roman"/>
          <w:color w:val="000000"/>
          <w:sz w:val="28"/>
        </w:rPr>
      </w:pPr>
      <w:r>
        <w:rPr>
          <w:rFonts w:ascii="Times New Roman" w:eastAsia="方正仿宋_GBK" w:hAnsi="Times New Roman" w:cs="Times New Roman"/>
          <w:color w:val="000000"/>
          <w:sz w:val="28"/>
        </w:rPr>
        <w:t>表</w:t>
      </w:r>
      <w:r>
        <w:rPr>
          <w:rFonts w:ascii="Times New Roman" w:eastAsia="方正仿宋_GBK" w:hAnsi="Times New Roman" w:cs="Times New Roman"/>
          <w:color w:val="000000"/>
          <w:sz w:val="28"/>
        </w:rPr>
        <w:t>1</w:t>
      </w:r>
      <w:r>
        <w:rPr>
          <w:rFonts w:ascii="Times New Roman" w:eastAsia="方正仿宋_GBK" w:hAnsi="Times New Roman" w:cs="Times New Roman"/>
          <w:color w:val="000000"/>
          <w:sz w:val="28"/>
        </w:rPr>
        <w:t>建议配套设施类型及规模</w:t>
      </w:r>
    </w:p>
    <w:tbl>
      <w:tblPr>
        <w:tblStyle w:val="a4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999"/>
        <w:gridCol w:w="1559"/>
        <w:gridCol w:w="2410"/>
        <w:gridCol w:w="4004"/>
      </w:tblGrid>
      <w:tr w:rsidR="00D35354" w14:paraId="7E95703F" w14:textId="77777777" w:rsidTr="00E97C17">
        <w:trPr>
          <w:trHeight w:val="447"/>
          <w:jc w:val="center"/>
        </w:trPr>
        <w:tc>
          <w:tcPr>
            <w:tcW w:w="556" w:type="dxa"/>
            <w:vMerge w:val="restart"/>
          </w:tcPr>
          <w:p w14:paraId="35DA645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  <w:p w14:paraId="16483E0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  <w:p w14:paraId="6C80D6B4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科创类</w:t>
            </w:r>
            <w:proofErr w:type="gramEnd"/>
            <w:r>
              <w:rPr>
                <w:rFonts w:eastAsia="仿宋"/>
                <w:sz w:val="30"/>
                <w:szCs w:val="30"/>
              </w:rPr>
              <w:t>设施</w:t>
            </w:r>
          </w:p>
        </w:tc>
        <w:tc>
          <w:tcPr>
            <w:tcW w:w="999" w:type="dxa"/>
          </w:tcPr>
          <w:p w14:paraId="25B9A5C3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布局原则</w:t>
            </w:r>
          </w:p>
        </w:tc>
        <w:tc>
          <w:tcPr>
            <w:tcW w:w="1559" w:type="dxa"/>
          </w:tcPr>
          <w:p w14:paraId="5E18F2BE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名称</w:t>
            </w:r>
          </w:p>
        </w:tc>
        <w:tc>
          <w:tcPr>
            <w:tcW w:w="2410" w:type="dxa"/>
          </w:tcPr>
          <w:p w14:paraId="7E25591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功能</w:t>
            </w:r>
          </w:p>
        </w:tc>
        <w:tc>
          <w:tcPr>
            <w:tcW w:w="4004" w:type="dxa"/>
          </w:tcPr>
          <w:p w14:paraId="79D86B33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建筑量（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）</w:t>
            </w:r>
          </w:p>
        </w:tc>
      </w:tr>
      <w:tr w:rsidR="00D35354" w14:paraId="458FC7A0" w14:textId="77777777" w:rsidTr="00E97C17">
        <w:trPr>
          <w:trHeight w:val="846"/>
          <w:jc w:val="center"/>
        </w:trPr>
        <w:tc>
          <w:tcPr>
            <w:tcW w:w="556" w:type="dxa"/>
            <w:vMerge/>
          </w:tcPr>
          <w:p w14:paraId="4600104E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0B7E5E13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集中布局</w:t>
            </w:r>
          </w:p>
        </w:tc>
        <w:tc>
          <w:tcPr>
            <w:tcW w:w="1559" w:type="dxa"/>
          </w:tcPr>
          <w:p w14:paraId="09EBBB4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交流发布中心</w:t>
            </w:r>
          </w:p>
        </w:tc>
        <w:tc>
          <w:tcPr>
            <w:tcW w:w="2410" w:type="dxa"/>
          </w:tcPr>
          <w:p w14:paraId="337D158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新产品发布中心、视频会议厅、多媒体报告厅、科技沙龙、学术交流峰会</w:t>
            </w:r>
          </w:p>
        </w:tc>
        <w:tc>
          <w:tcPr>
            <w:tcW w:w="4004" w:type="dxa"/>
          </w:tcPr>
          <w:p w14:paraId="60AF710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1.0-1.5</w:t>
            </w:r>
          </w:p>
        </w:tc>
      </w:tr>
      <w:tr w:rsidR="00D35354" w14:paraId="2F35129D" w14:textId="77777777" w:rsidTr="00E97C17">
        <w:trPr>
          <w:trHeight w:val="414"/>
          <w:jc w:val="center"/>
        </w:trPr>
        <w:tc>
          <w:tcPr>
            <w:tcW w:w="556" w:type="dxa"/>
            <w:vMerge/>
          </w:tcPr>
          <w:p w14:paraId="37EA13CD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2A066EA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D09619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科技展馆</w:t>
            </w:r>
          </w:p>
        </w:tc>
        <w:tc>
          <w:tcPr>
            <w:tcW w:w="2410" w:type="dxa"/>
          </w:tcPr>
          <w:p w14:paraId="041B203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科技产品展示、体验、销售</w:t>
            </w:r>
          </w:p>
        </w:tc>
        <w:tc>
          <w:tcPr>
            <w:tcW w:w="4004" w:type="dxa"/>
          </w:tcPr>
          <w:p w14:paraId="1FAF9D5F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0.5-0.8</w:t>
            </w:r>
          </w:p>
        </w:tc>
      </w:tr>
      <w:tr w:rsidR="00D35354" w14:paraId="37769DC7" w14:textId="77777777" w:rsidTr="00E97C17">
        <w:trPr>
          <w:trHeight w:val="382"/>
          <w:jc w:val="center"/>
        </w:trPr>
        <w:tc>
          <w:tcPr>
            <w:tcW w:w="556" w:type="dxa"/>
            <w:vMerge/>
          </w:tcPr>
          <w:p w14:paraId="2217E75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0A134B21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135E5E4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金融投资超市</w:t>
            </w:r>
          </w:p>
        </w:tc>
        <w:tc>
          <w:tcPr>
            <w:tcW w:w="2410" w:type="dxa"/>
          </w:tcPr>
          <w:p w14:paraId="2BC11872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一站</w:t>
            </w:r>
            <w:proofErr w:type="gramStart"/>
            <w:r>
              <w:rPr>
                <w:rFonts w:eastAsia="仿宋"/>
                <w:sz w:val="30"/>
                <w:szCs w:val="30"/>
              </w:rPr>
              <w:t>式科创金融</w:t>
            </w:r>
            <w:proofErr w:type="gramEnd"/>
            <w:r>
              <w:rPr>
                <w:rFonts w:eastAsia="仿宋"/>
                <w:sz w:val="30"/>
                <w:szCs w:val="30"/>
              </w:rPr>
              <w:t>服务</w:t>
            </w:r>
          </w:p>
        </w:tc>
        <w:tc>
          <w:tcPr>
            <w:tcW w:w="4004" w:type="dxa"/>
          </w:tcPr>
          <w:p w14:paraId="29D3A53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0.5-0.8</w:t>
            </w:r>
          </w:p>
        </w:tc>
      </w:tr>
      <w:tr w:rsidR="00D35354" w14:paraId="37C2B7D1" w14:textId="77777777" w:rsidTr="00E97C17">
        <w:trPr>
          <w:trHeight w:val="375"/>
          <w:jc w:val="center"/>
        </w:trPr>
        <w:tc>
          <w:tcPr>
            <w:tcW w:w="556" w:type="dxa"/>
            <w:vMerge/>
          </w:tcPr>
          <w:p w14:paraId="5C8FB0D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0F80D26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C144ACD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培训提升中心</w:t>
            </w:r>
          </w:p>
        </w:tc>
        <w:tc>
          <w:tcPr>
            <w:tcW w:w="2410" w:type="dxa"/>
            <w:vAlign w:val="center"/>
          </w:tcPr>
          <w:p w14:paraId="118679B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对外对内的培训、学习中心</w:t>
            </w:r>
          </w:p>
        </w:tc>
        <w:tc>
          <w:tcPr>
            <w:tcW w:w="4004" w:type="dxa"/>
          </w:tcPr>
          <w:p w14:paraId="6EF7E96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0.5-0.8</w:t>
            </w:r>
          </w:p>
        </w:tc>
      </w:tr>
      <w:tr w:rsidR="00D35354" w14:paraId="281A0EE8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44128FD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</w:tcPr>
          <w:p w14:paraId="1724E674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分散布局</w:t>
            </w:r>
          </w:p>
        </w:tc>
        <w:tc>
          <w:tcPr>
            <w:tcW w:w="1559" w:type="dxa"/>
          </w:tcPr>
          <w:p w14:paraId="7DA99E38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共享会议室</w:t>
            </w:r>
          </w:p>
        </w:tc>
        <w:tc>
          <w:tcPr>
            <w:tcW w:w="2410" w:type="dxa"/>
          </w:tcPr>
          <w:p w14:paraId="6F27BF61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共享办公空间，促进高效交流</w:t>
            </w:r>
          </w:p>
        </w:tc>
        <w:tc>
          <w:tcPr>
            <w:tcW w:w="4004" w:type="dxa"/>
          </w:tcPr>
          <w:p w14:paraId="62E5E1F3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0.03-0.05/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1F8A017B" w14:textId="77777777" w:rsidTr="00E97C17">
        <w:trPr>
          <w:trHeight w:val="290"/>
          <w:jc w:val="center"/>
        </w:trPr>
        <w:tc>
          <w:tcPr>
            <w:tcW w:w="556" w:type="dxa"/>
            <w:vMerge w:val="restart"/>
          </w:tcPr>
          <w:p w14:paraId="0ABA95C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  <w:p w14:paraId="3310AF50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  <w:p w14:paraId="2222567F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生活类设施</w:t>
            </w:r>
          </w:p>
        </w:tc>
        <w:tc>
          <w:tcPr>
            <w:tcW w:w="999" w:type="dxa"/>
            <w:vMerge w:val="restart"/>
            <w:vAlign w:val="center"/>
          </w:tcPr>
          <w:p w14:paraId="1A5D161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集中布局</w:t>
            </w:r>
          </w:p>
        </w:tc>
        <w:tc>
          <w:tcPr>
            <w:tcW w:w="1559" w:type="dxa"/>
          </w:tcPr>
          <w:p w14:paraId="00251C91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文化馆</w:t>
            </w:r>
          </w:p>
        </w:tc>
        <w:tc>
          <w:tcPr>
            <w:tcW w:w="2410" w:type="dxa"/>
          </w:tcPr>
          <w:p w14:paraId="2AC5A099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文娱活动场所</w:t>
            </w:r>
          </w:p>
        </w:tc>
        <w:tc>
          <w:tcPr>
            <w:tcW w:w="4004" w:type="dxa"/>
          </w:tcPr>
          <w:p w14:paraId="7AAED0B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1.0-1.5</w:t>
            </w:r>
          </w:p>
        </w:tc>
      </w:tr>
      <w:tr w:rsidR="00D35354" w14:paraId="14657BE4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0C678F0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7BE77E2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DF59E2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图书馆</w:t>
            </w:r>
          </w:p>
        </w:tc>
        <w:tc>
          <w:tcPr>
            <w:tcW w:w="2410" w:type="dxa"/>
          </w:tcPr>
          <w:p w14:paraId="65882A7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阅读、思考空间</w:t>
            </w:r>
          </w:p>
        </w:tc>
        <w:tc>
          <w:tcPr>
            <w:tcW w:w="4004" w:type="dxa"/>
          </w:tcPr>
          <w:p w14:paraId="33D1D858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1.0-1.5</w:t>
            </w:r>
          </w:p>
        </w:tc>
      </w:tr>
      <w:tr w:rsidR="00D35354" w14:paraId="0C589943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144E9E1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27139E0A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A2BCA0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人才食堂</w:t>
            </w:r>
          </w:p>
        </w:tc>
        <w:tc>
          <w:tcPr>
            <w:tcW w:w="2410" w:type="dxa"/>
          </w:tcPr>
          <w:p w14:paraId="1C2B1B8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美食广场</w:t>
            </w:r>
          </w:p>
        </w:tc>
        <w:tc>
          <w:tcPr>
            <w:tcW w:w="4004" w:type="dxa"/>
          </w:tcPr>
          <w:p w14:paraId="3CCC8008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0.02-0.03/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709850B1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3DFC577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14B4259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128531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儿童看护</w:t>
            </w:r>
          </w:p>
        </w:tc>
        <w:tc>
          <w:tcPr>
            <w:tcW w:w="2410" w:type="dxa"/>
          </w:tcPr>
          <w:p w14:paraId="078C8E42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托儿中心</w:t>
            </w:r>
          </w:p>
        </w:tc>
        <w:tc>
          <w:tcPr>
            <w:tcW w:w="4004" w:type="dxa"/>
          </w:tcPr>
          <w:p w14:paraId="363A2B3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0.006-0.01/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49874799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1E5C783C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5C7D58D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FC6B933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健身中心</w:t>
            </w:r>
          </w:p>
        </w:tc>
        <w:tc>
          <w:tcPr>
            <w:tcW w:w="2410" w:type="dxa"/>
          </w:tcPr>
          <w:p w14:paraId="15BBCC18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锻炼、康复场所</w:t>
            </w:r>
          </w:p>
        </w:tc>
        <w:tc>
          <w:tcPr>
            <w:tcW w:w="4004" w:type="dxa"/>
          </w:tcPr>
          <w:p w14:paraId="60918424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0.01-0.02/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1DDEFBB3" w14:textId="77777777" w:rsidTr="00E97C17">
        <w:trPr>
          <w:trHeight w:val="290"/>
          <w:jc w:val="center"/>
        </w:trPr>
        <w:tc>
          <w:tcPr>
            <w:tcW w:w="556" w:type="dxa"/>
            <w:vMerge/>
          </w:tcPr>
          <w:p w14:paraId="65D28F59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59D2303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F904A2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零售店铺</w:t>
            </w:r>
          </w:p>
        </w:tc>
        <w:tc>
          <w:tcPr>
            <w:tcW w:w="2410" w:type="dxa"/>
          </w:tcPr>
          <w:p w14:paraId="0D799F66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日常购物</w:t>
            </w:r>
          </w:p>
        </w:tc>
        <w:tc>
          <w:tcPr>
            <w:tcW w:w="4004" w:type="dxa"/>
          </w:tcPr>
          <w:p w14:paraId="0DE4CED2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0.02-0.04/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714CA7DF" w14:textId="77777777" w:rsidTr="00E97C17">
        <w:trPr>
          <w:trHeight w:val="326"/>
          <w:jc w:val="center"/>
        </w:trPr>
        <w:tc>
          <w:tcPr>
            <w:tcW w:w="556" w:type="dxa"/>
            <w:vMerge/>
          </w:tcPr>
          <w:p w14:paraId="0E6AB85B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2F2F229F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500401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咖啡馆</w:t>
            </w:r>
          </w:p>
        </w:tc>
        <w:tc>
          <w:tcPr>
            <w:tcW w:w="2410" w:type="dxa"/>
          </w:tcPr>
          <w:p w14:paraId="1EB676D4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聚会休闲、小型商务交流</w:t>
            </w:r>
          </w:p>
        </w:tc>
        <w:tc>
          <w:tcPr>
            <w:tcW w:w="4004" w:type="dxa"/>
          </w:tcPr>
          <w:p w14:paraId="58F95C09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0.01-0.02/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  <w:tr w:rsidR="00D35354" w14:paraId="3E3DFB6C" w14:textId="77777777" w:rsidTr="00E97C17">
        <w:trPr>
          <w:trHeight w:val="123"/>
          <w:jc w:val="center"/>
        </w:trPr>
        <w:tc>
          <w:tcPr>
            <w:tcW w:w="556" w:type="dxa"/>
            <w:vMerge/>
          </w:tcPr>
          <w:p w14:paraId="24D117B7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9" w:type="dxa"/>
            <w:vMerge/>
          </w:tcPr>
          <w:p w14:paraId="04878B25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F1BEBD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</w:t>
            </w:r>
            <w:r>
              <w:rPr>
                <w:rFonts w:eastAsia="仿宋"/>
                <w:sz w:val="30"/>
                <w:szCs w:val="30"/>
              </w:rPr>
              <w:t>小时图书室</w:t>
            </w:r>
          </w:p>
        </w:tc>
        <w:tc>
          <w:tcPr>
            <w:tcW w:w="2410" w:type="dxa"/>
          </w:tcPr>
          <w:p w14:paraId="7B2F509E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阅读、思考空间</w:t>
            </w:r>
          </w:p>
        </w:tc>
        <w:tc>
          <w:tcPr>
            <w:tcW w:w="4004" w:type="dxa"/>
          </w:tcPr>
          <w:p w14:paraId="6134B62E" w14:textId="77777777" w:rsidR="00D35354" w:rsidRDefault="00D35354" w:rsidP="00E97C17">
            <w:pPr>
              <w:widowControl/>
              <w:spacing w:line="440" w:lineRule="exact"/>
              <w:jc w:val="lef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0.006-0.01/</w:t>
            </w:r>
            <w:proofErr w:type="gramStart"/>
            <w:r>
              <w:rPr>
                <w:rFonts w:eastAsia="仿宋"/>
                <w:sz w:val="30"/>
                <w:szCs w:val="30"/>
              </w:rPr>
              <w:t>万平方米</w:t>
            </w:r>
            <w:proofErr w:type="gramEnd"/>
            <w:r>
              <w:rPr>
                <w:rFonts w:eastAsia="仿宋"/>
                <w:sz w:val="30"/>
                <w:szCs w:val="30"/>
              </w:rPr>
              <w:t>办公空间</w:t>
            </w:r>
          </w:p>
        </w:tc>
      </w:tr>
    </w:tbl>
    <w:p w14:paraId="6AE3299C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left="132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</w:p>
    <w:p w14:paraId="27C03B89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lastRenderedPageBreak/>
        <w:t>公共空间</w:t>
      </w:r>
    </w:p>
    <w:p w14:paraId="14B8C5F9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注重与科学公园、西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永广场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等城市公共景观的衔接，统筹公园、绿廊、街道、地面首层、立体连廊、地下空间，</w:t>
      </w:r>
      <w:r>
        <w:rPr>
          <w:rFonts w:ascii="Times New Roman" w:eastAsia="方正仿宋_GBK" w:hAnsi="Times New Roman" w:cs="Times New Roman"/>
          <w:spacing w:val="-10"/>
          <w:sz w:val="32"/>
          <w:szCs w:val="32"/>
        </w:rPr>
        <w:t>强化公共空间与公共功能的融合，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打造功能多元、开放共享、层次丰富、充满活力的立体公共空间和景观环境。吸引创新人群集聚，为创新人群提供高品质的共享和交流场所。</w:t>
      </w:r>
    </w:p>
    <w:p w14:paraId="0F8F94B6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建筑风貌</w:t>
      </w:r>
    </w:p>
    <w:p w14:paraId="1248C6E3" w14:textId="77777777" w:rsidR="00D35354" w:rsidRPr="00E97C17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sz w:val="32"/>
          <w:szCs w:val="32"/>
        </w:rPr>
      </w:pPr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以设计精良的现代风格作为</w:t>
      </w:r>
      <w:proofErr w:type="gramStart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科创街</w:t>
      </w:r>
      <w:proofErr w:type="gramEnd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的建筑基调，避免千篇一律，展示创新园区的魅力。高水平设计沿街立面、地标建筑和公共空间，打造特色</w:t>
      </w:r>
      <w:proofErr w:type="gramStart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鲜明可</w:t>
      </w:r>
      <w:proofErr w:type="gramEnd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识别的城市创新片区。重点考虑寨山坪与</w:t>
      </w:r>
      <w:proofErr w:type="gramStart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科创街</w:t>
      </w:r>
      <w:proofErr w:type="gramEnd"/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的视线联系，临山地块注重与山体环境尺度协调，严格控制建筑高度和体量，把握好建筑的尺度感。兼顾建筑个性表达和群体和谐统一。</w:t>
      </w:r>
      <w:r w:rsidRPr="00E97C17">
        <w:rPr>
          <w:rFonts w:ascii="Times New Roman" w:eastAsia="方正仿宋_GBK" w:hAnsi="Times New Roman" w:cs="Times New Roman"/>
          <w:spacing w:val="-10"/>
          <w:sz w:val="32"/>
          <w:szCs w:val="32"/>
        </w:rPr>
        <w:t xml:space="preserve"> </w:t>
      </w:r>
    </w:p>
    <w:p w14:paraId="0D02B1DC" w14:textId="77777777" w:rsidR="00D35354" w:rsidRPr="00E97C17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sz w:val="32"/>
          <w:szCs w:val="32"/>
        </w:rPr>
      </w:pPr>
      <w:r w:rsidRPr="00E97C17">
        <w:rPr>
          <w:rFonts w:ascii="Times New Roman" w:eastAsia="方正仿宋_GBK" w:hAnsi="Times New Roman" w:cs="Times New Roman" w:hint="eastAsia"/>
          <w:spacing w:val="-10"/>
          <w:sz w:val="32"/>
          <w:szCs w:val="32"/>
        </w:rPr>
        <w:t>鼓励屋顶绿化、垂直绿化等多层次绿化空间，进一步软化钢筋混凝土、玻璃幕墙的建筑形象，进一步城绿融合。重要门户空间打造绿色建筑、装配式建筑示范项目。山麓、视线通廊等区域可以采用坡屋顶的形式，起到良好的视线汇集和引导作用。屋顶可以通过退台花园、观景平台、空中连廊等方式，打造富有吸引力的展示面。</w:t>
      </w:r>
    </w:p>
    <w:p w14:paraId="3B6DEBA9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交通系统</w:t>
      </w:r>
    </w:p>
    <w:p w14:paraId="02F688B7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lastRenderedPageBreak/>
        <w:t>从区域层面组织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对内、对外的交通联系。打造以人为本的交通设计。倡导绿色出行、人行优先、人车分流。构建适应创新人群出行需求的绿道体系和慢行系统。</w:t>
      </w:r>
    </w:p>
    <w:p w14:paraId="46E7918C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科创街内部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道路可以结合功能布局进行优化，但是需与周边路网衔接，符合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小街区、密路网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的原则。</w:t>
      </w:r>
    </w:p>
    <w:p w14:paraId="3CC78320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地下空间</w:t>
      </w:r>
    </w:p>
    <w:p w14:paraId="4CFE363F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遵循高效利用城市空间资源，开发与保护相结合的原则，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科创街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地下空间开发利用的功能应与地面开发利用的功能相适应，做到城市地上、地下空间资源统一规划，其形态和功能应相互协调、互为补充。</w:t>
      </w:r>
    </w:p>
    <w:p w14:paraId="4F73DDA3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结合该地区轨道站点的建设形成城市地下空间系统，做到地下空间利用平面分区、竖向分层。形成由轨道交通、地下换乘中心以及各类地下开发建设体所组成的地上地下紧密结合、功能合理、系统高效的地下空间综合利用体系。</w:t>
      </w:r>
    </w:p>
    <w:p w14:paraId="2B0A8C62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地下空间开发利用以浅层（地下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0-20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米）为主，地下开发规模结合地上规模统筹考虑，一般规律为地上建筑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地下建筑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=2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1~3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。</w:t>
      </w:r>
    </w:p>
    <w:p w14:paraId="4EB86118" w14:textId="77777777" w:rsidR="00D35354" w:rsidRDefault="00D35354" w:rsidP="00D35354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kern w:val="2"/>
          <w:sz w:val="32"/>
          <w:szCs w:val="32"/>
        </w:rPr>
        <w:t>开发时序</w:t>
      </w:r>
    </w:p>
    <w:p w14:paraId="1271B93A" w14:textId="77777777" w:rsidR="00D35354" w:rsidRDefault="00D35354" w:rsidP="00D35354">
      <w:pPr>
        <w:pStyle w:val="a3"/>
        <w:shd w:val="clear" w:color="auto" w:fill="FFFFFF"/>
        <w:spacing w:before="0" w:beforeAutospacing="0" w:after="225" w:afterAutospacing="0"/>
        <w:ind w:firstLineChars="200" w:firstLine="600"/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lastRenderedPageBreak/>
        <w:t>综合考虑城市经济发展、土地价值、发展战略、发展预期、业态构成、形象定位等因素，提</w:t>
      </w:r>
      <w:proofErr w:type="gramStart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出科创街开发</w:t>
      </w:r>
      <w:proofErr w:type="gramEnd"/>
      <w:r>
        <w:rPr>
          <w:rFonts w:ascii="Times New Roman" w:eastAsia="方正仿宋_GBK" w:hAnsi="Times New Roman" w:cs="Times New Roman"/>
          <w:spacing w:val="-10"/>
          <w:kern w:val="2"/>
          <w:sz w:val="32"/>
          <w:szCs w:val="32"/>
        </w:rPr>
        <w:t>时序建议，明确分期建设的范围和建筑规模。</w:t>
      </w:r>
    </w:p>
    <w:p w14:paraId="5ADEA574" w14:textId="77777777" w:rsidR="00F5775C" w:rsidRPr="00D35354" w:rsidRDefault="00D35354"/>
    <w:sectPr w:rsidR="00F5775C" w:rsidRPr="00D35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476"/>
    <w:multiLevelType w:val="multilevel"/>
    <w:tmpl w:val="1A1A047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40C45"/>
    <w:multiLevelType w:val="multilevel"/>
    <w:tmpl w:val="49440C45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760D3245"/>
    <w:multiLevelType w:val="multilevel"/>
    <w:tmpl w:val="760D3245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54"/>
    <w:rsid w:val="004F292D"/>
    <w:rsid w:val="005224C4"/>
    <w:rsid w:val="00D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E115"/>
  <w15:chartTrackingRefBased/>
  <w15:docId w15:val="{1AA0E1C3-198D-4895-B7F8-D2516E9D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3535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D3535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yuan yang</cp:lastModifiedBy>
  <cp:revision>1</cp:revision>
  <dcterms:created xsi:type="dcterms:W3CDTF">2021-04-20T13:30:00Z</dcterms:created>
  <dcterms:modified xsi:type="dcterms:W3CDTF">2021-04-20T13:31:00Z</dcterms:modified>
</cp:coreProperties>
</file>