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rFonts w:ascii="仿宋_GB2312" w:eastAsia="仿宋_GB2312"/>
          <w:b/>
          <w:sz w:val="52"/>
          <w:szCs w:val="52"/>
        </w:rPr>
      </w:pPr>
      <w:r>
        <w:rPr>
          <w:rFonts w:hint="eastAsia"/>
          <w:b/>
          <w:sz w:val="52"/>
          <w:szCs w:val="52"/>
        </w:rPr>
        <w:t xml:space="preserve"> </w:t>
      </w:r>
      <w:r>
        <w:rPr>
          <w:rFonts w:hint="eastAsia"/>
          <w:b/>
          <w:sz w:val="52"/>
          <w:szCs w:val="52"/>
          <w:lang w:eastAsia="zh-CN"/>
        </w:rPr>
        <w:t>湖北省烟草公司潜江市公司信息安全咨询服务采购项目</w:t>
      </w: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黑体" w:eastAsia="黑体"/>
          <w:sz w:val="72"/>
          <w:szCs w:val="72"/>
        </w:rPr>
      </w:pPr>
      <w:r>
        <w:rPr>
          <w:rFonts w:hint="eastAsia" w:ascii="黑体" w:eastAsia="黑体"/>
          <w:sz w:val="72"/>
          <w:szCs w:val="72"/>
        </w:rPr>
        <w:t>招 标 文 件</w:t>
      </w:r>
    </w:p>
    <w:p>
      <w:pPr>
        <w:jc w:val="center"/>
        <w:rPr>
          <w:rFonts w:ascii="黑体" w:eastAsia="黑体"/>
          <w:szCs w:val="21"/>
        </w:rPr>
      </w:pPr>
    </w:p>
    <w:p>
      <w:pPr>
        <w:jc w:val="center"/>
        <w:rPr>
          <w:rFonts w:hint="default" w:ascii="宋体" w:hAnsi="宋体"/>
          <w:b/>
          <w:sz w:val="32"/>
          <w:szCs w:val="32"/>
          <w:lang w:val="en-US"/>
        </w:rPr>
      </w:pPr>
      <w:r>
        <w:rPr>
          <w:rFonts w:hint="eastAsia" w:ascii="宋体" w:hAnsi="宋体"/>
          <w:b/>
          <w:sz w:val="32"/>
          <w:szCs w:val="32"/>
        </w:rPr>
        <w:t>QJHK-</w:t>
      </w:r>
      <w:r>
        <w:rPr>
          <w:rFonts w:hint="eastAsia" w:ascii="宋体" w:hAnsi="宋体"/>
          <w:b/>
          <w:sz w:val="32"/>
          <w:szCs w:val="32"/>
          <w:lang w:eastAsia="zh-CN"/>
        </w:rPr>
        <w:t>2019</w:t>
      </w:r>
      <w:r>
        <w:rPr>
          <w:rFonts w:hint="eastAsia" w:ascii="宋体" w:hAnsi="宋体"/>
          <w:b/>
          <w:sz w:val="32"/>
          <w:szCs w:val="32"/>
        </w:rPr>
        <w:t>-</w:t>
      </w:r>
      <w:r>
        <w:rPr>
          <w:rFonts w:hint="eastAsia" w:ascii="宋体" w:hAnsi="宋体"/>
          <w:b/>
          <w:sz w:val="32"/>
          <w:szCs w:val="32"/>
          <w:lang w:val="en-US" w:eastAsia="zh-CN"/>
        </w:rPr>
        <w:t>016</w:t>
      </w:r>
    </w:p>
    <w:p>
      <w:pP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仿宋_GB2312" w:eastAsia="仿宋_GB2312"/>
          <w:sz w:val="32"/>
          <w:szCs w:val="32"/>
        </w:rPr>
      </w:pPr>
      <w:r>
        <w:rPr>
          <w:rFonts w:hint="eastAsia" w:ascii="仿宋_GB2312" w:eastAsia="仿宋_GB2312"/>
          <w:sz w:val="32"/>
          <w:szCs w:val="32"/>
        </w:rPr>
        <w:t>招标人或招标代理机构：</w:t>
      </w:r>
      <w:r>
        <w:rPr>
          <w:rFonts w:hint="eastAsia" w:ascii="仿宋_GB2312" w:eastAsia="仿宋_GB2312"/>
          <w:sz w:val="32"/>
          <w:szCs w:val="32"/>
          <w:u w:val="single"/>
        </w:rPr>
        <w:t xml:space="preserve">                 </w:t>
      </w:r>
      <w:r>
        <w:rPr>
          <w:rFonts w:hint="eastAsia" w:ascii="仿宋_GB2312" w:eastAsia="仿宋_GB2312"/>
          <w:sz w:val="32"/>
          <w:szCs w:val="32"/>
        </w:rPr>
        <w:t xml:space="preserve"> （盖单位章）</w:t>
      </w:r>
    </w:p>
    <w:p>
      <w:pPr>
        <w:jc w:val="center"/>
        <w:rPr>
          <w:rFonts w:ascii="仿宋_GB2312" w:eastAsia="仿宋_GB2312"/>
          <w:sz w:val="32"/>
          <w:szCs w:val="32"/>
        </w:rPr>
      </w:pPr>
    </w:p>
    <w:p>
      <w:pPr>
        <w:jc w:val="center"/>
      </w:pPr>
      <w:r>
        <w:rPr>
          <w:rFonts w:hint="eastAsia" w:ascii="仿宋_GB2312" w:eastAsia="仿宋_GB2312"/>
          <w:sz w:val="32"/>
          <w:szCs w:val="32"/>
          <w:lang w:eastAsia="zh-CN"/>
        </w:rPr>
        <w:t>2019</w:t>
      </w:r>
      <w:r>
        <w:rPr>
          <w:rFonts w:hint="eastAsia" w:ascii="仿宋_GB2312" w:eastAsia="仿宋_GB2312"/>
          <w:sz w:val="32"/>
          <w:szCs w:val="32"/>
        </w:rPr>
        <w:t>年</w:t>
      </w:r>
      <w:r>
        <w:rPr>
          <w:rFonts w:hint="eastAsia" w:ascii="仿宋_GB2312" w:eastAsia="仿宋_GB2312"/>
          <w:sz w:val="32"/>
          <w:szCs w:val="32"/>
          <w:lang w:val="en-US" w:eastAsia="zh-CN"/>
        </w:rPr>
        <w:t>07月05日</w:t>
      </w:r>
    </w:p>
    <w:p>
      <w:pPr>
        <w:widowControl/>
        <w:spacing w:line="360" w:lineRule="auto"/>
        <w:jc w:val="center"/>
        <w:outlineLvl w:val="0"/>
        <w:rPr>
          <w:rFonts w:hint="eastAsia" w:ascii="楷体_GB2312" w:hAnsi="宋体" w:eastAsia="楷体_GB2312"/>
          <w:b/>
          <w:color w:val="000000"/>
          <w:sz w:val="32"/>
        </w:rPr>
      </w:pPr>
    </w:p>
    <w:p>
      <w:pPr>
        <w:widowControl/>
        <w:spacing w:line="360" w:lineRule="auto"/>
        <w:jc w:val="center"/>
        <w:outlineLvl w:val="0"/>
        <w:rPr>
          <w:rFonts w:ascii="宋体" w:hAnsi="宋体" w:cs="宋体"/>
          <w:b/>
          <w:bCs/>
          <w:color w:val="000000"/>
          <w:kern w:val="36"/>
          <w:sz w:val="32"/>
          <w:szCs w:val="32"/>
        </w:rPr>
      </w:pPr>
      <w:r>
        <w:rPr>
          <w:rFonts w:hint="eastAsia" w:ascii="楷体_GB2312" w:hAnsi="宋体" w:eastAsia="楷体_GB2312"/>
          <w:b/>
          <w:color w:val="000000"/>
          <w:sz w:val="32"/>
        </w:rPr>
        <w:t>招标文件审查确认表</w:t>
      </w:r>
    </w:p>
    <w:tbl>
      <w:tblPr>
        <w:tblStyle w:val="14"/>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1" w:hRule="atLeast"/>
          <w:jc w:val="center"/>
        </w:trPr>
        <w:tc>
          <w:tcPr>
            <w:tcW w:w="9160" w:type="dxa"/>
            <w:vAlign w:val="top"/>
          </w:tcPr>
          <w:p>
            <w:pPr>
              <w:adjustRightInd w:val="0"/>
              <w:snapToGrid w:val="0"/>
              <w:spacing w:line="360" w:lineRule="auto"/>
              <w:rPr>
                <w:rFonts w:ascii="宋体" w:hAnsi="宋体"/>
                <w:b/>
                <w:color w:val="000000"/>
                <w:sz w:val="18"/>
                <w:szCs w:val="18"/>
              </w:rPr>
            </w:pPr>
          </w:p>
          <w:p>
            <w:pPr>
              <w:adjustRightInd w:val="0"/>
              <w:snapToGrid w:val="0"/>
              <w:spacing w:line="360" w:lineRule="auto"/>
              <w:rPr>
                <w:rFonts w:ascii="楷体_GB2312" w:hAnsi="宋体" w:eastAsia="楷体_GB2312" w:cs="宋体"/>
                <w:b/>
                <w:color w:val="000000"/>
                <w:sz w:val="24"/>
              </w:rPr>
            </w:pPr>
            <w:r>
              <w:rPr>
                <w:rFonts w:hint="eastAsia" w:ascii="楷体_GB2312" w:hAnsi="宋体" w:eastAsia="楷体_GB2312" w:cs="宋体"/>
                <w:color w:val="000000"/>
                <w:sz w:val="24"/>
                <w:lang w:eastAsia="zh-CN"/>
              </w:rPr>
              <w:t>湖北省烟草公司潜江市公司</w:t>
            </w:r>
            <w:r>
              <w:rPr>
                <w:rFonts w:hint="eastAsia" w:ascii="楷体_GB2312" w:hAnsi="宋体" w:eastAsia="楷体_GB2312" w:cs="宋体"/>
                <w:b/>
                <w:color w:val="000000"/>
                <w:sz w:val="24"/>
              </w:rPr>
              <w:t>：</w:t>
            </w:r>
          </w:p>
          <w:p>
            <w:pPr>
              <w:adjustRightInd w:val="0"/>
              <w:snapToGrid w:val="0"/>
              <w:spacing w:line="360" w:lineRule="auto"/>
              <w:rPr>
                <w:rFonts w:ascii="楷体_GB2312" w:hAnsi="宋体" w:eastAsia="楷体_GB2312" w:cs="宋体"/>
                <w:b/>
                <w:color w:val="000000"/>
                <w:sz w:val="24"/>
              </w:rPr>
            </w:pPr>
          </w:p>
          <w:p>
            <w:pPr>
              <w:widowControl/>
              <w:spacing w:line="360" w:lineRule="auto"/>
              <w:ind w:firstLine="470" w:firstLineChars="196"/>
              <w:rPr>
                <w:b/>
                <w:sz w:val="36"/>
                <w:szCs w:val="36"/>
              </w:rPr>
            </w:pPr>
            <w:r>
              <w:rPr>
                <w:rFonts w:hint="eastAsia" w:ascii="楷体_GB2312" w:hAnsi="宋体" w:eastAsia="楷体_GB2312" w:cs="宋体"/>
                <w:color w:val="000000"/>
                <w:sz w:val="24"/>
              </w:rPr>
              <w:t xml:space="preserve">受贵单位的委托，由我单位承担《 </w:t>
            </w:r>
            <w:r>
              <w:rPr>
                <w:rFonts w:hint="eastAsia" w:ascii="楷体_GB2312" w:hAnsi="宋体" w:eastAsia="楷体_GB2312" w:cs="宋体"/>
                <w:color w:val="000000"/>
                <w:sz w:val="24"/>
                <w:lang w:eastAsia="zh-CN"/>
              </w:rPr>
              <w:t>湖北省烟草公司潜江市公司信息安全咨询服务采购项目</w:t>
            </w:r>
            <w:r>
              <w:rPr>
                <w:rFonts w:hint="eastAsia" w:ascii="楷体_GB2312" w:hAnsi="宋体" w:eastAsia="楷体_GB2312" w:cs="宋体"/>
                <w:color w:val="000000"/>
                <w:sz w:val="24"/>
              </w:rPr>
              <w:t>》招标代理工作。现根据贵</w:t>
            </w:r>
            <w:r>
              <w:rPr>
                <w:rFonts w:hint="eastAsia" w:ascii="楷体_GB2312" w:hAnsi="宋体" w:eastAsia="楷体_GB2312" w:cs="宋体"/>
                <w:color w:val="000000"/>
                <w:sz w:val="24"/>
                <w:lang w:eastAsia="zh-CN"/>
              </w:rPr>
              <w:t>单位</w:t>
            </w:r>
            <w:r>
              <w:rPr>
                <w:rFonts w:hint="eastAsia" w:ascii="楷体_GB2312" w:hAnsi="宋体" w:eastAsia="楷体_GB2312" w:cs="宋体"/>
                <w:color w:val="000000"/>
                <w:sz w:val="24"/>
              </w:rPr>
              <w:t>提供的资料，我单位已完成该项目的招标文件编制，请予以核准确认。</w:t>
            </w:r>
          </w:p>
          <w:p>
            <w:pPr>
              <w:snapToGrid w:val="0"/>
              <w:spacing w:line="360" w:lineRule="auto"/>
              <w:ind w:firstLine="3240" w:firstLineChars="1350"/>
              <w:rPr>
                <w:rFonts w:ascii="楷体_GB2312" w:hAnsi="宋体" w:eastAsia="楷体_GB2312" w:cs="宋体"/>
                <w:color w:val="000000"/>
                <w:sz w:val="24"/>
              </w:rPr>
            </w:pPr>
          </w:p>
          <w:p>
            <w:pPr>
              <w:snapToGrid w:val="0"/>
              <w:spacing w:line="360" w:lineRule="auto"/>
              <w:ind w:firstLine="3240" w:firstLineChars="1350"/>
              <w:rPr>
                <w:rFonts w:ascii="楷体_GB2312" w:hAnsi="宋体" w:eastAsia="楷体_GB2312" w:cs="宋体"/>
                <w:color w:val="000000"/>
                <w:sz w:val="24"/>
              </w:rPr>
            </w:pPr>
          </w:p>
          <w:p>
            <w:pPr>
              <w:snapToGrid w:val="0"/>
              <w:spacing w:line="360" w:lineRule="auto"/>
              <w:ind w:firstLine="3240" w:firstLineChars="1350"/>
              <w:rPr>
                <w:rFonts w:ascii="楷体_GB2312" w:hAnsi="宋体" w:eastAsia="楷体_GB2312" w:cs="宋体"/>
                <w:color w:val="000000"/>
                <w:sz w:val="24"/>
              </w:rPr>
            </w:pPr>
          </w:p>
          <w:p>
            <w:pPr>
              <w:snapToGrid w:val="0"/>
              <w:spacing w:line="360" w:lineRule="auto"/>
              <w:ind w:firstLine="3240" w:firstLineChars="1350"/>
              <w:rPr>
                <w:rFonts w:hint="eastAsia" w:ascii="楷体_GB2312" w:hAnsi="宋体" w:eastAsia="楷体_GB2312" w:cs="宋体"/>
                <w:color w:val="000000"/>
                <w:sz w:val="24"/>
              </w:rPr>
            </w:pPr>
            <w:r>
              <w:rPr>
                <w:rFonts w:hint="eastAsia" w:ascii="楷体_GB2312" w:hAnsi="宋体" w:eastAsia="楷体_GB2312" w:cs="宋体"/>
                <w:color w:val="000000"/>
                <w:sz w:val="24"/>
                <w:lang w:val="en-US" w:eastAsia="zh-CN"/>
              </w:rPr>
              <w:t xml:space="preserve">             </w:t>
            </w:r>
            <w:r>
              <w:rPr>
                <w:rFonts w:hint="eastAsia" w:ascii="楷体_GB2312" w:hAnsi="宋体" w:eastAsia="楷体_GB2312" w:cs="宋体"/>
                <w:color w:val="000000"/>
                <w:sz w:val="24"/>
              </w:rPr>
              <w:t>招标代理机构：</w:t>
            </w:r>
          </w:p>
          <w:p>
            <w:pPr>
              <w:snapToGrid w:val="0"/>
              <w:spacing w:line="360" w:lineRule="auto"/>
              <w:ind w:firstLine="3240" w:firstLineChars="1350"/>
              <w:rPr>
                <w:rFonts w:hint="eastAsia" w:ascii="楷体_GB2312" w:hAnsi="宋体" w:eastAsia="楷体_GB2312"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0" w:hRule="atLeast"/>
          <w:jc w:val="center"/>
        </w:trPr>
        <w:tc>
          <w:tcPr>
            <w:tcW w:w="9160" w:type="dxa"/>
            <w:vAlign w:val="top"/>
          </w:tcPr>
          <w:p>
            <w:pPr>
              <w:adjustRightInd w:val="0"/>
              <w:snapToGrid w:val="0"/>
              <w:spacing w:line="360" w:lineRule="auto"/>
              <w:rPr>
                <w:rFonts w:ascii="楷体_GB2312" w:hAnsi="宋体" w:eastAsia="楷体_GB2312"/>
                <w:b/>
                <w:color w:val="000000"/>
                <w:szCs w:val="28"/>
              </w:rPr>
            </w:pPr>
          </w:p>
          <w:p>
            <w:pPr>
              <w:adjustRightInd w:val="0"/>
              <w:snapToGrid w:val="0"/>
              <w:spacing w:line="360" w:lineRule="auto"/>
              <w:rPr>
                <w:rFonts w:ascii="楷体_GB2312" w:hAnsi="宋体" w:eastAsia="楷体_GB2312"/>
                <w:color w:val="000000"/>
                <w:sz w:val="24"/>
              </w:rPr>
            </w:pPr>
            <w:r>
              <w:rPr>
                <w:rFonts w:hint="eastAsia" w:ascii="楷体_GB2312" w:hAnsi="宋体" w:eastAsia="楷体_GB2312"/>
                <w:b/>
                <w:color w:val="000000"/>
                <w:sz w:val="24"/>
              </w:rPr>
              <w:t>项目名称：</w:t>
            </w:r>
            <w:r>
              <w:rPr>
                <w:rFonts w:hint="eastAsia" w:ascii="楷体_GB2312" w:hAnsi="宋体" w:eastAsia="楷体_GB2312" w:cs="宋体"/>
                <w:color w:val="000000"/>
                <w:sz w:val="24"/>
              </w:rPr>
              <w:t xml:space="preserve"> </w:t>
            </w:r>
            <w:r>
              <w:rPr>
                <w:rFonts w:hint="eastAsia" w:ascii="楷体_GB2312" w:hAnsi="宋体" w:eastAsia="楷体_GB2312" w:cs="宋体"/>
                <w:color w:val="000000"/>
                <w:sz w:val="24"/>
                <w:lang w:eastAsia="zh-CN"/>
              </w:rPr>
              <w:t>湖北省烟草公司潜江市公司信息安全咨询服务采购项目</w:t>
            </w:r>
          </w:p>
          <w:p>
            <w:pPr>
              <w:spacing w:line="360" w:lineRule="auto"/>
              <w:rPr>
                <w:rFonts w:ascii="楷体_GB2312" w:hAnsi="宋体" w:eastAsia="楷体_GB2312"/>
                <w:b/>
                <w:color w:val="000000"/>
                <w:sz w:val="30"/>
              </w:rPr>
            </w:pPr>
          </w:p>
          <w:p>
            <w:pPr>
              <w:spacing w:line="360" w:lineRule="auto"/>
              <w:rPr>
                <w:rFonts w:ascii="楷体_GB2312" w:hAnsi="宋体" w:eastAsia="楷体_GB2312"/>
                <w:b/>
                <w:color w:val="000000"/>
                <w:sz w:val="30"/>
              </w:rPr>
            </w:pPr>
            <w:r>
              <w:rPr>
                <w:rFonts w:hint="eastAsia" w:ascii="楷体_GB2312" w:hAnsi="宋体" w:eastAsia="楷体_GB2312"/>
                <w:b/>
                <w:color w:val="000000"/>
                <w:sz w:val="30"/>
              </w:rPr>
              <w:t>招标人审查意见：</w:t>
            </w:r>
          </w:p>
          <w:p>
            <w:pPr>
              <w:spacing w:line="360" w:lineRule="auto"/>
              <w:rPr>
                <w:rFonts w:ascii="楷体_GB2312" w:hAnsi="宋体" w:eastAsia="楷体_GB2312"/>
                <w:color w:val="000000"/>
                <w:sz w:val="32"/>
              </w:rPr>
            </w:pPr>
          </w:p>
          <w:p>
            <w:pPr>
              <w:spacing w:line="360" w:lineRule="auto"/>
              <w:jc w:val="center"/>
              <w:rPr>
                <w:rFonts w:ascii="楷体_GB2312" w:hAnsi="宋体" w:eastAsia="楷体_GB2312"/>
                <w:color w:val="000000"/>
                <w:sz w:val="30"/>
              </w:rPr>
            </w:pPr>
            <w:r>
              <w:rPr>
                <w:rFonts w:hint="eastAsia" w:ascii="楷体_GB2312" w:hAnsi="宋体" w:eastAsia="楷体_GB2312"/>
                <w:color w:val="000000"/>
                <w:sz w:val="30"/>
              </w:rPr>
              <w:t>招标人：（盖章）：</w:t>
            </w:r>
          </w:p>
          <w:p>
            <w:pPr>
              <w:spacing w:line="360" w:lineRule="auto"/>
              <w:jc w:val="center"/>
              <w:rPr>
                <w:rFonts w:ascii="楷体_GB2312" w:hAnsi="宋体" w:eastAsia="楷体_GB2312"/>
                <w:color w:val="000000"/>
                <w:sz w:val="30"/>
              </w:rPr>
            </w:pPr>
          </w:p>
          <w:p>
            <w:pPr>
              <w:spacing w:line="360" w:lineRule="auto"/>
              <w:jc w:val="left"/>
              <w:rPr>
                <w:rFonts w:ascii="楷体_GB2312" w:hAnsi="宋体" w:eastAsia="楷体_GB2312"/>
                <w:color w:val="000000"/>
                <w:sz w:val="30"/>
              </w:rPr>
            </w:pPr>
          </w:p>
          <w:p>
            <w:pPr>
              <w:spacing w:line="360" w:lineRule="auto"/>
              <w:jc w:val="left"/>
              <w:rPr>
                <w:rFonts w:ascii="楷体_GB2312" w:hAnsi="宋体" w:eastAsia="楷体_GB2312"/>
                <w:color w:val="000000"/>
                <w:sz w:val="30"/>
              </w:rPr>
            </w:pPr>
            <w:r>
              <w:rPr>
                <w:rFonts w:hint="eastAsia" w:ascii="楷体_GB2312" w:hAnsi="宋体" w:eastAsia="楷体_GB2312"/>
                <w:color w:val="000000"/>
                <w:sz w:val="30"/>
              </w:rPr>
              <w:t>负责人：</w:t>
            </w:r>
          </w:p>
          <w:p>
            <w:pPr>
              <w:spacing w:line="360" w:lineRule="auto"/>
              <w:jc w:val="right"/>
              <w:rPr>
                <w:rFonts w:ascii="楷体_GB2312" w:hAnsi="宋体" w:eastAsia="楷体_GB2312"/>
                <w:color w:val="000000"/>
                <w:spacing w:val="60"/>
                <w:kern w:val="24"/>
                <w:sz w:val="30"/>
              </w:rPr>
            </w:pPr>
          </w:p>
          <w:p>
            <w:pPr>
              <w:spacing w:line="360" w:lineRule="auto"/>
              <w:jc w:val="right"/>
              <w:rPr>
                <w:rFonts w:ascii="楷体_GB2312" w:hAnsi="宋体" w:eastAsia="楷体_GB2312"/>
                <w:color w:val="000000"/>
                <w:spacing w:val="60"/>
                <w:kern w:val="24"/>
                <w:sz w:val="32"/>
              </w:rPr>
            </w:pPr>
            <w:r>
              <w:rPr>
                <w:rFonts w:hint="eastAsia" w:ascii="楷体_GB2312" w:hAnsi="宋体" w:eastAsia="楷体_GB2312"/>
                <w:color w:val="000000"/>
                <w:spacing w:val="60"/>
                <w:kern w:val="24"/>
                <w:sz w:val="30"/>
              </w:rPr>
              <w:t>年 月 日</w:t>
            </w:r>
          </w:p>
        </w:tc>
      </w:tr>
    </w:tbl>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jc w:val="center"/>
        <w:rPr>
          <w:rFonts w:ascii="宋体" w:hAnsi="宋体"/>
          <w:b/>
          <w:sz w:val="28"/>
          <w:szCs w:val="28"/>
        </w:rPr>
      </w:pPr>
      <w:r>
        <w:rPr>
          <w:rFonts w:hint="eastAsia" w:ascii="宋体" w:hAnsi="宋体"/>
          <w:b/>
          <w:sz w:val="28"/>
          <w:szCs w:val="28"/>
        </w:rPr>
        <w:t>第一章  招标公告</w:t>
      </w:r>
    </w:p>
    <w:p>
      <w:pPr>
        <w:spacing w:line="360" w:lineRule="auto"/>
        <w:ind w:firstLine="480" w:firstLineChars="200"/>
        <w:rPr>
          <w:sz w:val="24"/>
        </w:rPr>
      </w:pPr>
      <w:r>
        <w:rPr>
          <w:rFonts w:hint="eastAsia" w:ascii="宋体" w:hAnsi="宋体"/>
          <w:bCs/>
          <w:color w:val="000000"/>
          <w:kern w:val="0"/>
          <w:sz w:val="24"/>
        </w:rPr>
        <w:t>根据《中华人民共和国招标投标法》以及有关法律法规，遵循公开、公平、公正和诚实信用的原则，潜江市华康建设工程招标代理有限责任公司受</w:t>
      </w:r>
      <w:r>
        <w:rPr>
          <w:rFonts w:hint="eastAsia" w:ascii="宋体" w:hAnsi="宋体"/>
          <w:color w:val="000000"/>
          <w:kern w:val="0"/>
          <w:sz w:val="24"/>
          <w:u w:val="single"/>
        </w:rPr>
        <w:t>湖北省烟草公司潜江市公司</w:t>
      </w:r>
      <w:r>
        <w:rPr>
          <w:rFonts w:hint="eastAsia" w:ascii="宋体" w:hAnsi="宋体"/>
          <w:color w:val="000000"/>
          <w:kern w:val="0"/>
          <w:sz w:val="24"/>
        </w:rPr>
        <w:t>的委托，就该项目进行招标，欢迎符合条件的投标人参加投标。</w:t>
      </w:r>
    </w:p>
    <w:p>
      <w:pPr>
        <w:spacing w:line="360" w:lineRule="auto"/>
        <w:ind w:firstLine="480" w:firstLineChars="200"/>
        <w:rPr>
          <w:sz w:val="24"/>
          <w:u w:val="single"/>
        </w:rPr>
      </w:pPr>
      <w:r>
        <w:rPr>
          <w:rFonts w:hint="eastAsia"/>
          <w:b/>
          <w:sz w:val="24"/>
        </w:rPr>
        <w:t>一、采购项目名称</w:t>
      </w:r>
      <w:r>
        <w:rPr>
          <w:rFonts w:hint="eastAsia"/>
          <w:sz w:val="24"/>
        </w:rPr>
        <w:t>：</w:t>
      </w:r>
      <w:bookmarkStart w:id="0" w:name="_Toc184635054"/>
      <w:r>
        <w:rPr>
          <w:rFonts w:hint="eastAsia"/>
          <w:sz w:val="24"/>
          <w:u w:val="single"/>
        </w:rPr>
        <w:t xml:space="preserve"> </w:t>
      </w:r>
      <w:r>
        <w:rPr>
          <w:rFonts w:hint="eastAsia"/>
          <w:sz w:val="24"/>
          <w:u w:val="single"/>
          <w:lang w:eastAsia="zh-CN"/>
        </w:rPr>
        <w:t>湖北省烟草公司潜江市公司信息安全咨询服务采购项目</w:t>
      </w:r>
    </w:p>
    <w:p>
      <w:pPr>
        <w:spacing w:line="360" w:lineRule="auto"/>
        <w:ind w:firstLine="480" w:firstLineChars="200"/>
        <w:rPr>
          <w:b/>
          <w:sz w:val="24"/>
        </w:rPr>
      </w:pPr>
      <w:r>
        <w:rPr>
          <w:rFonts w:hint="eastAsia"/>
          <w:b/>
          <w:sz w:val="24"/>
        </w:rPr>
        <w:t>二、项目概况与招标范围</w:t>
      </w:r>
      <w:bookmarkEnd w:id="0"/>
    </w:p>
    <w:p>
      <w:pPr>
        <w:widowControl/>
        <w:spacing w:line="360" w:lineRule="auto"/>
        <w:ind w:firstLine="480" w:firstLineChars="200"/>
        <w:rPr>
          <w:rFonts w:hint="eastAsia" w:ascii="宋体" w:hAnsi="宋体"/>
          <w:color w:val="000000"/>
          <w:sz w:val="24"/>
        </w:rPr>
      </w:pPr>
      <w:r>
        <w:rPr>
          <w:rFonts w:hint="eastAsia" w:ascii="宋体" w:hAnsi="宋体"/>
          <w:color w:val="000000"/>
          <w:sz w:val="24"/>
        </w:rPr>
        <w:t>项目概况：本项目</w:t>
      </w:r>
      <w:r>
        <w:rPr>
          <w:rFonts w:hint="eastAsia" w:ascii="宋体" w:hAnsi="宋体"/>
          <w:color w:val="000000"/>
          <w:sz w:val="24"/>
          <w:lang w:eastAsia="zh-CN"/>
        </w:rPr>
        <w:t>采购</w:t>
      </w:r>
      <w:r>
        <w:rPr>
          <w:rFonts w:hint="eastAsia" w:ascii="宋体" w:hAnsi="宋体"/>
          <w:color w:val="000000"/>
          <w:sz w:val="24"/>
        </w:rPr>
        <w:t>约为人民币</w:t>
      </w:r>
      <w:r>
        <w:rPr>
          <w:rFonts w:hint="eastAsia" w:ascii="宋体" w:hAnsi="宋体"/>
          <w:color w:val="000000"/>
          <w:sz w:val="24"/>
          <w:lang w:val="en-US" w:eastAsia="zh-CN"/>
        </w:rPr>
        <w:t>19</w:t>
      </w:r>
      <w:r>
        <w:rPr>
          <w:rFonts w:hint="eastAsia" w:ascii="宋体" w:hAnsi="宋体"/>
          <w:color w:val="000000"/>
          <w:sz w:val="24"/>
        </w:rPr>
        <w:t>万元，。</w:t>
      </w:r>
    </w:p>
    <w:p>
      <w:pPr>
        <w:widowControl/>
        <w:spacing w:line="360" w:lineRule="auto"/>
        <w:ind w:firstLine="480" w:firstLineChars="200"/>
        <w:rPr>
          <w:rFonts w:hint="eastAsia" w:ascii="宋体" w:hAnsi="宋体"/>
          <w:color w:val="000000"/>
          <w:sz w:val="24"/>
        </w:rPr>
      </w:pPr>
      <w:r>
        <w:rPr>
          <w:rFonts w:hint="eastAsia" w:ascii="宋体" w:hAnsi="宋体"/>
          <w:color w:val="000000"/>
          <w:sz w:val="24"/>
        </w:rPr>
        <w:t>本项目具体采购清单及规格参数要求见招标文件第三章－采购项目清单及有关商务要求。</w:t>
      </w:r>
    </w:p>
    <w:p>
      <w:pPr>
        <w:spacing w:line="360" w:lineRule="auto"/>
        <w:ind w:firstLine="480" w:firstLineChars="200"/>
        <w:rPr>
          <w:b/>
          <w:sz w:val="24"/>
        </w:rPr>
      </w:pPr>
      <w:r>
        <w:rPr>
          <w:rFonts w:hint="eastAsia"/>
          <w:b/>
          <w:sz w:val="24"/>
        </w:rPr>
        <w:t xml:space="preserve">三、供应商条件： </w:t>
      </w:r>
    </w:p>
    <w:p>
      <w:pPr>
        <w:widowControl/>
        <w:spacing w:line="360" w:lineRule="auto"/>
        <w:rPr>
          <w:rFonts w:hint="eastAsia" w:ascii="宋体" w:hAnsi="宋体"/>
          <w:color w:val="000000"/>
          <w:sz w:val="24"/>
        </w:rPr>
      </w:pPr>
      <w:r>
        <w:rPr>
          <w:rFonts w:hint="eastAsia" w:ascii="宋体" w:hAnsi="宋体"/>
          <w:sz w:val="24"/>
          <w:lang w:val="en-US" w:eastAsia="zh-CN"/>
        </w:rPr>
        <w:t xml:space="preserve">    1</w:t>
      </w:r>
      <w:r>
        <w:rPr>
          <w:rFonts w:hint="eastAsia" w:ascii="宋体" w:hAnsi="宋体"/>
          <w:sz w:val="24"/>
        </w:rPr>
        <w:t>、</w:t>
      </w:r>
      <w:r>
        <w:rPr>
          <w:rFonts w:hint="eastAsia" w:ascii="宋体" w:hAnsi="宋体"/>
          <w:color w:val="000000"/>
          <w:sz w:val="24"/>
        </w:rPr>
        <w:t>投标人必须是在中国境内依法注册的法人、其他组织或者自然人</w:t>
      </w:r>
      <w:r>
        <w:rPr>
          <w:rFonts w:hint="eastAsia" w:ascii="宋体" w:hAnsi="宋体"/>
          <w:color w:val="000000"/>
          <w:sz w:val="24"/>
          <w:lang w:eastAsia="zh-CN"/>
        </w:rPr>
        <w:t>，依法成立五年（含）以上</w:t>
      </w:r>
      <w:r>
        <w:rPr>
          <w:rFonts w:hint="eastAsia" w:ascii="宋体" w:hAnsi="宋体"/>
          <w:color w:val="000000"/>
          <w:sz w:val="24"/>
        </w:rPr>
        <w:t>；</w:t>
      </w:r>
    </w:p>
    <w:p>
      <w:pPr>
        <w:widowControl/>
        <w:spacing w:line="360" w:lineRule="auto"/>
        <w:ind w:firstLine="482"/>
        <w:rPr>
          <w:rFonts w:ascii="宋体" w:hAnsi="宋体"/>
          <w:kern w:val="0"/>
          <w:sz w:val="24"/>
        </w:rPr>
      </w:pPr>
      <w:r>
        <w:rPr>
          <w:rFonts w:hint="eastAsia" w:ascii="宋体" w:hAnsi="宋体"/>
          <w:kern w:val="0"/>
          <w:sz w:val="24"/>
          <w:lang w:val="en-US" w:eastAsia="zh-CN"/>
        </w:rPr>
        <w:t>2</w:t>
      </w:r>
      <w:r>
        <w:rPr>
          <w:rFonts w:hint="eastAsia" w:ascii="宋体" w:hAnsi="宋体"/>
          <w:kern w:val="0"/>
          <w:sz w:val="24"/>
        </w:rPr>
        <w:t>、</w:t>
      </w:r>
      <w:r>
        <w:rPr>
          <w:rFonts w:ascii="宋体" w:hAnsi="宋体"/>
          <w:kern w:val="0"/>
          <w:sz w:val="24"/>
        </w:rPr>
        <w:t>应具备《中华人民共和国政府采购法》第二十二条规定的条件；</w:t>
      </w:r>
    </w:p>
    <w:p>
      <w:pPr>
        <w:widowControl/>
        <w:spacing w:line="360" w:lineRule="auto"/>
        <w:ind w:firstLine="480" w:firstLineChars="200"/>
        <w:rPr>
          <w:rFonts w:hint="eastAsia"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(1）具有独立承担民事责任的能力；</w:t>
      </w:r>
    </w:p>
    <w:p>
      <w:pPr>
        <w:widowControl/>
        <w:spacing w:line="360" w:lineRule="auto"/>
        <w:ind w:firstLine="720" w:firstLineChars="300"/>
        <w:rPr>
          <w:rFonts w:hint="eastAsia" w:ascii="宋体" w:hAnsi="宋体"/>
          <w:color w:val="000000"/>
          <w:sz w:val="24"/>
        </w:rPr>
      </w:pPr>
      <w:r>
        <w:rPr>
          <w:rFonts w:hint="eastAsia" w:ascii="宋体" w:hAnsi="宋体"/>
          <w:color w:val="000000"/>
          <w:sz w:val="24"/>
        </w:rPr>
        <w:t>(2）具有良好的商业信誉和健全的财务会计制度；</w:t>
      </w:r>
    </w:p>
    <w:p>
      <w:pPr>
        <w:widowControl/>
        <w:spacing w:line="360" w:lineRule="auto"/>
        <w:ind w:firstLine="720" w:firstLineChars="300"/>
        <w:rPr>
          <w:rFonts w:hint="eastAsia" w:ascii="宋体" w:hAnsi="宋体"/>
          <w:color w:val="000000"/>
          <w:sz w:val="24"/>
        </w:rPr>
      </w:pPr>
      <w:r>
        <w:rPr>
          <w:rFonts w:hint="eastAsia" w:ascii="宋体" w:hAnsi="宋体"/>
          <w:color w:val="000000"/>
          <w:sz w:val="24"/>
        </w:rPr>
        <w:t>(3）具有履行合同所必需的设备和专业技术能力；</w:t>
      </w:r>
    </w:p>
    <w:p>
      <w:pPr>
        <w:widowControl/>
        <w:spacing w:line="360" w:lineRule="auto"/>
        <w:ind w:firstLine="720" w:firstLineChars="300"/>
        <w:rPr>
          <w:rFonts w:hint="eastAsia" w:ascii="宋体" w:hAnsi="宋体"/>
          <w:color w:val="000000"/>
          <w:sz w:val="24"/>
        </w:rPr>
      </w:pPr>
      <w:r>
        <w:rPr>
          <w:rFonts w:hint="eastAsia" w:ascii="宋体" w:hAnsi="宋体"/>
          <w:color w:val="000000"/>
          <w:sz w:val="24"/>
        </w:rPr>
        <w:t>(4）有依法交纳税收和社会保障资金的良好记录；</w:t>
      </w:r>
    </w:p>
    <w:p>
      <w:pPr>
        <w:widowControl/>
        <w:spacing w:line="360" w:lineRule="auto"/>
        <w:ind w:firstLine="720" w:firstLineChars="300"/>
        <w:rPr>
          <w:rFonts w:hint="eastAsia" w:ascii="宋体" w:hAnsi="宋体"/>
          <w:color w:val="000000"/>
          <w:sz w:val="24"/>
        </w:rPr>
      </w:pPr>
      <w:r>
        <w:rPr>
          <w:rFonts w:hint="eastAsia" w:ascii="宋体" w:hAnsi="宋体"/>
          <w:color w:val="000000"/>
          <w:kern w:val="10"/>
          <w:sz w:val="24"/>
          <w:szCs w:val="24"/>
        </w:rPr>
        <w:t>(5）</w:t>
      </w:r>
      <w:r>
        <w:rPr>
          <w:rFonts w:hint="eastAsia" w:ascii="宋体" w:hAnsi="宋体"/>
          <w:color w:val="000000"/>
          <w:sz w:val="24"/>
        </w:rPr>
        <w:t>参加政府采购活动前三年内，在经营活动中没有重大违法记录；</w:t>
      </w:r>
    </w:p>
    <w:p>
      <w:pPr>
        <w:widowControl/>
        <w:spacing w:line="360" w:lineRule="auto"/>
        <w:ind w:firstLine="720" w:firstLineChars="300"/>
        <w:rPr>
          <w:rFonts w:hint="eastAsia" w:ascii="宋体" w:hAnsi="宋体"/>
          <w:color w:val="000000"/>
          <w:sz w:val="24"/>
        </w:rPr>
      </w:pPr>
      <w:r>
        <w:rPr>
          <w:rFonts w:hint="eastAsia" w:ascii="宋体" w:hAnsi="宋体"/>
          <w:color w:val="000000"/>
          <w:sz w:val="24"/>
        </w:rPr>
        <w:t>(6）法律、行政法规规定的其他条件。</w:t>
      </w:r>
    </w:p>
    <w:p>
      <w:pPr>
        <w:numPr>
          <w:ilvl w:val="0"/>
          <w:numId w:val="0"/>
        </w:numPr>
        <w:tabs>
          <w:tab w:val="left" w:pos="896"/>
        </w:tabs>
        <w:spacing w:line="360" w:lineRule="auto"/>
        <w:ind w:left="482" w:leftChars="0"/>
        <w:rPr>
          <w:rFonts w:hint="eastAsia" w:ascii="宋体" w:hAnsi="宋体" w:cs="仿宋"/>
          <w:sz w:val="24"/>
          <w:lang w:eastAsia="zh-CN"/>
        </w:rPr>
      </w:pPr>
      <w:r>
        <w:rPr>
          <w:rFonts w:hint="eastAsia" w:ascii="宋体" w:hAnsi="宋体"/>
          <w:color w:val="000000"/>
          <w:sz w:val="24"/>
          <w:lang w:val="en-US" w:eastAsia="zh-CN"/>
        </w:rPr>
        <w:t>3、</w:t>
      </w:r>
      <w:r>
        <w:rPr>
          <w:rFonts w:hint="eastAsia" w:ascii="宋体" w:hAnsi="宋体"/>
          <w:color w:val="000000"/>
          <w:sz w:val="24"/>
        </w:rPr>
        <w:t>投标人须具备《</w:t>
      </w:r>
      <w:r>
        <w:rPr>
          <w:rFonts w:hint="eastAsia" w:ascii="宋体" w:hAnsi="宋体"/>
          <w:color w:val="000000"/>
          <w:sz w:val="24"/>
          <w:lang w:eastAsia="zh-CN"/>
        </w:rPr>
        <w:t>中国信息安全认证中心颁发的《信息安全服务资质》（一级应急处理服务）、《信息安全服务资质》（风险评估二级）《信息安全服务资质》（一级信息系统安全集成服务），具备中国国家信息安全漏洞库（</w:t>
      </w:r>
      <w:r>
        <w:rPr>
          <w:rFonts w:hint="eastAsia" w:ascii="宋体" w:hAnsi="宋体"/>
          <w:color w:val="000000"/>
          <w:sz w:val="24"/>
          <w:lang w:val="en-US" w:eastAsia="zh-CN"/>
        </w:rPr>
        <w:t>CNNVD）的技术支撑单位（一级）</w:t>
      </w:r>
      <w:r>
        <w:rPr>
          <w:rFonts w:hint="eastAsia" w:ascii="宋体" w:hAnsi="宋体" w:cs="仿宋"/>
          <w:sz w:val="24"/>
          <w:lang w:eastAsia="zh-CN"/>
        </w:rPr>
        <w:t>。</w:t>
      </w:r>
    </w:p>
    <w:p>
      <w:pPr>
        <w:numPr>
          <w:ilvl w:val="0"/>
          <w:numId w:val="0"/>
        </w:numPr>
        <w:tabs>
          <w:tab w:val="left" w:pos="896"/>
        </w:tabs>
        <w:spacing w:line="360" w:lineRule="auto"/>
        <w:ind w:left="482" w:leftChars="0"/>
        <w:rPr>
          <w:rFonts w:hint="eastAsia" w:ascii="宋体" w:hAnsi="宋体"/>
          <w:sz w:val="30"/>
          <w:szCs w:val="30"/>
        </w:rPr>
      </w:pPr>
      <w:r>
        <w:rPr>
          <w:rFonts w:hint="eastAsia" w:ascii="宋体" w:hAnsi="宋体" w:cs="仿宋"/>
          <w:sz w:val="24"/>
          <w:lang w:val="en-US" w:eastAsia="zh-CN"/>
        </w:rPr>
        <w:t>4、</w:t>
      </w:r>
      <w:r>
        <w:rPr>
          <w:rFonts w:hint="eastAsia" w:ascii="宋体" w:hAnsi="宋体"/>
          <w:color w:val="000000"/>
          <w:sz w:val="24"/>
        </w:rPr>
        <w:t>投标人</w:t>
      </w:r>
      <w:r>
        <w:rPr>
          <w:rFonts w:hint="eastAsia" w:ascii="宋体" w:hAnsi="宋体"/>
          <w:color w:val="000000"/>
          <w:sz w:val="24"/>
          <w:lang w:eastAsia="zh-CN"/>
        </w:rPr>
        <w:t>在近三年（</w:t>
      </w:r>
      <w:r>
        <w:rPr>
          <w:rFonts w:hint="eastAsia" w:ascii="宋体" w:hAnsi="宋体"/>
          <w:color w:val="000000"/>
          <w:sz w:val="24"/>
          <w:lang w:val="en-US" w:eastAsia="zh-CN"/>
        </w:rPr>
        <w:t>2015年、2016年、2017年）至少有1项类似项目的服务业绩（类似业绩不与评分标准中的业绩重复）</w:t>
      </w:r>
      <w:r>
        <w:rPr>
          <w:rFonts w:hint="eastAsia" w:ascii="宋体" w:hAnsi="宋体"/>
          <w:sz w:val="30"/>
          <w:szCs w:val="30"/>
        </w:rPr>
        <w:t>。</w:t>
      </w:r>
    </w:p>
    <w:p>
      <w:pPr>
        <w:numPr>
          <w:ilvl w:val="0"/>
          <w:numId w:val="0"/>
        </w:numPr>
        <w:tabs>
          <w:tab w:val="left" w:pos="896"/>
        </w:tabs>
        <w:spacing w:line="360" w:lineRule="auto"/>
        <w:ind w:left="482" w:leftChars="0"/>
        <w:rPr>
          <w:rFonts w:hint="eastAsia" w:ascii="宋体" w:hAnsi="宋体" w:cs="仿宋"/>
          <w:sz w:val="24"/>
          <w:lang w:val="en-US" w:eastAsia="zh-CN"/>
        </w:rPr>
      </w:pPr>
      <w:r>
        <w:rPr>
          <w:rFonts w:hint="eastAsia" w:ascii="宋体" w:hAnsi="宋体" w:cs="仿宋"/>
          <w:sz w:val="24"/>
          <w:lang w:val="en-US" w:eastAsia="zh-CN"/>
        </w:rPr>
        <w:t>5、投标人应具备自主漏洞挖掘能力，提供CVE漏洞挖掘列表、CNNVD漏洞挖掘列表，以及在国家信息安全漏洞共享平台（CNVD)上“企业单位原创积分排名”情况。</w:t>
      </w:r>
    </w:p>
    <w:p>
      <w:pPr>
        <w:numPr>
          <w:ilvl w:val="0"/>
          <w:numId w:val="0"/>
        </w:numPr>
        <w:tabs>
          <w:tab w:val="left" w:pos="896"/>
        </w:tabs>
        <w:spacing w:line="360" w:lineRule="auto"/>
        <w:ind w:left="482" w:leftChars="0"/>
        <w:rPr>
          <w:rFonts w:hint="eastAsia" w:ascii="宋体" w:hAnsi="宋体" w:cs="仿宋"/>
          <w:sz w:val="24"/>
          <w:lang w:val="en-US" w:eastAsia="zh-CN"/>
        </w:rPr>
      </w:pPr>
      <w:r>
        <w:rPr>
          <w:rFonts w:hint="eastAsia" w:ascii="宋体" w:hAnsi="宋体" w:cs="仿宋"/>
          <w:sz w:val="24"/>
          <w:lang w:val="en-US" w:eastAsia="zh-CN"/>
        </w:rPr>
        <w:t>6.投标人近三年经营状况须良好，提供2015、2016、2017年度财务报表。</w:t>
      </w:r>
    </w:p>
    <w:p>
      <w:pPr>
        <w:numPr>
          <w:ilvl w:val="0"/>
          <w:numId w:val="0"/>
        </w:numPr>
        <w:tabs>
          <w:tab w:val="left" w:pos="896"/>
        </w:tabs>
        <w:spacing w:line="360" w:lineRule="auto"/>
        <w:ind w:left="482" w:leftChars="0"/>
        <w:rPr>
          <w:rFonts w:hint="default" w:ascii="宋体" w:hAnsi="宋体" w:cs="仿宋"/>
          <w:sz w:val="24"/>
          <w:lang w:val="en-US" w:eastAsia="zh-CN"/>
        </w:rPr>
      </w:pPr>
      <w:r>
        <w:rPr>
          <w:rFonts w:hint="eastAsia" w:ascii="宋体" w:hAnsi="宋体" w:cs="仿宋"/>
          <w:sz w:val="24"/>
          <w:lang w:val="en-US" w:eastAsia="zh-CN"/>
        </w:rPr>
        <w:t>7.投标人在近三年（2015年、2016年、2017年）的经营活动中信誉良好，无违法经营和不正当竞争行为，没有重大违法记录，在国内无任何不良记录，提供加盖公章的书面承诺函。</w:t>
      </w:r>
    </w:p>
    <w:p>
      <w:pPr>
        <w:widowControl/>
        <w:spacing w:line="360" w:lineRule="auto"/>
        <w:rPr>
          <w:rFonts w:hint="eastAsia" w:ascii="宋体" w:hAnsi="宋体" w:eastAsia="宋体"/>
          <w:kern w:val="0"/>
          <w:sz w:val="24"/>
          <w:lang w:eastAsia="zh-CN"/>
        </w:rPr>
      </w:pPr>
      <w:r>
        <w:rPr>
          <w:rFonts w:hint="eastAsia" w:ascii="宋体" w:hAnsi="宋体"/>
          <w:color w:val="000000"/>
          <w:sz w:val="24"/>
          <w:lang w:val="en-US" w:eastAsia="zh-CN"/>
        </w:rPr>
        <w:t xml:space="preserve">   8</w:t>
      </w:r>
      <w:r>
        <w:rPr>
          <w:rFonts w:hint="eastAsia" w:ascii="宋体" w:hAnsi="宋体"/>
          <w:color w:val="000000"/>
          <w:sz w:val="24"/>
        </w:rPr>
        <w:t>、</w:t>
      </w:r>
      <w:r>
        <w:rPr>
          <w:rFonts w:ascii="宋体" w:hAnsi="宋体"/>
          <w:kern w:val="0"/>
          <w:sz w:val="24"/>
        </w:rPr>
        <w:t>未被列入“信用中国”网站（www.creditchina.gov.cn）失信被执行人、重大税收违法案件当事人名单、政府采购严重违法失信行为记录名单</w:t>
      </w:r>
      <w:r>
        <w:rPr>
          <w:rFonts w:hint="eastAsia" w:ascii="宋体" w:hAnsi="宋体"/>
          <w:kern w:val="0"/>
          <w:sz w:val="24"/>
          <w:lang w:eastAsia="zh-CN"/>
        </w:rPr>
        <w:t>。</w:t>
      </w:r>
      <w:r>
        <w:rPr>
          <w:rFonts w:hint="eastAsia" w:ascii="宋体" w:hAnsi="宋体"/>
          <w:kern w:val="0"/>
          <w:sz w:val="24"/>
        </w:rPr>
        <w:t>（</w:t>
      </w:r>
      <w:r>
        <w:rPr>
          <w:rFonts w:hint="eastAsia" w:ascii="宋体" w:hAnsi="宋体"/>
          <w:kern w:val="0"/>
          <w:sz w:val="24"/>
          <w:lang w:eastAsia="zh-CN"/>
        </w:rPr>
        <w:t>须</w:t>
      </w:r>
      <w:r>
        <w:rPr>
          <w:rFonts w:hint="eastAsia" w:ascii="宋体" w:hAnsi="宋体"/>
          <w:kern w:val="0"/>
          <w:sz w:val="24"/>
        </w:rPr>
        <w:t>提供加盖单位</w:t>
      </w:r>
      <w:r>
        <w:rPr>
          <w:rFonts w:hint="eastAsia" w:ascii="宋体" w:hAnsi="宋体"/>
          <w:kern w:val="0"/>
          <w:sz w:val="24"/>
          <w:lang w:eastAsia="zh-CN"/>
        </w:rPr>
        <w:t>公</w:t>
      </w:r>
      <w:r>
        <w:rPr>
          <w:rFonts w:hint="eastAsia" w:ascii="宋体" w:hAnsi="宋体"/>
          <w:kern w:val="0"/>
          <w:sz w:val="24"/>
        </w:rPr>
        <w:t>章的网页查询结果，以本公告发布后的查询结果为准）</w:t>
      </w:r>
      <w:r>
        <w:rPr>
          <w:rFonts w:hint="eastAsia" w:ascii="宋体" w:hAnsi="宋体"/>
          <w:kern w:val="0"/>
          <w:sz w:val="24"/>
          <w:lang w:eastAsia="zh-CN"/>
        </w:rPr>
        <w:t>。</w:t>
      </w:r>
    </w:p>
    <w:p>
      <w:pPr>
        <w:spacing w:line="440" w:lineRule="exact"/>
        <w:ind w:firstLine="480" w:firstLineChars="200"/>
        <w:outlineLvl w:val="0"/>
        <w:rPr>
          <w:rFonts w:hint="eastAsia" w:eastAsia="宋体"/>
          <w:sz w:val="24"/>
          <w:lang w:eastAsia="zh-CN"/>
        </w:rPr>
      </w:pPr>
      <w:r>
        <w:rPr>
          <w:rFonts w:hint="eastAsia"/>
          <w:sz w:val="24"/>
          <w:lang w:val="en-US" w:eastAsia="zh-CN"/>
        </w:rPr>
        <w:t>9</w:t>
      </w:r>
      <w:r>
        <w:rPr>
          <w:sz w:val="24"/>
        </w:rPr>
        <w:t>、</w:t>
      </w:r>
      <w:r>
        <w:rPr>
          <w:rFonts w:hint="eastAsia"/>
          <w:sz w:val="24"/>
        </w:rPr>
        <w:t>是否专门面向中小企业</w:t>
      </w:r>
      <w:r>
        <w:rPr>
          <w:rFonts w:hint="eastAsia"/>
          <w:color w:val="000000"/>
          <w:sz w:val="24"/>
        </w:rPr>
        <w:t>、监狱企业、残疾人福利性单位</w:t>
      </w:r>
      <w:r>
        <w:rPr>
          <w:rFonts w:hint="eastAsia"/>
          <w:sz w:val="24"/>
        </w:rPr>
        <w:t>：否</w:t>
      </w:r>
      <w:r>
        <w:rPr>
          <w:rFonts w:hint="eastAsia"/>
          <w:sz w:val="24"/>
          <w:lang w:eastAsia="zh-CN"/>
        </w:rPr>
        <w:t>。</w:t>
      </w:r>
    </w:p>
    <w:p>
      <w:pPr>
        <w:spacing w:line="440" w:lineRule="exact"/>
        <w:ind w:firstLine="480" w:firstLineChars="200"/>
        <w:outlineLvl w:val="0"/>
        <w:rPr>
          <w:rFonts w:hint="eastAsia" w:eastAsia="宋体"/>
          <w:sz w:val="24"/>
          <w:lang w:val="en-US" w:eastAsia="zh-CN"/>
        </w:rPr>
      </w:pPr>
      <w:r>
        <w:rPr>
          <w:rFonts w:hint="eastAsia"/>
          <w:sz w:val="24"/>
          <w:lang w:val="en-US" w:eastAsia="zh-CN"/>
        </w:rPr>
        <w:t>10、本项目不接受联合体招标；不允许转包、分包。</w:t>
      </w:r>
    </w:p>
    <w:p>
      <w:pPr>
        <w:spacing w:line="360" w:lineRule="auto"/>
        <w:ind w:firstLine="470" w:firstLineChars="196"/>
        <w:rPr>
          <w:b/>
          <w:sz w:val="24"/>
        </w:rPr>
      </w:pPr>
      <w:r>
        <w:rPr>
          <w:rFonts w:hint="eastAsia"/>
          <w:b/>
          <w:sz w:val="24"/>
        </w:rPr>
        <w:t xml:space="preserve"> </w:t>
      </w:r>
      <w:r>
        <w:rPr>
          <w:rFonts w:hint="eastAsia"/>
          <w:b/>
          <w:sz w:val="24"/>
          <w:lang w:eastAsia="zh-CN"/>
        </w:rPr>
        <w:t>四</w:t>
      </w:r>
      <w:r>
        <w:rPr>
          <w:rFonts w:hint="eastAsia"/>
          <w:b/>
          <w:sz w:val="24"/>
        </w:rPr>
        <w:t>、政府采购相关政策执行：</w:t>
      </w:r>
    </w:p>
    <w:p>
      <w:pPr>
        <w:tabs>
          <w:tab w:val="left" w:pos="896"/>
        </w:tabs>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 xml:space="preserve"> </w:t>
      </w:r>
      <w:r>
        <w:rPr>
          <w:rFonts w:ascii="宋体" w:hAnsi="宋体" w:cs="Times New Roman"/>
          <w:color w:val="000000"/>
          <w:sz w:val="24"/>
          <w:szCs w:val="24"/>
        </w:rPr>
        <w:t>落实</w:t>
      </w:r>
      <w:r>
        <w:rPr>
          <w:rFonts w:hint="eastAsia" w:ascii="宋体" w:hAnsi="宋体" w:cs="Times New Roman"/>
          <w:color w:val="000000"/>
          <w:sz w:val="24"/>
          <w:szCs w:val="24"/>
        </w:rPr>
        <w:t>政府采购强制、优先采购节能产品政策；政府采购优先采购环保产品政策；政府采购促进中小企业发展（监狱企业、残疾人福利性单位视同小微企业）等政策。</w:t>
      </w:r>
    </w:p>
    <w:p>
      <w:pPr>
        <w:spacing w:line="380" w:lineRule="exact"/>
        <w:ind w:firstLine="470" w:firstLineChars="196"/>
        <w:rPr>
          <w:b/>
          <w:sz w:val="24"/>
        </w:rPr>
      </w:pPr>
      <w:r>
        <w:rPr>
          <w:rFonts w:hint="eastAsia"/>
          <w:b/>
          <w:sz w:val="24"/>
          <w:lang w:eastAsia="zh-CN"/>
        </w:rPr>
        <w:t>五</w:t>
      </w:r>
      <w:r>
        <w:rPr>
          <w:rFonts w:hint="eastAsia"/>
          <w:b/>
          <w:sz w:val="24"/>
        </w:rPr>
        <w:t>、招标文件的获取</w:t>
      </w:r>
    </w:p>
    <w:p>
      <w:pPr>
        <w:spacing w:line="360" w:lineRule="auto"/>
        <w:ind w:firstLine="480" w:firstLineChars="200"/>
        <w:rPr>
          <w:rFonts w:ascii="宋体" w:hAnsi="宋体"/>
          <w:sz w:val="24"/>
        </w:rPr>
      </w:pPr>
      <w:r>
        <w:rPr>
          <w:rFonts w:hint="eastAsia"/>
          <w:sz w:val="24"/>
        </w:rPr>
        <w:t>凡有意参加投标者，请你单位于</w:t>
      </w:r>
      <w:r>
        <w:rPr>
          <w:rFonts w:hint="eastAsia"/>
          <w:sz w:val="24"/>
          <w:u w:val="single"/>
          <w:lang w:eastAsia="zh-CN"/>
        </w:rPr>
        <w:t>2019</w:t>
      </w:r>
      <w:r>
        <w:rPr>
          <w:sz w:val="24"/>
          <w:u w:val="single"/>
        </w:rPr>
        <w:t xml:space="preserve"> </w:t>
      </w:r>
      <w:r>
        <w:rPr>
          <w:rFonts w:hint="eastAsia"/>
          <w:sz w:val="24"/>
        </w:rPr>
        <w:t>年</w:t>
      </w:r>
      <w:r>
        <w:rPr>
          <w:rFonts w:hint="eastAsia"/>
          <w:sz w:val="24"/>
          <w:u w:val="single"/>
          <w:lang w:val="en-US" w:eastAsia="zh-CN"/>
        </w:rPr>
        <w:t>7</w:t>
      </w:r>
      <w:r>
        <w:rPr>
          <w:rFonts w:hint="eastAsia"/>
          <w:sz w:val="24"/>
        </w:rPr>
        <w:t>月</w:t>
      </w:r>
      <w:r>
        <w:rPr>
          <w:rFonts w:hint="eastAsia"/>
          <w:sz w:val="24"/>
          <w:u w:val="single"/>
          <w:lang w:val="en-US" w:eastAsia="zh-CN"/>
        </w:rPr>
        <w:t>08</w:t>
      </w:r>
      <w:r>
        <w:rPr>
          <w:rFonts w:hint="eastAsia"/>
          <w:sz w:val="24"/>
        </w:rPr>
        <w:t>日</w:t>
      </w:r>
      <w:r>
        <w:rPr>
          <w:sz w:val="24"/>
          <w:u w:val="single"/>
        </w:rPr>
        <w:t xml:space="preserve"> </w:t>
      </w:r>
      <w:r>
        <w:rPr>
          <w:rFonts w:hint="eastAsia"/>
          <w:sz w:val="24"/>
          <w:u w:val="single"/>
          <w:lang w:val="en-US" w:eastAsia="zh-CN"/>
        </w:rPr>
        <w:t>9</w:t>
      </w:r>
      <w:r>
        <w:rPr>
          <w:sz w:val="24"/>
          <w:u w:val="single"/>
        </w:rPr>
        <w:t xml:space="preserve"> </w:t>
      </w:r>
      <w:r>
        <w:rPr>
          <w:rFonts w:hint="eastAsia"/>
          <w:sz w:val="24"/>
        </w:rPr>
        <w:t>时至</w:t>
      </w:r>
      <w:r>
        <w:rPr>
          <w:rFonts w:hint="eastAsia"/>
          <w:sz w:val="24"/>
          <w:u w:val="single"/>
          <w:lang w:eastAsia="zh-CN"/>
        </w:rPr>
        <w:t>2019</w:t>
      </w:r>
      <w:r>
        <w:rPr>
          <w:rFonts w:hint="eastAsia"/>
          <w:sz w:val="24"/>
        </w:rPr>
        <w:t>年</w:t>
      </w:r>
      <w:r>
        <w:rPr>
          <w:rFonts w:hint="eastAsia"/>
          <w:sz w:val="24"/>
          <w:u w:val="single"/>
          <w:lang w:val="en-US" w:eastAsia="zh-CN"/>
        </w:rPr>
        <w:t>07</w:t>
      </w:r>
      <w:r>
        <w:rPr>
          <w:rFonts w:hint="eastAsia"/>
          <w:sz w:val="24"/>
        </w:rPr>
        <w:t>月</w:t>
      </w:r>
      <w:r>
        <w:rPr>
          <w:rFonts w:hint="eastAsia"/>
          <w:sz w:val="24"/>
          <w:u w:val="single"/>
          <w:lang w:val="en-US" w:eastAsia="zh-CN"/>
        </w:rPr>
        <w:t>12</w:t>
      </w:r>
      <w:r>
        <w:rPr>
          <w:rFonts w:hint="eastAsia"/>
          <w:sz w:val="24"/>
        </w:rPr>
        <w:t>日</w:t>
      </w:r>
      <w:r>
        <w:rPr>
          <w:sz w:val="24"/>
          <w:u w:val="single"/>
        </w:rPr>
        <w:t xml:space="preserve"> 17</w:t>
      </w:r>
      <w:r>
        <w:rPr>
          <w:rFonts w:hint="eastAsia"/>
          <w:sz w:val="24"/>
          <w:u w:val="single"/>
        </w:rPr>
        <w:t xml:space="preserve"> </w:t>
      </w:r>
      <w:r>
        <w:rPr>
          <w:rFonts w:hint="eastAsia"/>
          <w:sz w:val="24"/>
        </w:rPr>
        <w:t>时工作日时间，</w:t>
      </w:r>
      <w:r>
        <w:rPr>
          <w:rFonts w:hint="eastAsia" w:ascii="宋体" w:hAnsi="宋体"/>
          <w:sz w:val="24"/>
        </w:rPr>
        <w:t>携带投标商法人代表对本项目负责人授权委托书原件，法人代表及被授权人身份证复印件、投标商工商营业执照、税务登记证、组织机构代码证（或三证合一）</w:t>
      </w:r>
      <w:r>
        <w:rPr>
          <w:rFonts w:hint="eastAsia" w:ascii="宋体" w:hAnsi="宋体"/>
          <w:sz w:val="24"/>
          <w:lang w:eastAsia="zh-CN"/>
        </w:rPr>
        <w:t>、“信用中国”、“中国政府采购”网站页面截图并加盖公章，以及招标公告第三条供应商条件：投标供应商资格要求内所要求提供的资格证明文件</w:t>
      </w:r>
      <w:r>
        <w:rPr>
          <w:rFonts w:hint="eastAsia" w:ascii="宋体" w:hAnsi="宋体"/>
          <w:color w:val="auto"/>
          <w:sz w:val="24"/>
          <w:highlight w:val="none"/>
        </w:rPr>
        <w:t>复印件</w:t>
      </w:r>
      <w:r>
        <w:rPr>
          <w:rFonts w:hint="eastAsia" w:ascii="宋体" w:hAnsi="宋体"/>
          <w:color w:val="auto"/>
          <w:sz w:val="24"/>
          <w:highlight w:val="none"/>
          <w:lang w:eastAsia="zh-CN"/>
        </w:rPr>
        <w:t>盖公章</w:t>
      </w:r>
      <w:r>
        <w:rPr>
          <w:rFonts w:hint="eastAsia" w:ascii="宋体" w:hAnsi="宋体"/>
          <w:sz w:val="24"/>
        </w:rPr>
        <w:t>一份</w:t>
      </w:r>
      <w:r>
        <w:rPr>
          <w:rFonts w:hint="eastAsia"/>
          <w:sz w:val="24"/>
        </w:rPr>
        <w:t>到</w:t>
      </w:r>
      <w:r>
        <w:rPr>
          <w:rFonts w:hint="eastAsia" w:ascii="宋体" w:hAnsi="宋体"/>
          <w:sz w:val="24"/>
          <w:u w:val="single"/>
        </w:rPr>
        <w:t>潜江市华康建设工程招标代理有限责任公司开标厅（</w:t>
      </w:r>
      <w:r>
        <w:rPr>
          <w:rFonts w:hint="eastAsia"/>
          <w:sz w:val="24"/>
          <w:u w:val="single"/>
        </w:rPr>
        <w:t>章华南路</w:t>
      </w:r>
      <w:r>
        <w:rPr>
          <w:rFonts w:hint="eastAsia"/>
          <w:sz w:val="24"/>
          <w:u w:val="single"/>
          <w:lang w:val="en-US" w:eastAsia="zh-CN"/>
        </w:rPr>
        <w:t>33</w:t>
      </w:r>
      <w:r>
        <w:rPr>
          <w:rFonts w:hint="eastAsia"/>
          <w:sz w:val="24"/>
          <w:u w:val="single"/>
        </w:rPr>
        <w:t>号</w:t>
      </w:r>
      <w:r>
        <w:rPr>
          <w:rFonts w:hint="eastAsia"/>
          <w:sz w:val="24"/>
          <w:u w:val="single"/>
          <w:lang w:eastAsia="zh-CN"/>
        </w:rPr>
        <w:t>凯利莱大酒店</w:t>
      </w:r>
      <w:r>
        <w:rPr>
          <w:rFonts w:hint="eastAsia"/>
          <w:sz w:val="24"/>
          <w:u w:val="single"/>
          <w:lang w:val="en-US" w:eastAsia="zh-CN"/>
        </w:rPr>
        <w:t>2楼</w:t>
      </w:r>
      <w:r>
        <w:rPr>
          <w:rFonts w:hint="eastAsia"/>
          <w:sz w:val="24"/>
          <w:u w:val="single"/>
        </w:rPr>
        <w:t>）</w:t>
      </w:r>
      <w:r>
        <w:rPr>
          <w:rFonts w:hint="eastAsia" w:ascii="宋体" w:hAnsi="宋体"/>
          <w:sz w:val="24"/>
        </w:rPr>
        <w:t>领取招标文件。</w:t>
      </w:r>
    </w:p>
    <w:p>
      <w:pPr>
        <w:spacing w:line="360" w:lineRule="auto"/>
        <w:ind w:firstLine="470" w:firstLineChars="196"/>
        <w:rPr>
          <w:sz w:val="24"/>
        </w:rPr>
      </w:pPr>
      <w:r>
        <w:rPr>
          <w:rFonts w:hint="eastAsia"/>
          <w:sz w:val="24"/>
          <w:lang w:eastAsia="zh-CN"/>
        </w:rPr>
        <w:t>六</w:t>
      </w:r>
      <w:r>
        <w:rPr>
          <w:rFonts w:hint="eastAsia"/>
          <w:sz w:val="24"/>
        </w:rPr>
        <w:t>、招标文件售价：</w:t>
      </w:r>
      <w:r>
        <w:rPr>
          <w:sz w:val="24"/>
          <w:u w:val="single"/>
        </w:rPr>
        <w:t xml:space="preserve"> </w:t>
      </w:r>
      <w:r>
        <w:rPr>
          <w:rFonts w:hint="eastAsia"/>
          <w:sz w:val="24"/>
          <w:u w:val="single"/>
        </w:rPr>
        <w:t xml:space="preserve">400 </w:t>
      </w:r>
      <w:r>
        <w:rPr>
          <w:rFonts w:hint="eastAsia"/>
          <w:sz w:val="24"/>
        </w:rPr>
        <w:t>元</w:t>
      </w:r>
      <w:r>
        <w:rPr>
          <w:sz w:val="24"/>
        </w:rPr>
        <w:t>/</w:t>
      </w:r>
      <w:r>
        <w:rPr>
          <w:rFonts w:hint="eastAsia"/>
          <w:sz w:val="24"/>
        </w:rPr>
        <w:t>份，招标文件售后不退。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lang w:eastAsia="zh-CN"/>
        </w:rPr>
        <w:t>七</w:t>
      </w:r>
      <w:r>
        <w:rPr>
          <w:rFonts w:hint="eastAsia"/>
          <w:sz w:val="24"/>
        </w:rPr>
        <w:t>、投标文件递交截止时间：</w:t>
      </w:r>
      <w:r>
        <w:rPr>
          <w:rFonts w:hint="eastAsia"/>
          <w:sz w:val="24"/>
          <w:lang w:eastAsia="zh-CN"/>
        </w:rPr>
        <w:t>2019</w:t>
      </w:r>
      <w:r>
        <w:rPr>
          <w:rFonts w:hint="eastAsia"/>
          <w:sz w:val="24"/>
        </w:rPr>
        <w:t>年</w:t>
      </w:r>
      <w:r>
        <w:rPr>
          <w:rFonts w:hint="eastAsia"/>
          <w:sz w:val="24"/>
          <w:u w:val="single"/>
          <w:lang w:val="en-US" w:eastAsia="zh-CN"/>
        </w:rPr>
        <w:t>07</w:t>
      </w:r>
      <w:r>
        <w:rPr>
          <w:rFonts w:hint="eastAsia"/>
          <w:sz w:val="24"/>
        </w:rPr>
        <w:t>月</w:t>
      </w:r>
      <w:r>
        <w:rPr>
          <w:rFonts w:hint="eastAsia"/>
          <w:sz w:val="24"/>
          <w:u w:val="single"/>
          <w:lang w:val="en-US" w:eastAsia="zh-CN"/>
        </w:rPr>
        <w:t>30</w:t>
      </w:r>
      <w:r>
        <w:rPr>
          <w:rFonts w:hint="eastAsia"/>
          <w:sz w:val="24"/>
        </w:rPr>
        <w:t>日</w:t>
      </w:r>
      <w:r>
        <w:rPr>
          <w:rFonts w:hint="eastAsia"/>
          <w:sz w:val="24"/>
          <w:lang w:eastAsia="zh-CN"/>
        </w:rPr>
        <w:t>上</w:t>
      </w:r>
      <w:r>
        <w:rPr>
          <w:rFonts w:hint="eastAsia"/>
          <w:sz w:val="24"/>
        </w:rPr>
        <w:t>午9时</w:t>
      </w:r>
      <w:r>
        <w:rPr>
          <w:rFonts w:ascii="ˎ̥,Verdana,Arial" w:hAnsi="ˎ̥,Verdana,Arial"/>
          <w:sz w:val="24"/>
        </w:rPr>
        <w:t xml:space="preserve"> </w:t>
      </w:r>
      <w:r>
        <w:rPr>
          <w:rFonts w:hint="eastAsia" w:ascii="ˎ̥,Verdana,Arial" w:hAnsi="ˎ̥,Verdana,Arial"/>
          <w:sz w:val="24"/>
        </w:rPr>
        <w:t>。</w:t>
      </w:r>
      <w:r>
        <w:rPr>
          <w:rFonts w:hint="eastAsia" w:ascii="宋体" w:hAnsi="宋体"/>
          <w:color w:val="000000"/>
          <w:sz w:val="24"/>
          <w:szCs w:val="24"/>
        </w:rPr>
        <w:t>投标截止时间即开标时间。逾期送达和</w:t>
      </w:r>
      <w:r>
        <w:rPr>
          <w:rFonts w:hint="eastAsia" w:ascii="宋体" w:hAnsi="宋体"/>
          <w:color w:val="000000"/>
          <w:kern w:val="10"/>
          <w:sz w:val="24"/>
          <w:szCs w:val="24"/>
        </w:rPr>
        <w:t>未密封盖章的投标文件一律拒收。</w:t>
      </w:r>
    </w:p>
    <w:p>
      <w:pPr>
        <w:spacing w:line="360" w:lineRule="auto"/>
        <w:ind w:firstLine="480" w:firstLineChars="200"/>
        <w:rPr>
          <w:sz w:val="24"/>
          <w:u w:val="single"/>
        </w:rPr>
      </w:pPr>
      <w:r>
        <w:rPr>
          <w:rFonts w:hint="eastAsia"/>
          <w:sz w:val="24"/>
          <w:lang w:eastAsia="zh-CN"/>
        </w:rPr>
        <w:t>八</w:t>
      </w:r>
      <w:r>
        <w:rPr>
          <w:rFonts w:hint="eastAsia"/>
          <w:sz w:val="24"/>
        </w:rPr>
        <w:t>、投标地点：</w:t>
      </w:r>
      <w:r>
        <w:rPr>
          <w:rFonts w:hint="eastAsia" w:ascii="宋体" w:hAnsi="宋体"/>
          <w:sz w:val="24"/>
          <w:u w:val="single"/>
        </w:rPr>
        <w:t>潜江市华康建设工程招标代理有限责任公司开标厅（</w:t>
      </w:r>
      <w:r>
        <w:rPr>
          <w:rFonts w:hint="eastAsia"/>
          <w:sz w:val="24"/>
          <w:u w:val="single"/>
        </w:rPr>
        <w:t>章华南路</w:t>
      </w:r>
      <w:r>
        <w:rPr>
          <w:rFonts w:hint="eastAsia"/>
          <w:sz w:val="24"/>
          <w:u w:val="single"/>
          <w:lang w:val="en-US" w:eastAsia="zh-CN"/>
        </w:rPr>
        <w:t>33</w:t>
      </w:r>
      <w:r>
        <w:rPr>
          <w:rFonts w:hint="eastAsia"/>
          <w:sz w:val="24"/>
          <w:u w:val="single"/>
        </w:rPr>
        <w:t>号</w:t>
      </w:r>
      <w:r>
        <w:rPr>
          <w:rFonts w:hint="eastAsia"/>
          <w:sz w:val="24"/>
          <w:u w:val="single"/>
          <w:lang w:eastAsia="zh-CN"/>
        </w:rPr>
        <w:t>凯利莱大酒店</w:t>
      </w:r>
      <w:r>
        <w:rPr>
          <w:rFonts w:hint="eastAsia"/>
          <w:sz w:val="24"/>
          <w:u w:val="single"/>
          <w:lang w:val="en-US" w:eastAsia="zh-CN"/>
        </w:rPr>
        <w:t>2楼</w:t>
      </w:r>
      <w:r>
        <w:rPr>
          <w:rFonts w:hint="eastAsia"/>
          <w:sz w:val="24"/>
          <w:u w:val="single"/>
        </w:rPr>
        <w:t>）</w:t>
      </w:r>
      <w:r>
        <w:rPr>
          <w:rFonts w:hint="eastAsia"/>
          <w:sz w:val="24"/>
        </w:rPr>
        <w:t>。</w:t>
      </w:r>
    </w:p>
    <w:p>
      <w:pPr>
        <w:spacing w:line="360" w:lineRule="auto"/>
        <w:rPr>
          <w:sz w:val="24"/>
        </w:rPr>
      </w:pPr>
      <w:r>
        <w:rPr>
          <w:sz w:val="24"/>
        </w:rPr>
        <w:t xml:space="preserve"> </w:t>
      </w:r>
      <w:r>
        <w:rPr>
          <w:szCs w:val="21"/>
        </w:rPr>
        <w:t xml:space="preserve"> </w:t>
      </w:r>
      <w:r>
        <w:rPr>
          <w:rFonts w:hint="eastAsia"/>
          <w:sz w:val="24"/>
        </w:rPr>
        <w:t>采</w:t>
      </w:r>
      <w:r>
        <w:rPr>
          <w:rFonts w:hint="eastAsia"/>
          <w:sz w:val="24"/>
          <w:lang w:val="en-US" w:eastAsia="zh-CN"/>
        </w:rPr>
        <w:t xml:space="preserve"> </w:t>
      </w:r>
      <w:r>
        <w:rPr>
          <w:rFonts w:hint="eastAsia"/>
          <w:sz w:val="24"/>
        </w:rPr>
        <w:t>购</w:t>
      </w:r>
      <w:r>
        <w:rPr>
          <w:rFonts w:hint="eastAsia"/>
          <w:sz w:val="24"/>
          <w:lang w:val="en-US" w:eastAsia="zh-CN"/>
        </w:rPr>
        <w:t xml:space="preserve"> </w:t>
      </w:r>
      <w:r>
        <w:rPr>
          <w:rFonts w:hint="eastAsia"/>
          <w:sz w:val="24"/>
        </w:rPr>
        <w:t>人：</w:t>
      </w:r>
      <w:r>
        <w:rPr>
          <w:rFonts w:hint="eastAsia"/>
          <w:sz w:val="24"/>
          <w:u w:val="single"/>
          <w:lang w:val="en-US" w:eastAsia="zh-CN"/>
        </w:rPr>
        <w:t xml:space="preserve"> </w:t>
      </w:r>
      <w:r>
        <w:rPr>
          <w:rFonts w:hint="eastAsia"/>
          <w:sz w:val="24"/>
          <w:u w:val="single"/>
          <w:lang w:eastAsia="zh-CN"/>
        </w:rPr>
        <w:t>湖北省烟草公司潜江市公司</w:t>
      </w:r>
      <w:r>
        <w:rPr>
          <w:rFonts w:hint="eastAsia"/>
          <w:sz w:val="24"/>
          <w:u w:val="single"/>
        </w:rPr>
        <w:t xml:space="preserve">    </w:t>
      </w:r>
      <w:r>
        <w:rPr>
          <w:rFonts w:hint="eastAsia"/>
          <w:szCs w:val="21"/>
        </w:rPr>
        <w:t xml:space="preserve"> </w:t>
      </w:r>
      <w:r>
        <w:rPr>
          <w:rFonts w:hint="eastAsia"/>
          <w:sz w:val="24"/>
        </w:rPr>
        <w:t>代理机构：</w:t>
      </w:r>
      <w:r>
        <w:rPr>
          <w:rFonts w:hint="eastAsia"/>
          <w:sz w:val="24"/>
          <w:u w:val="single"/>
          <w:lang w:val="en-US" w:eastAsia="zh-CN"/>
        </w:rPr>
        <w:t xml:space="preserve"> </w:t>
      </w:r>
      <w:r>
        <w:rPr>
          <w:rFonts w:hint="eastAsia"/>
          <w:sz w:val="24"/>
          <w:u w:val="single"/>
        </w:rPr>
        <w:t xml:space="preserve">华康代理公司        </w:t>
      </w:r>
      <w:r>
        <w:rPr>
          <w:rFonts w:hint="eastAsia"/>
          <w:sz w:val="24"/>
          <w:u w:val="single"/>
          <w:lang w:val="en-US" w:eastAsia="zh-CN"/>
        </w:rPr>
        <w:t xml:space="preserve">  </w:t>
      </w:r>
      <w:r>
        <w:rPr>
          <w:rFonts w:hint="eastAsia"/>
          <w:sz w:val="24"/>
          <w:u w:val="none"/>
          <w:lang w:val="en-US" w:eastAsia="zh-CN"/>
        </w:rPr>
        <w:t xml:space="preserve"> </w:t>
      </w:r>
      <w:r>
        <w:rPr>
          <w:rFonts w:hint="eastAsia"/>
          <w:sz w:val="24"/>
          <w:u w:val="none"/>
        </w:rPr>
        <w:t xml:space="preserve">   </w:t>
      </w:r>
    </w:p>
    <w:p>
      <w:pPr>
        <w:spacing w:line="360" w:lineRule="auto"/>
        <w:rPr>
          <w:sz w:val="24"/>
        </w:rPr>
      </w:pPr>
      <w:r>
        <w:rPr>
          <w:sz w:val="24"/>
        </w:rPr>
        <w:t xml:space="preserve">  </w:t>
      </w:r>
      <w:r>
        <w:rPr>
          <w:rFonts w:hint="eastAsia"/>
          <w:sz w:val="24"/>
        </w:rPr>
        <w:t>联</w:t>
      </w:r>
      <w:r>
        <w:rPr>
          <w:rFonts w:hint="eastAsia"/>
          <w:sz w:val="24"/>
          <w:lang w:val="en-US" w:eastAsia="zh-CN"/>
        </w:rPr>
        <w:t xml:space="preserve"> </w:t>
      </w:r>
      <w:r>
        <w:rPr>
          <w:rFonts w:hint="eastAsia"/>
          <w:sz w:val="24"/>
        </w:rPr>
        <w:t>系</w:t>
      </w:r>
      <w:r>
        <w:rPr>
          <w:rFonts w:hint="eastAsia"/>
          <w:sz w:val="24"/>
          <w:lang w:val="en-US" w:eastAsia="zh-CN"/>
        </w:rPr>
        <w:t xml:space="preserve"> </w:t>
      </w:r>
      <w:r>
        <w:rPr>
          <w:rFonts w:hint="eastAsia"/>
          <w:sz w:val="24"/>
        </w:rPr>
        <w:t>人：</w:t>
      </w:r>
      <w:r>
        <w:rPr>
          <w:sz w:val="24"/>
          <w:u w:val="single"/>
        </w:rPr>
        <w:t xml:space="preserve"> </w:t>
      </w:r>
      <w:r>
        <w:rPr>
          <w:rFonts w:hint="eastAsia"/>
          <w:sz w:val="24"/>
          <w:u w:val="single"/>
          <w:lang w:eastAsia="zh-CN"/>
        </w:rPr>
        <w:t>戴工</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u w:val="single" w:color="auto"/>
        </w:rPr>
        <w:t xml:space="preserve">  </w:t>
      </w:r>
      <w:r>
        <w:rPr>
          <w:rFonts w:hint="eastAsia"/>
          <w:sz w:val="24"/>
          <w:u w:val="single" w:color="auto"/>
          <w:lang w:val="en-US" w:eastAsia="zh-CN"/>
        </w:rPr>
        <w:t xml:space="preserve">   </w:t>
      </w:r>
      <w:r>
        <w:rPr>
          <w:rFonts w:hint="eastAsia"/>
          <w:sz w:val="24"/>
          <w:u w:val="single" w:color="auto"/>
        </w:rPr>
        <w:t xml:space="preserve">   </w:t>
      </w:r>
      <w:r>
        <w:rPr>
          <w:rFonts w:hint="eastAsia"/>
          <w:sz w:val="24"/>
        </w:rPr>
        <w:t xml:space="preserve"> </w:t>
      </w:r>
      <w:r>
        <w:rPr>
          <w:rFonts w:hint="eastAsia"/>
          <w:sz w:val="24"/>
          <w:lang w:val="en-US" w:eastAsia="zh-CN"/>
        </w:rPr>
        <w:t xml:space="preserve"> </w:t>
      </w:r>
      <w:r>
        <w:rPr>
          <w:rFonts w:hint="eastAsia"/>
          <w:sz w:val="24"/>
        </w:rPr>
        <w:t>联</w:t>
      </w:r>
      <w:r>
        <w:rPr>
          <w:rFonts w:hint="eastAsia"/>
          <w:sz w:val="24"/>
          <w:lang w:val="en-US" w:eastAsia="zh-CN"/>
        </w:rPr>
        <w:t xml:space="preserve"> </w:t>
      </w:r>
      <w:r>
        <w:rPr>
          <w:rFonts w:hint="eastAsia"/>
          <w:sz w:val="24"/>
        </w:rPr>
        <w:t>系</w:t>
      </w:r>
      <w:r>
        <w:rPr>
          <w:rFonts w:hint="eastAsia"/>
          <w:sz w:val="24"/>
          <w:lang w:val="en-US" w:eastAsia="zh-CN"/>
        </w:rPr>
        <w:t xml:space="preserve"> </w:t>
      </w:r>
      <w:r>
        <w:rPr>
          <w:rFonts w:hint="eastAsia"/>
          <w:sz w:val="24"/>
        </w:rPr>
        <w:t>人：</w:t>
      </w:r>
      <w:r>
        <w:rPr>
          <w:sz w:val="24"/>
          <w:u w:val="single"/>
        </w:rPr>
        <w:t xml:space="preserve"> </w:t>
      </w:r>
      <w:r>
        <w:rPr>
          <w:rFonts w:hint="eastAsia"/>
          <w:sz w:val="24"/>
          <w:u w:val="single"/>
          <w:lang w:val="en-US" w:eastAsia="zh-CN"/>
        </w:rPr>
        <w:t xml:space="preserve"> </w:t>
      </w:r>
      <w:r>
        <w:rPr>
          <w:rFonts w:hint="eastAsia"/>
          <w:sz w:val="24"/>
          <w:u w:val="single"/>
        </w:rPr>
        <w:t>肖丽</w:t>
      </w:r>
      <w:r>
        <w:rPr>
          <w:sz w:val="24"/>
          <w:u w:val="single"/>
        </w:rPr>
        <w:t xml:space="preserve">      </w:t>
      </w:r>
      <w:r>
        <w:rPr>
          <w:rFonts w:hint="eastAsia"/>
          <w:sz w:val="24"/>
          <w:u w:val="single"/>
          <w:lang w:val="en-US" w:eastAsia="zh-CN"/>
        </w:rPr>
        <w:t xml:space="preserve">     </w:t>
      </w:r>
      <w:r>
        <w:rPr>
          <w:sz w:val="24"/>
          <w:u w:val="single"/>
        </w:rPr>
        <w:t xml:space="preserve">     </w:t>
      </w:r>
      <w:r>
        <w:rPr>
          <w:sz w:val="24"/>
          <w:u w:val="none"/>
        </w:rPr>
        <w:t xml:space="preserve">  </w:t>
      </w:r>
    </w:p>
    <w:p>
      <w:pPr>
        <w:spacing w:line="360" w:lineRule="auto"/>
        <w:ind w:right="480" w:firstLine="120" w:firstLineChars="50"/>
        <w:rPr>
          <w:sz w:val="24"/>
          <w:u w:val="single"/>
        </w:rPr>
      </w:pPr>
      <w:r>
        <w:rPr>
          <w:sz w:val="24"/>
        </w:rPr>
        <w:t xml:space="preserve"> </w:t>
      </w:r>
      <w:r>
        <w:rPr>
          <w:rFonts w:hint="eastAsia"/>
          <w:sz w:val="24"/>
        </w:rPr>
        <w:t>联系电话：</w:t>
      </w:r>
      <w:r>
        <w:rPr>
          <w:sz w:val="24"/>
          <w:u w:val="single"/>
        </w:rPr>
        <w:t xml:space="preserve"> </w:t>
      </w:r>
      <w:r>
        <w:rPr>
          <w:rFonts w:hint="eastAsia"/>
          <w:sz w:val="24"/>
          <w:u w:val="single"/>
          <w:lang w:val="en-US" w:eastAsia="zh-CN"/>
        </w:rPr>
        <w:t>18207226155</w:t>
      </w:r>
      <w:r>
        <w:rPr>
          <w:rFonts w:hint="eastAsia"/>
          <w:sz w:val="24"/>
          <w:u w:val="single"/>
        </w:rPr>
        <w:t xml:space="preserve">              </w:t>
      </w:r>
      <w:r>
        <w:rPr>
          <w:rFonts w:hint="eastAsia"/>
          <w:sz w:val="24"/>
          <w:u w:val="single" w:color="auto"/>
        </w:rPr>
        <w:t xml:space="preserve">  </w:t>
      </w:r>
      <w:r>
        <w:rPr>
          <w:rFonts w:hint="eastAsia"/>
          <w:sz w:val="24"/>
        </w:rPr>
        <w:t xml:space="preserve">  联系电话：</w:t>
      </w:r>
      <w:r>
        <w:rPr>
          <w:sz w:val="24"/>
          <w:u w:val="single"/>
        </w:rPr>
        <w:t xml:space="preserve"> 13085141008   </w:t>
      </w:r>
      <w:r>
        <w:rPr>
          <w:rFonts w:hint="eastAsia"/>
          <w:sz w:val="24"/>
          <w:u w:val="single"/>
          <w:lang w:val="en-US" w:eastAsia="zh-CN"/>
        </w:rPr>
        <w:t xml:space="preserve">   </w:t>
      </w:r>
      <w:r>
        <w:rPr>
          <w:sz w:val="24"/>
          <w:u w:val="single"/>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u w:val="single" w:color="auto"/>
          <w:lang w:val="en-US" w:eastAsia="zh-CN"/>
        </w:rPr>
        <w:t xml:space="preserve">  </w:t>
      </w:r>
      <w:r>
        <w:rPr>
          <w:rFonts w:hint="eastAsia"/>
          <w:sz w:val="24"/>
          <w:u w:val="single" w:color="auto"/>
        </w:rPr>
        <w:t xml:space="preserve"> </w:t>
      </w:r>
      <w:r>
        <w:rPr>
          <w:rFonts w:hint="eastAsia"/>
          <w:sz w:val="24"/>
          <w:u w:val="single" w:color="auto"/>
          <w:lang w:val="en-US" w:eastAsia="zh-CN"/>
        </w:rPr>
        <w:t xml:space="preserve"> </w:t>
      </w:r>
      <w:r>
        <w:rPr>
          <w:rFonts w:hint="eastAsia"/>
          <w:sz w:val="24"/>
          <w:u w:val="single"/>
        </w:rPr>
        <w:t xml:space="preserve">   </w:t>
      </w:r>
    </w:p>
    <w:p>
      <w:pPr>
        <w:spacing w:line="360" w:lineRule="auto"/>
        <w:ind w:right="480" w:firstLine="150" w:firstLineChars="50"/>
        <w:jc w:val="right"/>
        <w:rPr>
          <w:sz w:val="24"/>
        </w:rPr>
      </w:pPr>
      <w:r>
        <w:rPr>
          <w:rFonts w:hint="eastAsia" w:ascii="宋体" w:hAnsi="宋体"/>
          <w:b/>
          <w:sz w:val="30"/>
          <w:szCs w:val="30"/>
          <w:lang w:eastAsia="zh-CN"/>
        </w:rPr>
        <w:t>2019</w:t>
      </w:r>
      <w:r>
        <w:rPr>
          <w:rFonts w:hint="eastAsia" w:ascii="宋体" w:hAnsi="宋体"/>
          <w:b/>
          <w:sz w:val="30"/>
          <w:szCs w:val="30"/>
        </w:rPr>
        <w:t>年</w:t>
      </w:r>
      <w:r>
        <w:rPr>
          <w:rFonts w:hint="eastAsia" w:ascii="宋体" w:hAnsi="宋体"/>
          <w:b/>
          <w:sz w:val="30"/>
          <w:szCs w:val="30"/>
          <w:lang w:val="en-US" w:eastAsia="zh-CN"/>
        </w:rPr>
        <w:t>07</w:t>
      </w:r>
      <w:r>
        <w:rPr>
          <w:rFonts w:hint="eastAsia" w:ascii="宋体" w:hAnsi="宋体"/>
          <w:b/>
          <w:sz w:val="30"/>
          <w:szCs w:val="30"/>
        </w:rPr>
        <w:t>月</w:t>
      </w:r>
      <w:r>
        <w:rPr>
          <w:rFonts w:hint="eastAsia" w:ascii="宋体" w:hAnsi="宋体"/>
          <w:b/>
          <w:sz w:val="30"/>
          <w:szCs w:val="30"/>
          <w:lang w:val="en-US" w:eastAsia="zh-CN"/>
        </w:rPr>
        <w:t>05</w:t>
      </w:r>
      <w:r>
        <w:rPr>
          <w:rFonts w:hint="eastAsia" w:ascii="宋体" w:hAnsi="宋体"/>
          <w:b/>
          <w:sz w:val="30"/>
          <w:szCs w:val="30"/>
        </w:rPr>
        <w:t>日</w:t>
      </w:r>
    </w:p>
    <w:p>
      <w:pPr>
        <w:spacing w:line="360" w:lineRule="auto"/>
        <w:jc w:val="center"/>
        <w:rPr>
          <w:rFonts w:ascii="黑体" w:eastAsia="黑体"/>
          <w:sz w:val="32"/>
          <w:szCs w:val="32"/>
        </w:rPr>
      </w:pPr>
      <w:bookmarkStart w:id="264" w:name="_GoBack"/>
      <w:bookmarkEnd w:id="264"/>
    </w:p>
    <w:p>
      <w:pPr>
        <w:spacing w:line="360" w:lineRule="auto"/>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both"/>
        <w:rPr>
          <w:rFonts w:ascii="黑体" w:eastAsia="黑体"/>
          <w:sz w:val="32"/>
          <w:szCs w:val="32"/>
        </w:rPr>
      </w:pPr>
    </w:p>
    <w:p>
      <w:pPr>
        <w:pStyle w:val="2"/>
        <w:spacing w:before="240" w:after="120"/>
        <w:ind w:left="-420" w:leftChars="-200"/>
        <w:rPr>
          <w:rFonts w:ascii="黑体" w:hAnsi="黑体" w:eastAsia="黑体"/>
        </w:rPr>
      </w:pPr>
      <w:bookmarkStart w:id="1" w:name="_Toc497459169"/>
      <w:r>
        <w:rPr>
          <w:rFonts w:hint="eastAsia" w:ascii="黑体" w:hAnsi="黑体" w:eastAsia="黑体"/>
        </w:rPr>
        <w:t xml:space="preserve">              第二章 投标人须知</w:t>
      </w:r>
      <w:bookmarkEnd w:id="1"/>
    </w:p>
    <w:p>
      <w:pPr>
        <w:keepNext/>
        <w:keepLines/>
        <w:spacing w:line="360" w:lineRule="auto"/>
        <w:jc w:val="center"/>
        <w:outlineLvl w:val="1"/>
        <w:rPr>
          <w:rFonts w:ascii="宋体" w:hAnsi="宋体" w:cs="Times New Roman"/>
          <w:b/>
          <w:bCs/>
          <w:sz w:val="32"/>
          <w:szCs w:val="32"/>
        </w:rPr>
      </w:pPr>
      <w:bookmarkStart w:id="2" w:name="_Toc494561937"/>
      <w:bookmarkStart w:id="3" w:name="_Toc497459170"/>
      <w:r>
        <w:rPr>
          <w:rFonts w:ascii="宋体" w:hAnsi="宋体" w:cs="Times New Roman"/>
          <w:b/>
          <w:bCs/>
          <w:sz w:val="32"/>
          <w:szCs w:val="32"/>
        </w:rPr>
        <w:t>投标须知前附表</w:t>
      </w:r>
      <w:bookmarkEnd w:id="2"/>
      <w:bookmarkEnd w:id="3"/>
    </w:p>
    <w:tbl>
      <w:tblPr>
        <w:tblStyle w:val="14"/>
        <w:tblW w:w="9320" w:type="dxa"/>
        <w:tblInd w:w="12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4"/>
        <w:gridCol w:w="2200"/>
        <w:gridCol w:w="64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3" w:hRule="atLeast"/>
        </w:trPr>
        <w:tc>
          <w:tcPr>
            <w:tcW w:w="674" w:type="dxa"/>
            <w:tcBorders>
              <w:top w:val="single" w:color="auto" w:sz="4" w:space="0"/>
              <w:bottom w:val="single" w:color="auto" w:sz="4" w:space="0"/>
              <w:right w:val="single" w:color="auto" w:sz="4" w:space="0"/>
            </w:tcBorders>
            <w:vAlign w:val="center"/>
          </w:tcPr>
          <w:p>
            <w:pPr>
              <w:spacing w:line="276" w:lineRule="auto"/>
              <w:ind w:left="-52" w:leftChars="-25" w:right="-27" w:rightChars="-13"/>
              <w:jc w:val="center"/>
              <w:rPr>
                <w:rFonts w:ascii="宋体" w:hAnsi="宋体" w:cs="Times New Roman"/>
                <w:b/>
                <w:sz w:val="24"/>
                <w:szCs w:val="24"/>
              </w:rPr>
            </w:pPr>
            <w:r>
              <w:rPr>
                <w:rFonts w:ascii="宋体" w:hAnsi="宋体" w:cs="Times New Roman"/>
                <w:b/>
                <w:sz w:val="24"/>
                <w:szCs w:val="24"/>
              </w:rPr>
              <w:t>序号</w:t>
            </w:r>
          </w:p>
        </w:tc>
        <w:tc>
          <w:tcPr>
            <w:tcW w:w="2200" w:type="dxa"/>
            <w:tcBorders>
              <w:top w:val="single" w:color="auto" w:sz="4" w:space="0"/>
              <w:left w:val="single" w:color="auto" w:sz="4" w:space="0"/>
              <w:bottom w:val="single" w:color="auto" w:sz="4" w:space="0"/>
              <w:right w:val="single" w:color="auto" w:sz="4" w:space="0"/>
            </w:tcBorders>
            <w:vAlign w:val="center"/>
          </w:tcPr>
          <w:p>
            <w:pPr>
              <w:spacing w:line="276" w:lineRule="auto"/>
              <w:ind w:right="-11"/>
              <w:jc w:val="center"/>
              <w:rPr>
                <w:rFonts w:ascii="Times New Roman" w:hAnsi="Times New Roman" w:cs="Times New Roman"/>
                <w:b/>
                <w:sz w:val="24"/>
                <w:szCs w:val="24"/>
              </w:rPr>
            </w:pPr>
            <w:r>
              <w:rPr>
                <w:rFonts w:hint="eastAsia" w:ascii="Times New Roman" w:hAnsi="宋体" w:cs="Times New Roman"/>
                <w:b/>
                <w:sz w:val="24"/>
                <w:szCs w:val="24"/>
              </w:rPr>
              <w:t>名称</w:t>
            </w:r>
          </w:p>
        </w:tc>
        <w:tc>
          <w:tcPr>
            <w:tcW w:w="6446" w:type="dxa"/>
            <w:tcBorders>
              <w:top w:val="single" w:color="auto" w:sz="4" w:space="0"/>
              <w:left w:val="single" w:color="auto" w:sz="4" w:space="0"/>
              <w:bottom w:val="single" w:color="auto" w:sz="4" w:space="0"/>
            </w:tcBorders>
            <w:vAlign w:val="center"/>
          </w:tcPr>
          <w:p>
            <w:pPr>
              <w:spacing w:line="276" w:lineRule="auto"/>
              <w:ind w:left="57" w:right="57" w:firstLine="482" w:firstLineChars="201"/>
              <w:jc w:val="center"/>
              <w:rPr>
                <w:rFonts w:ascii="Times New Roman" w:hAnsi="Times New Roman" w:cs="Times New Roman"/>
                <w:b/>
                <w:sz w:val="24"/>
                <w:szCs w:val="24"/>
              </w:rPr>
            </w:pPr>
            <w:r>
              <w:rPr>
                <w:rFonts w:ascii="Times New Roman" w:hAnsi="宋体" w:cs="Times New Roman"/>
                <w:b/>
                <w:sz w:val="24"/>
                <w:szCs w:val="24"/>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74" w:type="dxa"/>
            <w:tcBorders>
              <w:top w:val="single" w:color="auto" w:sz="4" w:space="0"/>
              <w:bottom w:val="single" w:color="auto" w:sz="4" w:space="0"/>
              <w:right w:val="single" w:color="auto" w:sz="4" w:space="0"/>
            </w:tcBorders>
            <w:vAlign w:val="center"/>
          </w:tcPr>
          <w:p>
            <w:pPr>
              <w:numPr>
                <w:ilvl w:val="0"/>
                <w:numId w:val="1"/>
              </w:numPr>
              <w:tabs>
                <w:tab w:val="left" w:pos="130"/>
              </w:tabs>
              <w:ind w:right="57"/>
              <w:jc w:val="center"/>
              <w:rPr>
                <w:rFonts w:ascii="宋体" w:hAnsi="宋体" w:cs="Times New Roman"/>
                <w:b/>
                <w:sz w:val="24"/>
                <w:szCs w:val="24"/>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宋体" w:cs="Times New Roman"/>
                <w:sz w:val="24"/>
                <w:szCs w:val="24"/>
              </w:rPr>
              <w:t>项目编号</w:t>
            </w:r>
          </w:p>
        </w:tc>
        <w:tc>
          <w:tcPr>
            <w:tcW w:w="6446" w:type="dxa"/>
            <w:tcBorders>
              <w:top w:val="single" w:color="auto" w:sz="4" w:space="0"/>
              <w:left w:val="single" w:color="auto" w:sz="4" w:space="0"/>
              <w:bottom w:val="single" w:color="auto" w:sz="4" w:space="0"/>
            </w:tcBorders>
            <w:vAlign w:val="center"/>
          </w:tcPr>
          <w:p>
            <w:pPr>
              <w:spacing w:line="360" w:lineRule="auto"/>
              <w:rPr>
                <w:rFonts w:hint="default" w:ascii="宋体" w:hAnsi="宋体" w:eastAsia="宋体" w:cs="Times New Roman"/>
                <w:sz w:val="24"/>
                <w:szCs w:val="24"/>
                <w:lang w:val="en-US" w:eastAsia="zh-CN"/>
              </w:rPr>
            </w:pPr>
            <w:r>
              <w:rPr>
                <w:rFonts w:hint="eastAsia"/>
                <w:sz w:val="24"/>
                <w:lang w:val="en-US" w:eastAsia="zh-CN"/>
              </w:rPr>
              <w:t>QJHK-2019-016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trPr>
        <w:tc>
          <w:tcPr>
            <w:tcW w:w="674" w:type="dxa"/>
            <w:tcBorders>
              <w:top w:val="single" w:color="auto" w:sz="4" w:space="0"/>
              <w:bottom w:val="single" w:color="auto" w:sz="4" w:space="0"/>
              <w:right w:val="single" w:color="auto" w:sz="4" w:space="0"/>
            </w:tcBorders>
            <w:vAlign w:val="center"/>
          </w:tcPr>
          <w:p>
            <w:pPr>
              <w:numPr>
                <w:ilvl w:val="0"/>
                <w:numId w:val="1"/>
              </w:numPr>
              <w:tabs>
                <w:tab w:val="left" w:pos="130"/>
              </w:tabs>
              <w:ind w:right="57"/>
              <w:jc w:val="center"/>
              <w:rPr>
                <w:rFonts w:ascii="宋体" w:hAnsi="宋体" w:cs="Times New Roman"/>
                <w:b/>
                <w:sz w:val="24"/>
                <w:szCs w:val="24"/>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cs="Times New Roman"/>
                <w:sz w:val="24"/>
                <w:szCs w:val="24"/>
              </w:rPr>
            </w:pPr>
            <w:r>
              <w:rPr>
                <w:rFonts w:ascii="Times New Roman" w:hAnsi="宋体" w:cs="Times New Roman"/>
                <w:sz w:val="24"/>
                <w:szCs w:val="24"/>
              </w:rPr>
              <w:t>项目名称</w:t>
            </w:r>
          </w:p>
        </w:tc>
        <w:tc>
          <w:tcPr>
            <w:tcW w:w="6446" w:type="dxa"/>
            <w:tcBorders>
              <w:top w:val="single" w:color="auto" w:sz="4" w:space="0"/>
              <w:left w:val="single" w:color="auto" w:sz="4" w:space="0"/>
              <w:bottom w:val="single" w:color="auto" w:sz="4" w:space="0"/>
            </w:tcBorders>
            <w:vAlign w:val="center"/>
          </w:tcPr>
          <w:p>
            <w:pPr>
              <w:rPr>
                <w:rFonts w:hint="eastAsia" w:ascii="Times New Roman" w:hAnsi="Times New Roman" w:eastAsia="宋体" w:cs="Times New Roman"/>
                <w:sz w:val="24"/>
                <w:szCs w:val="24"/>
                <w:lang w:eastAsia="zh-CN"/>
              </w:rPr>
            </w:pPr>
            <w:r>
              <w:rPr>
                <w:rFonts w:hint="eastAsia" w:ascii="宋体" w:hAnsi="宋体" w:cs="宋体"/>
                <w:kern w:val="0"/>
                <w:sz w:val="24"/>
                <w:szCs w:val="24"/>
                <w:lang w:eastAsia="zh-CN"/>
              </w:rPr>
              <w:t>湖北省烟草公司潜江市公司信息安全咨询服务采购项目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trPr>
        <w:tc>
          <w:tcPr>
            <w:tcW w:w="674" w:type="dxa"/>
            <w:tcBorders>
              <w:top w:val="single" w:color="auto" w:sz="4" w:space="0"/>
              <w:bottom w:val="single" w:color="auto" w:sz="4" w:space="0"/>
              <w:right w:val="single" w:color="auto" w:sz="4" w:space="0"/>
            </w:tcBorders>
            <w:vAlign w:val="center"/>
          </w:tcPr>
          <w:p>
            <w:pPr>
              <w:numPr>
                <w:ilvl w:val="0"/>
                <w:numId w:val="1"/>
              </w:numPr>
              <w:tabs>
                <w:tab w:val="left" w:pos="130"/>
              </w:tabs>
              <w:ind w:right="57"/>
              <w:jc w:val="center"/>
              <w:rPr>
                <w:rFonts w:ascii="宋体" w:hAnsi="宋体" w:cs="Times New Roman"/>
                <w:b/>
                <w:sz w:val="24"/>
                <w:szCs w:val="24"/>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cs="Times New Roman"/>
                <w:color w:val="0D0D0D"/>
                <w:sz w:val="24"/>
                <w:szCs w:val="24"/>
              </w:rPr>
            </w:pPr>
            <w:r>
              <w:rPr>
                <w:rFonts w:hint="eastAsia" w:ascii="Times New Roman" w:hAnsi="宋体" w:cs="Times New Roman"/>
                <w:color w:val="0D0D0D"/>
                <w:sz w:val="24"/>
                <w:szCs w:val="24"/>
              </w:rPr>
              <w:t>项目属性</w:t>
            </w:r>
          </w:p>
        </w:tc>
        <w:tc>
          <w:tcPr>
            <w:tcW w:w="6446" w:type="dxa"/>
            <w:tcBorders>
              <w:top w:val="single" w:color="auto" w:sz="4" w:space="0"/>
              <w:left w:val="single" w:color="auto" w:sz="4" w:space="0"/>
              <w:bottom w:val="single" w:color="auto" w:sz="4" w:space="0"/>
            </w:tcBorders>
            <w:vAlign w:val="center"/>
          </w:tcPr>
          <w:p>
            <w:pPr>
              <w:rPr>
                <w:rFonts w:ascii="宋体" w:hAnsi="宋体" w:cs="宋体"/>
                <w:kern w:val="0"/>
                <w:sz w:val="24"/>
                <w:szCs w:val="24"/>
              </w:rPr>
            </w:pPr>
            <w:r>
              <w:rPr>
                <w:rFonts w:hint="eastAsia" w:ascii="宋体" w:hAnsi="宋体" w:cs="宋体"/>
                <w:kern w:val="0"/>
                <w:sz w:val="24"/>
                <w:szCs w:val="24"/>
              </w:rPr>
              <w:t>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trPr>
        <w:tc>
          <w:tcPr>
            <w:tcW w:w="674" w:type="dxa"/>
            <w:tcBorders>
              <w:top w:val="single" w:color="auto" w:sz="4" w:space="0"/>
              <w:bottom w:val="single" w:color="auto" w:sz="4" w:space="0"/>
              <w:right w:val="single" w:color="auto" w:sz="4" w:space="0"/>
            </w:tcBorders>
            <w:vAlign w:val="center"/>
          </w:tcPr>
          <w:p>
            <w:pPr>
              <w:numPr>
                <w:ilvl w:val="0"/>
                <w:numId w:val="1"/>
              </w:numPr>
              <w:tabs>
                <w:tab w:val="left" w:pos="130"/>
              </w:tabs>
              <w:ind w:right="57"/>
              <w:jc w:val="center"/>
              <w:rPr>
                <w:rFonts w:ascii="宋体" w:hAnsi="宋体" w:cs="Times New Roman"/>
                <w:b/>
                <w:sz w:val="24"/>
                <w:szCs w:val="24"/>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cs="Times New Roman"/>
                <w:sz w:val="24"/>
                <w:szCs w:val="24"/>
              </w:rPr>
            </w:pPr>
            <w:r>
              <w:rPr>
                <w:rFonts w:ascii="Times New Roman" w:hAnsi="宋体" w:cs="Times New Roman"/>
                <w:sz w:val="24"/>
                <w:szCs w:val="24"/>
              </w:rPr>
              <w:t>采购人</w:t>
            </w:r>
          </w:p>
        </w:tc>
        <w:tc>
          <w:tcPr>
            <w:tcW w:w="6446" w:type="dxa"/>
            <w:tcBorders>
              <w:top w:val="single" w:color="auto" w:sz="4" w:space="0"/>
              <w:left w:val="single" w:color="auto" w:sz="4" w:space="0"/>
              <w:bottom w:val="single" w:color="auto" w:sz="4" w:space="0"/>
            </w:tcBorders>
            <w:vAlign w:val="center"/>
          </w:tcPr>
          <w:p>
            <w:pPr>
              <w:rPr>
                <w:rFonts w:ascii="宋体" w:hAnsi="宋体" w:cs="宋体"/>
                <w:kern w:val="0"/>
                <w:sz w:val="24"/>
                <w:szCs w:val="24"/>
              </w:rPr>
            </w:pPr>
            <w:r>
              <w:rPr>
                <w:rFonts w:hint="eastAsia" w:ascii="宋体" w:hAnsi="宋体" w:cs="宋体"/>
                <w:kern w:val="0"/>
                <w:sz w:val="24"/>
                <w:szCs w:val="24"/>
              </w:rPr>
              <w:t xml:space="preserve"> </w:t>
            </w:r>
            <w:r>
              <w:rPr>
                <w:rFonts w:hint="eastAsia" w:ascii="宋体" w:hAnsi="宋体" w:cs="宋体"/>
                <w:kern w:val="0"/>
                <w:sz w:val="24"/>
                <w:szCs w:val="24"/>
                <w:lang w:eastAsia="zh-CN"/>
              </w:rPr>
              <w:t>湖北省烟草公司潜江市公司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trPr>
        <w:tc>
          <w:tcPr>
            <w:tcW w:w="674" w:type="dxa"/>
            <w:tcBorders>
              <w:top w:val="single" w:color="auto" w:sz="4" w:space="0"/>
              <w:bottom w:val="single" w:color="auto" w:sz="4" w:space="0"/>
              <w:right w:val="single" w:color="auto" w:sz="4" w:space="0"/>
            </w:tcBorders>
            <w:vAlign w:val="center"/>
          </w:tcPr>
          <w:p>
            <w:pPr>
              <w:numPr>
                <w:ilvl w:val="0"/>
                <w:numId w:val="1"/>
              </w:numPr>
              <w:tabs>
                <w:tab w:val="left" w:pos="130"/>
              </w:tabs>
              <w:ind w:right="57"/>
              <w:jc w:val="center"/>
              <w:rPr>
                <w:rFonts w:ascii="宋体" w:hAnsi="宋体" w:cs="Times New Roman"/>
                <w:b/>
                <w:sz w:val="24"/>
                <w:szCs w:val="24"/>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cs="Times New Roman"/>
                <w:sz w:val="24"/>
                <w:szCs w:val="24"/>
              </w:rPr>
            </w:pPr>
            <w:r>
              <w:rPr>
                <w:rFonts w:ascii="Times New Roman" w:hAnsi="宋体" w:cs="Times New Roman"/>
                <w:sz w:val="24"/>
                <w:szCs w:val="24"/>
              </w:rPr>
              <w:t>投标保证金</w:t>
            </w:r>
          </w:p>
        </w:tc>
        <w:tc>
          <w:tcPr>
            <w:tcW w:w="6446" w:type="dxa"/>
            <w:tcBorders>
              <w:top w:val="single" w:color="auto" w:sz="4" w:space="0"/>
              <w:left w:val="single" w:color="auto" w:sz="4" w:space="0"/>
              <w:bottom w:val="single" w:color="auto" w:sz="4" w:space="0"/>
            </w:tcBorders>
            <w:vAlign w:val="center"/>
          </w:tcPr>
          <w:p>
            <w:pPr>
              <w:rPr>
                <w:rFonts w:hint="eastAsia" w:ascii="宋体" w:hAnsi="宋体" w:eastAsia="宋体" w:cs="宋体"/>
                <w:kern w:val="0"/>
                <w:sz w:val="24"/>
                <w:szCs w:val="24"/>
                <w:lang w:eastAsia="zh-CN"/>
              </w:rPr>
            </w:pPr>
            <w:r>
              <w:rPr>
                <w:rFonts w:hint="eastAsia" w:ascii="宋体" w:hAnsi="宋体" w:cs="宋体"/>
                <w:kern w:val="0"/>
                <w:sz w:val="24"/>
                <w:szCs w:val="24"/>
                <w:lang w:eastAsia="zh-CN"/>
              </w:rPr>
              <w:t>本项目不接受投标保证金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74" w:type="dxa"/>
            <w:tcBorders>
              <w:top w:val="single" w:color="auto" w:sz="4" w:space="0"/>
              <w:bottom w:val="single" w:color="auto" w:sz="4" w:space="0"/>
              <w:right w:val="single" w:color="auto" w:sz="4" w:space="0"/>
            </w:tcBorders>
            <w:vAlign w:val="center"/>
          </w:tcPr>
          <w:p>
            <w:pPr>
              <w:numPr>
                <w:ilvl w:val="0"/>
                <w:numId w:val="1"/>
              </w:numPr>
              <w:tabs>
                <w:tab w:val="left" w:pos="130"/>
              </w:tabs>
              <w:ind w:right="57"/>
              <w:jc w:val="center"/>
              <w:rPr>
                <w:rFonts w:ascii="宋体" w:hAnsi="宋体" w:cs="Times New Roman"/>
                <w:b/>
                <w:sz w:val="24"/>
                <w:szCs w:val="24"/>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cs="Times New Roman"/>
                <w:sz w:val="24"/>
                <w:szCs w:val="24"/>
              </w:rPr>
            </w:pPr>
            <w:r>
              <w:rPr>
                <w:rFonts w:ascii="Times New Roman" w:hAnsi="宋体" w:cs="Times New Roman"/>
                <w:sz w:val="24"/>
                <w:szCs w:val="24"/>
              </w:rPr>
              <w:t>投标文件份数</w:t>
            </w:r>
          </w:p>
        </w:tc>
        <w:tc>
          <w:tcPr>
            <w:tcW w:w="6446" w:type="dxa"/>
            <w:tcBorders>
              <w:top w:val="single" w:color="auto" w:sz="4" w:space="0"/>
              <w:left w:val="single" w:color="auto" w:sz="4" w:space="0"/>
              <w:bottom w:val="single" w:color="auto" w:sz="4" w:space="0"/>
            </w:tcBorders>
            <w:vAlign w:val="center"/>
          </w:tcPr>
          <w:p>
            <w:pPr>
              <w:rPr>
                <w:rFonts w:ascii="宋体" w:hAnsi="宋体"/>
                <w:sz w:val="24"/>
                <w:szCs w:val="24"/>
              </w:rPr>
            </w:pPr>
            <w:r>
              <w:rPr>
                <w:rFonts w:ascii="Times New Roman" w:hAnsi="Times New Roman" w:cs="Times New Roman"/>
                <w:sz w:val="24"/>
                <w:szCs w:val="24"/>
              </w:rPr>
              <w:t>正本</w:t>
            </w:r>
            <w:r>
              <w:rPr>
                <w:rFonts w:hint="eastAsia" w:ascii="Times New Roman" w:hAnsi="Times New Roman" w:cs="Times New Roman"/>
                <w:sz w:val="24"/>
                <w:szCs w:val="24"/>
              </w:rPr>
              <w:t>一</w:t>
            </w:r>
            <w:r>
              <w:rPr>
                <w:rFonts w:ascii="Times New Roman" w:hAnsi="Times New Roman" w:cs="Times New Roman"/>
                <w:sz w:val="24"/>
                <w:szCs w:val="24"/>
              </w:rPr>
              <w:t>份</w:t>
            </w:r>
            <w:r>
              <w:rPr>
                <w:rFonts w:hint="eastAsia" w:ascii="Times New Roman" w:hAnsi="Times New Roman" w:cs="Times New Roman"/>
                <w:sz w:val="24"/>
                <w:szCs w:val="24"/>
              </w:rPr>
              <w:t>，</w:t>
            </w:r>
            <w:r>
              <w:rPr>
                <w:rFonts w:ascii="Times New Roman" w:hAnsi="Times New Roman" w:cs="Times New Roman"/>
                <w:sz w:val="24"/>
                <w:szCs w:val="24"/>
              </w:rPr>
              <w:t>副本</w:t>
            </w:r>
            <w:r>
              <w:rPr>
                <w:rFonts w:hint="eastAsia" w:ascii="Times New Roman" w:hAnsi="Times New Roman" w:cs="Times New Roman"/>
                <w:sz w:val="24"/>
                <w:szCs w:val="24"/>
              </w:rPr>
              <w:t>四</w:t>
            </w:r>
            <w:r>
              <w:rPr>
                <w:rFonts w:ascii="Times New Roman" w:hAnsi="Times New Roman" w:cs="Times New Roman"/>
                <w:sz w:val="24"/>
                <w:szCs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trPr>
        <w:tc>
          <w:tcPr>
            <w:tcW w:w="674" w:type="dxa"/>
            <w:tcBorders>
              <w:top w:val="single" w:color="auto" w:sz="4" w:space="0"/>
              <w:bottom w:val="single" w:color="auto" w:sz="4" w:space="0"/>
              <w:right w:val="single" w:color="auto" w:sz="4" w:space="0"/>
            </w:tcBorders>
            <w:vAlign w:val="center"/>
          </w:tcPr>
          <w:p>
            <w:pPr>
              <w:numPr>
                <w:ilvl w:val="0"/>
                <w:numId w:val="1"/>
              </w:numPr>
              <w:tabs>
                <w:tab w:val="left" w:pos="130"/>
              </w:tabs>
              <w:ind w:right="57"/>
              <w:jc w:val="center"/>
              <w:rPr>
                <w:rFonts w:ascii="宋体" w:hAnsi="宋体" w:cs="Times New Roman"/>
                <w:b/>
                <w:sz w:val="24"/>
                <w:szCs w:val="24"/>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宋体" w:cs="Times New Roman"/>
                <w:sz w:val="24"/>
                <w:szCs w:val="24"/>
              </w:rPr>
              <w:t>投标有效期</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cs="Times New Roman"/>
                <w:sz w:val="24"/>
                <w:szCs w:val="24"/>
              </w:rPr>
            </w:pPr>
            <w:r>
              <w:rPr>
                <w:rFonts w:hint="eastAsia" w:ascii="宋体" w:hAnsi="宋体" w:cs="宋体"/>
                <w:kern w:val="0"/>
                <w:sz w:val="24"/>
                <w:szCs w:val="24"/>
              </w:rPr>
              <w:t>提交投标文件截止之日起90日历日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trPr>
        <w:tc>
          <w:tcPr>
            <w:tcW w:w="674" w:type="dxa"/>
            <w:tcBorders>
              <w:top w:val="single" w:color="auto" w:sz="4" w:space="0"/>
              <w:bottom w:val="single" w:color="auto" w:sz="4" w:space="0"/>
              <w:right w:val="single" w:color="auto" w:sz="4" w:space="0"/>
            </w:tcBorders>
            <w:vAlign w:val="center"/>
          </w:tcPr>
          <w:p>
            <w:pPr>
              <w:numPr>
                <w:ilvl w:val="0"/>
                <w:numId w:val="1"/>
              </w:numPr>
              <w:tabs>
                <w:tab w:val="left" w:pos="130"/>
              </w:tabs>
              <w:ind w:right="57"/>
              <w:jc w:val="center"/>
              <w:rPr>
                <w:rFonts w:ascii="宋体" w:hAnsi="宋体" w:cs="Times New Roman"/>
                <w:b/>
                <w:sz w:val="24"/>
                <w:szCs w:val="24"/>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宋体" w:cs="Times New Roman"/>
                <w:sz w:val="24"/>
                <w:szCs w:val="24"/>
              </w:rPr>
              <w:t>资格预审</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cs="Times New Roman"/>
                <w:sz w:val="24"/>
                <w:szCs w:val="24"/>
              </w:rPr>
            </w:pPr>
            <w:r>
              <w:rPr>
                <w:rFonts w:hint="eastAsia" w:ascii="Times New Roman" w:hAnsi="Times New Roman" w:cs="Times New Roman"/>
                <w:sz w:val="24"/>
                <w:szCs w:val="24"/>
              </w:rPr>
              <w:t>不进行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trPr>
        <w:tc>
          <w:tcPr>
            <w:tcW w:w="674" w:type="dxa"/>
            <w:tcBorders>
              <w:top w:val="single" w:color="auto" w:sz="4" w:space="0"/>
              <w:bottom w:val="single" w:color="auto" w:sz="4" w:space="0"/>
              <w:right w:val="single" w:color="auto" w:sz="4" w:space="0"/>
            </w:tcBorders>
            <w:vAlign w:val="center"/>
          </w:tcPr>
          <w:p>
            <w:pPr>
              <w:numPr>
                <w:ilvl w:val="0"/>
                <w:numId w:val="1"/>
              </w:numPr>
              <w:tabs>
                <w:tab w:val="left" w:pos="130"/>
              </w:tabs>
              <w:ind w:right="57"/>
              <w:jc w:val="center"/>
              <w:rPr>
                <w:rFonts w:ascii="宋体" w:hAnsi="宋体" w:cs="Times New Roman"/>
                <w:b/>
                <w:sz w:val="24"/>
                <w:szCs w:val="24"/>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cs="Times New Roman"/>
                <w:sz w:val="24"/>
                <w:szCs w:val="24"/>
              </w:rPr>
            </w:pPr>
            <w:r>
              <w:rPr>
                <w:rFonts w:ascii="Times New Roman" w:hAnsi="宋体" w:cs="Times New Roman"/>
                <w:sz w:val="24"/>
                <w:szCs w:val="24"/>
              </w:rPr>
              <w:t>投标文件递交时间</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cs="Times New Roman"/>
                <w:sz w:val="24"/>
                <w:szCs w:val="24"/>
              </w:rPr>
            </w:pPr>
            <w:r>
              <w:rPr>
                <w:rFonts w:hint="eastAsia" w:ascii="Times New Roman" w:hAnsi="Times New Roman" w:cs="Times New Roman"/>
                <w:sz w:val="24"/>
                <w:szCs w:val="24"/>
              </w:rPr>
              <w:t>详见第一章“招标公告”要求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trPr>
        <w:tc>
          <w:tcPr>
            <w:tcW w:w="674" w:type="dxa"/>
            <w:tcBorders>
              <w:top w:val="single" w:color="auto" w:sz="4" w:space="0"/>
              <w:bottom w:val="single" w:color="auto" w:sz="4" w:space="0"/>
              <w:right w:val="single" w:color="auto" w:sz="4" w:space="0"/>
            </w:tcBorders>
            <w:vAlign w:val="center"/>
          </w:tcPr>
          <w:p>
            <w:pPr>
              <w:numPr>
                <w:ilvl w:val="0"/>
                <w:numId w:val="1"/>
              </w:numPr>
              <w:tabs>
                <w:tab w:val="left" w:pos="242"/>
              </w:tabs>
              <w:ind w:right="57"/>
              <w:jc w:val="center"/>
              <w:rPr>
                <w:rFonts w:ascii="宋体" w:hAnsi="宋体" w:cs="Times New Roman"/>
                <w:b/>
                <w:sz w:val="24"/>
                <w:szCs w:val="24"/>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宋体" w:cs="Times New Roman"/>
                <w:sz w:val="24"/>
                <w:szCs w:val="24"/>
              </w:rPr>
              <w:t>开标时间</w:t>
            </w:r>
            <w:r>
              <w:rPr>
                <w:rFonts w:hint="eastAsia" w:ascii="Times New Roman" w:hAnsi="宋体" w:cs="Times New Roman"/>
                <w:sz w:val="24"/>
                <w:szCs w:val="24"/>
              </w:rPr>
              <w:t>、地点</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cs="Times New Roman"/>
                <w:sz w:val="24"/>
                <w:szCs w:val="24"/>
              </w:rPr>
            </w:pPr>
            <w:r>
              <w:rPr>
                <w:rFonts w:hint="eastAsia" w:ascii="Times New Roman" w:hAnsi="Times New Roman" w:cs="Times New Roman"/>
                <w:sz w:val="24"/>
                <w:szCs w:val="24"/>
              </w:rPr>
              <w:t>详见第一章“招标公告”要求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trPr>
        <w:tc>
          <w:tcPr>
            <w:tcW w:w="674" w:type="dxa"/>
            <w:tcBorders>
              <w:top w:val="single" w:color="auto" w:sz="4" w:space="0"/>
              <w:bottom w:val="single" w:color="auto" w:sz="4" w:space="0"/>
              <w:right w:val="single" w:color="auto" w:sz="4" w:space="0"/>
            </w:tcBorders>
            <w:vAlign w:val="center"/>
          </w:tcPr>
          <w:p>
            <w:pPr>
              <w:numPr>
                <w:ilvl w:val="0"/>
                <w:numId w:val="1"/>
              </w:numPr>
              <w:tabs>
                <w:tab w:val="left" w:pos="242"/>
              </w:tabs>
              <w:ind w:right="57"/>
              <w:jc w:val="center"/>
              <w:rPr>
                <w:rFonts w:ascii="宋体" w:hAnsi="宋体" w:cs="Times New Roman"/>
                <w:b/>
                <w:sz w:val="24"/>
                <w:szCs w:val="24"/>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宋体" w:cs="Times New Roman"/>
                <w:sz w:val="24"/>
                <w:szCs w:val="24"/>
              </w:rPr>
              <w:t>备选方案</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cs="Times New Roman"/>
                <w:sz w:val="24"/>
                <w:szCs w:val="24"/>
              </w:rPr>
            </w:pPr>
            <w:r>
              <w:rPr>
                <w:rFonts w:hint="eastAsia" w:ascii="Times New Roman" w:hAnsi="Times New Roman" w:cs="Times New Roman"/>
                <w:sz w:val="24"/>
                <w:szCs w:val="24"/>
              </w:rPr>
              <w:t>不允许</w:t>
            </w:r>
          </w:p>
          <w:p>
            <w:pPr>
              <w:rPr>
                <w:rFonts w:ascii="Times New Roman" w:hAnsi="Times New Roman" w:cs="Times New Roman"/>
                <w:sz w:val="24"/>
                <w:szCs w:val="24"/>
              </w:rPr>
            </w:pPr>
            <w:r>
              <w:rPr>
                <w:rFonts w:hint="eastAsia" w:ascii="Times New Roman" w:hAnsi="Times New Roman" w:cs="Times New Roman"/>
                <w:sz w:val="24"/>
                <w:szCs w:val="24"/>
              </w:rPr>
              <w:t>详见第三章“</w:t>
            </w:r>
            <w:r>
              <w:rPr>
                <w:rFonts w:hint="eastAsia" w:ascii="宋体" w:hAnsi="宋体" w:cs="Times New Roman"/>
                <w:sz w:val="24"/>
                <w:szCs w:val="24"/>
              </w:rPr>
              <w:t>项目技术、服务及商务要求</w:t>
            </w:r>
            <w:r>
              <w:rPr>
                <w:rFonts w:hint="eastAsia" w:ascii="Times New Roman" w:hAnsi="Times New Roman" w:cs="Times New Roman"/>
                <w:sz w:val="24"/>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6" w:hRule="atLeast"/>
        </w:trPr>
        <w:tc>
          <w:tcPr>
            <w:tcW w:w="674" w:type="dxa"/>
            <w:tcBorders>
              <w:top w:val="single" w:color="auto" w:sz="4" w:space="0"/>
              <w:bottom w:val="single" w:color="auto" w:sz="4" w:space="0"/>
              <w:right w:val="single" w:color="auto" w:sz="4" w:space="0"/>
            </w:tcBorders>
            <w:vAlign w:val="center"/>
          </w:tcPr>
          <w:p>
            <w:pPr>
              <w:numPr>
                <w:ilvl w:val="0"/>
                <w:numId w:val="1"/>
              </w:numPr>
              <w:tabs>
                <w:tab w:val="left" w:pos="242"/>
              </w:tabs>
              <w:ind w:right="57"/>
              <w:jc w:val="center"/>
              <w:rPr>
                <w:rFonts w:ascii="宋体" w:hAnsi="宋体" w:cs="Times New Roman"/>
                <w:b/>
                <w:sz w:val="24"/>
                <w:szCs w:val="24"/>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cs="Times New Roman"/>
                <w:sz w:val="24"/>
                <w:szCs w:val="24"/>
              </w:rPr>
            </w:pPr>
            <w:r>
              <w:rPr>
                <w:rFonts w:ascii="Times New Roman" w:hAnsi="宋体" w:cs="Times New Roman"/>
                <w:sz w:val="24"/>
                <w:szCs w:val="24"/>
              </w:rPr>
              <w:t>实物样品</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cs="Times New Roman"/>
                <w:sz w:val="24"/>
                <w:szCs w:val="24"/>
              </w:rPr>
            </w:pPr>
            <w:r>
              <w:rPr>
                <w:rFonts w:hint="eastAsia" w:ascii="Times New Roman" w:hAnsi="Times New Roman" w:cs="Times New Roman"/>
                <w:sz w:val="24"/>
                <w:szCs w:val="24"/>
              </w:rPr>
              <w:t>不提交</w:t>
            </w:r>
          </w:p>
          <w:p>
            <w:pPr>
              <w:rPr>
                <w:rFonts w:ascii="Times New Roman" w:hAnsi="Times New Roman" w:cs="Times New Roman"/>
                <w:sz w:val="24"/>
                <w:szCs w:val="24"/>
              </w:rPr>
            </w:pPr>
            <w:r>
              <w:rPr>
                <w:rFonts w:hint="eastAsia" w:ascii="Times New Roman" w:hAnsi="Times New Roman" w:cs="Times New Roman"/>
                <w:sz w:val="24"/>
                <w:szCs w:val="24"/>
              </w:rPr>
              <w:t>详见第三章“</w:t>
            </w:r>
            <w:r>
              <w:rPr>
                <w:rFonts w:hint="eastAsia" w:ascii="宋体" w:hAnsi="宋体" w:cs="Times New Roman"/>
                <w:sz w:val="24"/>
                <w:szCs w:val="24"/>
              </w:rPr>
              <w:t>项目技术、服务及商务要求</w:t>
            </w:r>
            <w:r>
              <w:rPr>
                <w:rFonts w:hint="eastAsia" w:ascii="Times New Roman" w:hAnsi="Times New Roman" w:cs="Times New Roman"/>
                <w:sz w:val="24"/>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6" w:hRule="atLeast"/>
        </w:trPr>
        <w:tc>
          <w:tcPr>
            <w:tcW w:w="674" w:type="dxa"/>
            <w:tcBorders>
              <w:top w:val="single" w:color="auto" w:sz="4" w:space="0"/>
              <w:bottom w:val="single" w:color="auto" w:sz="4" w:space="0"/>
              <w:right w:val="single" w:color="auto" w:sz="4" w:space="0"/>
            </w:tcBorders>
            <w:vAlign w:val="center"/>
          </w:tcPr>
          <w:p>
            <w:pPr>
              <w:numPr>
                <w:ilvl w:val="0"/>
                <w:numId w:val="1"/>
              </w:numPr>
              <w:tabs>
                <w:tab w:val="left" w:pos="242"/>
              </w:tabs>
              <w:ind w:right="57"/>
              <w:jc w:val="center"/>
              <w:rPr>
                <w:rFonts w:ascii="宋体" w:hAnsi="宋体" w:cs="Times New Roman"/>
                <w:b/>
                <w:sz w:val="24"/>
                <w:szCs w:val="24"/>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宋体" w:hAnsi="宋体" w:cs="宋体"/>
                <w:color w:val="000000"/>
                <w:sz w:val="24"/>
                <w:szCs w:val="24"/>
              </w:rPr>
              <w:t>现</w:t>
            </w:r>
            <w:r>
              <w:rPr>
                <w:rFonts w:hint="eastAsia" w:ascii="宋体" w:hAnsi="宋体" w:cs="宋体"/>
                <w:sz w:val="24"/>
                <w:szCs w:val="24"/>
              </w:rPr>
              <w:t>场考察</w:t>
            </w:r>
          </w:p>
        </w:tc>
        <w:tc>
          <w:tcPr>
            <w:tcW w:w="6446" w:type="dxa"/>
            <w:tcBorders>
              <w:top w:val="single" w:color="auto" w:sz="4" w:space="0"/>
              <w:left w:val="single" w:color="auto" w:sz="4" w:space="0"/>
              <w:bottom w:val="single" w:color="auto" w:sz="4" w:space="0"/>
            </w:tcBorders>
            <w:vAlign w:val="center"/>
          </w:tcPr>
          <w:p>
            <w:pPr>
              <w:ind w:right="-105" w:rightChars="-50"/>
              <w:rPr>
                <w:rFonts w:ascii="Times New Roman" w:hAnsi="Times New Roman" w:cs="Times New Roman"/>
                <w:sz w:val="24"/>
                <w:szCs w:val="24"/>
              </w:rPr>
            </w:pPr>
            <w:r>
              <w:rPr>
                <w:rFonts w:hint="eastAsia" w:ascii="Times New Roman" w:hAnsi="Times New Roman" w:cs="Times New Roman"/>
                <w:sz w:val="24"/>
                <w:szCs w:val="24"/>
              </w:rPr>
              <w:t>不组织</w:t>
            </w:r>
          </w:p>
          <w:p>
            <w:pPr>
              <w:ind w:right="-105" w:rightChars="-50"/>
              <w:rPr>
                <w:rFonts w:ascii="Times New Roman" w:hAnsi="Times New Roman" w:cs="Times New Roman"/>
                <w:sz w:val="24"/>
                <w:szCs w:val="24"/>
              </w:rPr>
            </w:pPr>
            <w:r>
              <w:rPr>
                <w:rFonts w:hint="eastAsia" w:ascii="Times New Roman" w:hAnsi="Times New Roman" w:cs="Times New Roman"/>
                <w:sz w:val="24"/>
                <w:szCs w:val="24"/>
              </w:rPr>
              <w:t>详见第三章“</w:t>
            </w:r>
            <w:r>
              <w:rPr>
                <w:rFonts w:hint="eastAsia" w:ascii="宋体" w:hAnsi="宋体" w:cs="Times New Roman"/>
                <w:sz w:val="24"/>
                <w:szCs w:val="24"/>
              </w:rPr>
              <w:t>项目技术、服务及商务要求</w:t>
            </w:r>
            <w:r>
              <w:rPr>
                <w:rFonts w:hint="eastAsia" w:ascii="Times New Roman" w:hAnsi="Times New Roman" w:cs="Times New Roman"/>
                <w:sz w:val="24"/>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6" w:hRule="atLeast"/>
        </w:trPr>
        <w:tc>
          <w:tcPr>
            <w:tcW w:w="674" w:type="dxa"/>
            <w:tcBorders>
              <w:top w:val="single" w:color="auto" w:sz="4" w:space="0"/>
              <w:bottom w:val="single" w:color="auto" w:sz="4" w:space="0"/>
              <w:right w:val="single" w:color="auto" w:sz="4" w:space="0"/>
            </w:tcBorders>
            <w:vAlign w:val="center"/>
          </w:tcPr>
          <w:p>
            <w:pPr>
              <w:numPr>
                <w:ilvl w:val="0"/>
                <w:numId w:val="1"/>
              </w:numPr>
              <w:tabs>
                <w:tab w:val="left" w:pos="242"/>
              </w:tabs>
              <w:ind w:right="57"/>
              <w:jc w:val="center"/>
              <w:rPr>
                <w:rFonts w:ascii="宋体" w:hAnsi="宋体" w:cs="Times New Roman"/>
                <w:b/>
                <w:sz w:val="24"/>
                <w:szCs w:val="24"/>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cs="Times New Roman"/>
                <w:sz w:val="24"/>
                <w:szCs w:val="24"/>
              </w:rPr>
            </w:pPr>
            <w:r>
              <w:rPr>
                <w:rFonts w:hint="eastAsia" w:ascii="Times New Roman" w:hAnsi="宋体" w:cs="Times New Roman"/>
                <w:color w:val="0D0D0D"/>
                <w:sz w:val="24"/>
                <w:szCs w:val="24"/>
              </w:rPr>
              <w:t>中标后分包</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cs="Times New Roman"/>
                <w:sz w:val="24"/>
                <w:szCs w:val="24"/>
              </w:rPr>
            </w:pPr>
            <w:r>
              <w:rPr>
                <w:rFonts w:hint="eastAsia" w:ascii="Times New Roman" w:hAnsi="Times New Roman" w:cs="Times New Roman"/>
                <w:sz w:val="24"/>
                <w:szCs w:val="24"/>
              </w:rPr>
              <w:t>不允许</w:t>
            </w:r>
          </w:p>
          <w:p>
            <w:pPr>
              <w:rPr>
                <w:rFonts w:ascii="Times New Roman" w:hAnsi="Times New Roman" w:cs="Times New Roman"/>
                <w:sz w:val="24"/>
                <w:szCs w:val="24"/>
              </w:rPr>
            </w:pPr>
            <w:r>
              <w:rPr>
                <w:rFonts w:hint="eastAsia" w:ascii="Times New Roman" w:hAnsi="Times New Roman" w:cs="Times New Roman"/>
                <w:sz w:val="24"/>
                <w:szCs w:val="24"/>
              </w:rPr>
              <w:t>详见第三章“</w:t>
            </w:r>
            <w:r>
              <w:rPr>
                <w:rFonts w:hint="eastAsia" w:ascii="宋体" w:hAnsi="宋体" w:cs="Times New Roman"/>
                <w:sz w:val="24"/>
                <w:szCs w:val="24"/>
              </w:rPr>
              <w:t>项目技术、服务及商务要求</w:t>
            </w:r>
            <w:r>
              <w:rPr>
                <w:rFonts w:hint="eastAsia" w:ascii="Times New Roman" w:hAnsi="Times New Roman" w:cs="Times New Roman"/>
                <w:sz w:val="24"/>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6" w:hRule="atLeast"/>
        </w:trPr>
        <w:tc>
          <w:tcPr>
            <w:tcW w:w="674" w:type="dxa"/>
            <w:tcBorders>
              <w:top w:val="single" w:color="auto" w:sz="4" w:space="0"/>
              <w:bottom w:val="single" w:color="auto" w:sz="4" w:space="0"/>
              <w:right w:val="single" w:color="auto" w:sz="4" w:space="0"/>
            </w:tcBorders>
            <w:vAlign w:val="center"/>
          </w:tcPr>
          <w:p>
            <w:pPr>
              <w:numPr>
                <w:ilvl w:val="0"/>
                <w:numId w:val="1"/>
              </w:numPr>
              <w:tabs>
                <w:tab w:val="left" w:pos="242"/>
              </w:tabs>
              <w:ind w:right="57"/>
              <w:jc w:val="center"/>
              <w:rPr>
                <w:rFonts w:ascii="宋体" w:hAnsi="宋体" w:cs="Times New Roman"/>
                <w:b/>
                <w:sz w:val="24"/>
                <w:szCs w:val="24"/>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cs="Times New Roman"/>
                <w:color w:val="0D0D0D"/>
                <w:sz w:val="24"/>
                <w:szCs w:val="24"/>
              </w:rPr>
            </w:pPr>
            <w:r>
              <w:rPr>
                <w:rFonts w:ascii="Times New Roman" w:hAnsi="宋体" w:cs="Times New Roman"/>
                <w:sz w:val="24"/>
                <w:szCs w:val="24"/>
              </w:rPr>
              <w:t>评标办法</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综合评分法</w:t>
            </w:r>
          </w:p>
          <w:p>
            <w:pPr>
              <w:rPr>
                <w:rFonts w:ascii="Times New Roman" w:hAnsi="Times New Roman" w:cs="Times New Roman"/>
                <w:sz w:val="24"/>
                <w:szCs w:val="24"/>
              </w:rPr>
            </w:pPr>
            <w:r>
              <w:rPr>
                <w:rFonts w:hint="eastAsia" w:ascii="Times New Roman" w:hAnsi="Times New Roman" w:cs="Times New Roman"/>
                <w:sz w:val="24"/>
                <w:szCs w:val="24"/>
              </w:rPr>
              <w:t>详见第五章“评标方法、程序及标准”要求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8" w:hRule="atLeast"/>
        </w:trPr>
        <w:tc>
          <w:tcPr>
            <w:tcW w:w="674" w:type="dxa"/>
            <w:tcBorders>
              <w:top w:val="single" w:color="auto" w:sz="4" w:space="0"/>
              <w:bottom w:val="single" w:color="auto" w:sz="4" w:space="0"/>
              <w:right w:val="single" w:color="auto" w:sz="4" w:space="0"/>
            </w:tcBorders>
            <w:vAlign w:val="center"/>
          </w:tcPr>
          <w:p>
            <w:pPr>
              <w:numPr>
                <w:ilvl w:val="0"/>
                <w:numId w:val="1"/>
              </w:numPr>
              <w:tabs>
                <w:tab w:val="left" w:pos="242"/>
              </w:tabs>
              <w:ind w:right="57"/>
              <w:jc w:val="center"/>
              <w:rPr>
                <w:rFonts w:ascii="宋体" w:hAnsi="宋体" w:cs="Times New Roman"/>
                <w:b/>
                <w:sz w:val="24"/>
                <w:szCs w:val="24"/>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cs="Times New Roman"/>
                <w:sz w:val="24"/>
                <w:szCs w:val="24"/>
              </w:rPr>
            </w:pPr>
            <w:r>
              <w:rPr>
                <w:rFonts w:hint="eastAsia" w:ascii="Times New Roman" w:hAnsi="宋体" w:cs="Times New Roman"/>
                <w:sz w:val="24"/>
                <w:szCs w:val="24"/>
              </w:rPr>
              <w:t>中小企业</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cs="Times New Roman"/>
                <w:sz w:val="24"/>
                <w:szCs w:val="24"/>
              </w:rPr>
            </w:pPr>
            <w:r>
              <w:rPr>
                <w:rFonts w:hint="eastAsia" w:ascii="Times New Roman" w:hAnsi="Times New Roman" w:cs="Times New Roman"/>
                <w:sz w:val="24"/>
                <w:szCs w:val="24"/>
              </w:rPr>
              <w:t>非专门面向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trPr>
        <w:tc>
          <w:tcPr>
            <w:tcW w:w="674" w:type="dxa"/>
            <w:tcBorders>
              <w:top w:val="single" w:color="auto" w:sz="4" w:space="0"/>
              <w:bottom w:val="single" w:color="auto" w:sz="4" w:space="0"/>
              <w:right w:val="single" w:color="auto" w:sz="4" w:space="0"/>
            </w:tcBorders>
            <w:vAlign w:val="center"/>
          </w:tcPr>
          <w:p>
            <w:pPr>
              <w:numPr>
                <w:ilvl w:val="0"/>
                <w:numId w:val="1"/>
              </w:numPr>
              <w:tabs>
                <w:tab w:val="left" w:pos="242"/>
              </w:tabs>
              <w:ind w:right="57"/>
              <w:jc w:val="center"/>
              <w:rPr>
                <w:rFonts w:ascii="宋体" w:hAnsi="宋体" w:cs="Times New Roman"/>
                <w:b/>
                <w:sz w:val="24"/>
                <w:szCs w:val="24"/>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cs="Times New Roman"/>
                <w:sz w:val="24"/>
                <w:szCs w:val="24"/>
              </w:rPr>
            </w:pPr>
            <w:r>
              <w:rPr>
                <w:rFonts w:hint="eastAsia" w:ascii="Times New Roman" w:hAnsi="宋体" w:cs="Times New Roman"/>
                <w:sz w:val="24"/>
                <w:szCs w:val="24"/>
              </w:rPr>
              <w:t>监狱企业</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cs="Times New Roman"/>
                <w:sz w:val="24"/>
                <w:szCs w:val="24"/>
              </w:rPr>
            </w:pPr>
            <w:r>
              <w:rPr>
                <w:rFonts w:hint="eastAsia" w:ascii="Times New Roman" w:hAnsi="Times New Roman" w:cs="Times New Roman"/>
                <w:sz w:val="24"/>
                <w:szCs w:val="24"/>
              </w:rPr>
              <w:t>非专门面向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trPr>
        <w:tc>
          <w:tcPr>
            <w:tcW w:w="674" w:type="dxa"/>
            <w:tcBorders>
              <w:top w:val="single" w:color="auto" w:sz="4" w:space="0"/>
              <w:bottom w:val="single" w:color="auto" w:sz="4" w:space="0"/>
              <w:right w:val="single" w:color="auto" w:sz="4" w:space="0"/>
            </w:tcBorders>
            <w:vAlign w:val="center"/>
          </w:tcPr>
          <w:p>
            <w:pPr>
              <w:numPr>
                <w:ilvl w:val="0"/>
                <w:numId w:val="1"/>
              </w:numPr>
              <w:tabs>
                <w:tab w:val="left" w:pos="242"/>
              </w:tabs>
              <w:ind w:right="57"/>
              <w:jc w:val="center"/>
              <w:rPr>
                <w:rFonts w:ascii="宋体" w:hAnsi="宋体" w:cs="Times New Roman"/>
                <w:b/>
                <w:sz w:val="24"/>
                <w:szCs w:val="24"/>
              </w:rPr>
            </w:pPr>
          </w:p>
        </w:tc>
        <w:tc>
          <w:tcPr>
            <w:tcW w:w="22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cs="Times New Roman"/>
                <w:sz w:val="24"/>
                <w:szCs w:val="24"/>
              </w:rPr>
            </w:pPr>
            <w:r>
              <w:rPr>
                <w:rFonts w:hint="eastAsia" w:ascii="Times New Roman" w:hAnsi="宋体" w:cs="Times New Roman"/>
                <w:sz w:val="24"/>
                <w:szCs w:val="24"/>
              </w:rPr>
              <w:t>质疑及提交</w:t>
            </w:r>
          </w:p>
        </w:tc>
        <w:tc>
          <w:tcPr>
            <w:tcW w:w="6446" w:type="dxa"/>
            <w:tcBorders>
              <w:top w:val="single" w:color="auto" w:sz="4" w:space="0"/>
              <w:left w:val="single" w:color="auto" w:sz="4" w:space="0"/>
              <w:bottom w:val="single" w:color="auto" w:sz="4" w:space="0"/>
            </w:tcBorders>
            <w:vAlign w:val="center"/>
          </w:tcPr>
          <w:p>
            <w:pPr>
              <w:rPr>
                <w:rFonts w:ascii="Times New Roman" w:hAnsi="Times New Roman" w:cs="Times New Roman"/>
                <w:sz w:val="24"/>
                <w:szCs w:val="24"/>
              </w:rPr>
            </w:pPr>
            <w:r>
              <w:rPr>
                <w:rFonts w:hint="eastAsia" w:ascii="宋体" w:hAnsi="宋体" w:cs="Times New Roman"/>
                <w:sz w:val="24"/>
                <w:szCs w:val="24"/>
              </w:rPr>
              <w:t>向采购代理机构或采购人提出书面质疑，并附有关材料。</w:t>
            </w:r>
          </w:p>
        </w:tc>
      </w:tr>
    </w:tbl>
    <w:p>
      <w:pPr>
        <w:rPr>
          <w:rFonts w:ascii="宋体" w:hAnsi="宋体" w:cs="Times New Roman"/>
          <w:bCs w:val="0"/>
        </w:rPr>
      </w:pPr>
      <w:bookmarkStart w:id="4" w:name="_Toc497459171"/>
      <w:bookmarkStart w:id="5" w:name="_Toc494561938"/>
    </w:p>
    <w:p>
      <w:pPr>
        <w:rPr>
          <w:rFonts w:ascii="宋体" w:hAnsi="宋体" w:cs="Times New Roman"/>
          <w:bCs w:val="0"/>
        </w:rPr>
      </w:pPr>
    </w:p>
    <w:p>
      <w:pPr>
        <w:rPr>
          <w:rFonts w:ascii="宋体" w:hAnsi="宋体" w:cs="Times New Roman"/>
          <w:bCs w:val="0"/>
        </w:rPr>
      </w:pPr>
    </w:p>
    <w:p>
      <w:pPr>
        <w:rPr>
          <w:rFonts w:ascii="宋体" w:hAnsi="宋体" w:cs="Times New Roman"/>
          <w:bCs w:val="0"/>
        </w:rPr>
      </w:pPr>
    </w:p>
    <w:p>
      <w:pPr>
        <w:rPr>
          <w:rFonts w:ascii="宋体" w:hAnsi="宋体" w:cs="Times New Roman"/>
          <w:bCs w:val="0"/>
        </w:rPr>
      </w:pPr>
    </w:p>
    <w:p>
      <w:pPr>
        <w:rPr>
          <w:rFonts w:ascii="宋体" w:hAnsi="宋体" w:cs="Times New Roman"/>
          <w:bCs w:val="0"/>
        </w:rPr>
      </w:pPr>
    </w:p>
    <w:p>
      <w:pPr>
        <w:rPr>
          <w:rFonts w:ascii="宋体" w:hAnsi="宋体" w:cs="Times New Roman"/>
          <w:bCs w:val="0"/>
        </w:rPr>
      </w:pPr>
    </w:p>
    <w:p>
      <w:pPr>
        <w:pStyle w:val="3"/>
        <w:numPr>
          <w:ilvl w:val="0"/>
          <w:numId w:val="2"/>
        </w:numPr>
        <w:spacing w:before="40" w:after="40" w:line="360" w:lineRule="auto"/>
        <w:ind w:left="658" w:hanging="658"/>
        <w:jc w:val="left"/>
        <w:rPr>
          <w:rFonts w:ascii="宋体" w:hAnsi="宋体" w:cs="Times New Roman"/>
          <w:bCs w:val="0"/>
        </w:rPr>
      </w:pPr>
      <w:r>
        <w:rPr>
          <w:rFonts w:hint="eastAsia" w:ascii="宋体" w:hAnsi="宋体" w:cs="Times New Roman"/>
          <w:bCs w:val="0"/>
        </w:rPr>
        <w:t>说  明</w:t>
      </w:r>
      <w:bookmarkEnd w:id="4"/>
      <w:bookmarkEnd w:id="5"/>
    </w:p>
    <w:p>
      <w:pPr>
        <w:numPr>
          <w:ilvl w:val="0"/>
          <w:numId w:val="3"/>
        </w:numPr>
        <w:spacing w:line="360" w:lineRule="auto"/>
        <w:rPr>
          <w:rFonts w:ascii="宋体" w:hAnsi="宋体" w:cs="Times New Roman"/>
          <w:b/>
          <w:sz w:val="24"/>
          <w:szCs w:val="24"/>
        </w:rPr>
      </w:pPr>
      <w:r>
        <w:rPr>
          <w:rFonts w:hint="eastAsia" w:ascii="宋体" w:hAnsi="宋体" w:cs="Times New Roman"/>
          <w:b/>
          <w:sz w:val="24"/>
          <w:szCs w:val="24"/>
        </w:rPr>
        <w:t>适用范围</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招标文件仅适用于第一章“投标邀请书”中所述项目的货物、工程及服务的采购。</w:t>
      </w:r>
    </w:p>
    <w:p>
      <w:pPr>
        <w:numPr>
          <w:ilvl w:val="0"/>
          <w:numId w:val="3"/>
        </w:numPr>
        <w:spacing w:line="360" w:lineRule="auto"/>
        <w:rPr>
          <w:rFonts w:ascii="宋体" w:hAnsi="宋体" w:cs="Times New Roman"/>
          <w:b/>
          <w:sz w:val="24"/>
          <w:szCs w:val="24"/>
        </w:rPr>
      </w:pPr>
      <w:r>
        <w:rPr>
          <w:rFonts w:hint="eastAsia" w:ascii="宋体" w:hAnsi="宋体" w:cs="Times New Roman"/>
          <w:b/>
          <w:sz w:val="24"/>
          <w:szCs w:val="24"/>
        </w:rPr>
        <w:t>当事人定义</w:t>
      </w:r>
    </w:p>
    <w:p>
      <w:pPr>
        <w:numPr>
          <w:ilvl w:val="0"/>
          <w:numId w:val="4"/>
        </w:numPr>
        <w:spacing w:line="360" w:lineRule="auto"/>
        <w:ind w:left="476" w:hanging="476"/>
        <w:rPr>
          <w:rFonts w:ascii="宋体" w:hAnsi="宋体" w:cs="Times New Roman"/>
          <w:sz w:val="24"/>
          <w:szCs w:val="24"/>
        </w:rPr>
      </w:pPr>
      <w:r>
        <w:rPr>
          <w:rFonts w:hint="eastAsia" w:ascii="宋体" w:hAnsi="宋体" w:cs="Times New Roman"/>
          <w:b/>
          <w:sz w:val="24"/>
          <w:szCs w:val="24"/>
        </w:rPr>
        <w:t>“采购人”是指：</w:t>
      </w:r>
      <w:r>
        <w:rPr>
          <w:rFonts w:hint="eastAsia" w:ascii="宋体" w:hAnsi="宋体" w:cs="Times New Roman"/>
          <w:sz w:val="24"/>
          <w:szCs w:val="24"/>
        </w:rPr>
        <w:t>详见第一章“投标邀请书”。</w:t>
      </w:r>
    </w:p>
    <w:p>
      <w:pPr>
        <w:numPr>
          <w:ilvl w:val="0"/>
          <w:numId w:val="4"/>
        </w:numPr>
        <w:spacing w:line="360" w:lineRule="auto"/>
        <w:ind w:left="476" w:hanging="476"/>
        <w:rPr>
          <w:rFonts w:ascii="宋体" w:hAnsi="宋体" w:cs="Times New Roman"/>
          <w:sz w:val="24"/>
          <w:szCs w:val="24"/>
        </w:rPr>
      </w:pPr>
      <w:r>
        <w:rPr>
          <w:rFonts w:hint="eastAsia" w:ascii="宋体" w:hAnsi="宋体" w:cs="Times New Roman"/>
          <w:b/>
          <w:sz w:val="24"/>
          <w:szCs w:val="24"/>
        </w:rPr>
        <w:t>“监管部门”是指：</w:t>
      </w:r>
      <w:r>
        <w:rPr>
          <w:rFonts w:hint="eastAsia" w:ascii="宋体" w:hAnsi="宋体" w:cs="Times New Roman"/>
          <w:sz w:val="24"/>
          <w:szCs w:val="24"/>
          <w:lang w:val="en-US" w:eastAsia="zh-CN"/>
        </w:rPr>
        <w:t>/</w:t>
      </w:r>
      <w:r>
        <w:rPr>
          <w:rFonts w:hint="eastAsia" w:ascii="宋体" w:hAnsi="宋体" w:cs="Times New Roman"/>
          <w:sz w:val="24"/>
          <w:szCs w:val="24"/>
        </w:rPr>
        <w:t>。</w:t>
      </w:r>
    </w:p>
    <w:p>
      <w:pPr>
        <w:numPr>
          <w:ilvl w:val="0"/>
          <w:numId w:val="4"/>
        </w:numPr>
        <w:spacing w:line="360" w:lineRule="auto"/>
        <w:ind w:left="476" w:hanging="476"/>
        <w:rPr>
          <w:rFonts w:ascii="宋体" w:hAnsi="宋体" w:cs="Times New Roman"/>
          <w:sz w:val="24"/>
          <w:szCs w:val="24"/>
        </w:rPr>
      </w:pPr>
      <w:r>
        <w:rPr>
          <w:rFonts w:hint="eastAsia" w:ascii="宋体" w:hAnsi="宋体" w:cs="Times New Roman"/>
          <w:b/>
          <w:sz w:val="24"/>
          <w:szCs w:val="24"/>
        </w:rPr>
        <w:t>“采购代理机构”是指：潜江市华康建设工程招标代理有限责任公司</w:t>
      </w:r>
      <w:r>
        <w:rPr>
          <w:rFonts w:hint="eastAsia" w:ascii="宋体" w:hAnsi="宋体" w:cs="Times New Roman"/>
          <w:sz w:val="24"/>
          <w:szCs w:val="24"/>
        </w:rPr>
        <w:t>。</w:t>
      </w:r>
    </w:p>
    <w:p>
      <w:pPr>
        <w:numPr>
          <w:ilvl w:val="0"/>
          <w:numId w:val="4"/>
        </w:numPr>
        <w:spacing w:line="360" w:lineRule="auto"/>
        <w:ind w:left="476" w:hanging="476"/>
        <w:rPr>
          <w:rFonts w:ascii="宋体" w:hAnsi="宋体" w:cs="Times New Roman"/>
          <w:sz w:val="24"/>
          <w:szCs w:val="24"/>
        </w:rPr>
      </w:pPr>
      <w:r>
        <w:rPr>
          <w:rFonts w:hint="eastAsia" w:ascii="宋体" w:hAnsi="宋体" w:cs="Times New Roman"/>
          <w:b/>
          <w:sz w:val="24"/>
          <w:szCs w:val="24"/>
        </w:rPr>
        <w:t>“投标人”是指：</w:t>
      </w:r>
      <w:r>
        <w:rPr>
          <w:rFonts w:ascii="宋体" w:hAnsi="宋体" w:cs="Helvetica"/>
          <w:kern w:val="0"/>
          <w:sz w:val="24"/>
          <w:szCs w:val="24"/>
        </w:rPr>
        <w:t>响应招标、参加投标竞争的法人、其他组织或者自然人。</w:t>
      </w:r>
    </w:p>
    <w:p>
      <w:pPr>
        <w:numPr>
          <w:ilvl w:val="0"/>
          <w:numId w:val="4"/>
        </w:numPr>
        <w:spacing w:line="360" w:lineRule="auto"/>
        <w:ind w:left="476" w:hanging="476"/>
        <w:rPr>
          <w:rFonts w:ascii="宋体" w:hAnsi="宋体" w:cs="Helvetica"/>
          <w:kern w:val="0"/>
          <w:sz w:val="24"/>
          <w:szCs w:val="24"/>
        </w:rPr>
      </w:pPr>
      <w:r>
        <w:rPr>
          <w:rFonts w:hint="eastAsia" w:ascii="宋体" w:hAnsi="宋体" w:cs="Times New Roman"/>
          <w:b/>
          <w:sz w:val="24"/>
          <w:szCs w:val="24"/>
        </w:rPr>
        <w:t>“合格的投标人”是指：</w:t>
      </w:r>
      <w:r>
        <w:rPr>
          <w:rFonts w:hint="eastAsia" w:ascii="宋体" w:hAnsi="宋体" w:cs="Helvetica"/>
          <w:kern w:val="0"/>
          <w:sz w:val="24"/>
          <w:szCs w:val="24"/>
        </w:rPr>
        <w:t>资格审查和符合性审查合格的投标人。</w:t>
      </w:r>
    </w:p>
    <w:p>
      <w:pPr>
        <w:numPr>
          <w:ilvl w:val="0"/>
          <w:numId w:val="4"/>
        </w:numPr>
        <w:spacing w:line="360" w:lineRule="auto"/>
        <w:ind w:left="476" w:hanging="476"/>
        <w:rPr>
          <w:rFonts w:ascii="宋体" w:hAnsi="宋体" w:cs="Times New Roman"/>
          <w:sz w:val="24"/>
          <w:szCs w:val="24"/>
        </w:rPr>
      </w:pPr>
      <w:r>
        <w:rPr>
          <w:rFonts w:hint="eastAsia" w:ascii="宋体" w:hAnsi="宋体" w:cs="Times New Roman"/>
          <w:b/>
          <w:sz w:val="24"/>
          <w:szCs w:val="24"/>
        </w:rPr>
        <w:t>“中标人”是指：</w:t>
      </w:r>
      <w:r>
        <w:rPr>
          <w:rFonts w:hint="eastAsia" w:ascii="宋体" w:hAnsi="宋体" w:cs="Times New Roman"/>
          <w:sz w:val="24"/>
          <w:szCs w:val="24"/>
        </w:rPr>
        <w:t>经评标委员会评审，授予合同的投标人。</w:t>
      </w:r>
    </w:p>
    <w:p>
      <w:pPr>
        <w:numPr>
          <w:ilvl w:val="0"/>
          <w:numId w:val="3"/>
        </w:numPr>
        <w:spacing w:line="360" w:lineRule="auto"/>
        <w:rPr>
          <w:rFonts w:ascii="宋体" w:hAnsi="宋体" w:cs="Times New Roman"/>
          <w:b/>
          <w:sz w:val="24"/>
          <w:szCs w:val="24"/>
        </w:rPr>
      </w:pPr>
      <w:r>
        <w:rPr>
          <w:rFonts w:hint="eastAsia" w:ascii="宋体" w:hAnsi="宋体" w:cs="Times New Roman"/>
          <w:b/>
          <w:sz w:val="24"/>
          <w:szCs w:val="24"/>
        </w:rPr>
        <w:t>项目属性及定义</w:t>
      </w:r>
    </w:p>
    <w:p>
      <w:pPr>
        <w:numPr>
          <w:ilvl w:val="0"/>
          <w:numId w:val="5"/>
        </w:numPr>
        <w:spacing w:line="360" w:lineRule="auto"/>
        <w:ind w:left="476" w:hanging="476"/>
        <w:rPr>
          <w:rFonts w:ascii="宋体" w:hAnsi="宋体" w:cs="Times New Roman"/>
          <w:sz w:val="24"/>
          <w:szCs w:val="24"/>
        </w:rPr>
      </w:pPr>
      <w:r>
        <w:rPr>
          <w:rFonts w:hint="eastAsia" w:ascii="宋体" w:hAnsi="宋体" w:cs="Times New Roman"/>
          <w:b/>
          <w:sz w:val="24"/>
          <w:szCs w:val="24"/>
        </w:rPr>
        <w:t>“货物”是指</w:t>
      </w:r>
      <w:r>
        <w:rPr>
          <w:rFonts w:hint="eastAsia" w:ascii="宋体" w:hAnsi="宋体" w:cs="Times New Roman"/>
          <w:sz w:val="24"/>
          <w:szCs w:val="24"/>
        </w:rPr>
        <w:t>：各种形态和种类的物品，包括原材料、燃料、设备、产品等。</w:t>
      </w:r>
    </w:p>
    <w:p>
      <w:pPr>
        <w:numPr>
          <w:ilvl w:val="0"/>
          <w:numId w:val="6"/>
        </w:numPr>
        <w:spacing w:line="360" w:lineRule="auto"/>
        <w:ind w:left="854" w:hanging="728"/>
        <w:rPr>
          <w:rFonts w:ascii="宋体" w:hAnsi="宋体" w:cs="Times New Roman"/>
          <w:sz w:val="24"/>
          <w:szCs w:val="24"/>
        </w:rPr>
      </w:pPr>
      <w:r>
        <w:rPr>
          <w:rFonts w:hint="eastAsia" w:ascii="宋体" w:hAnsi="宋体" w:cs="Times New Roman"/>
          <w:sz w:val="24"/>
          <w:szCs w:val="24"/>
        </w:rPr>
        <w:t>招标文件中没有提及招标货物来源地的，根据《政府采购法》及相关规定均应是本国货物，另有规定的除外。</w:t>
      </w:r>
    </w:p>
    <w:p>
      <w:pPr>
        <w:numPr>
          <w:ilvl w:val="0"/>
          <w:numId w:val="6"/>
        </w:numPr>
        <w:spacing w:line="360" w:lineRule="auto"/>
        <w:ind w:left="854" w:hanging="728"/>
        <w:rPr>
          <w:rFonts w:ascii="宋体" w:hAnsi="宋体" w:cs="Times New Roman"/>
          <w:sz w:val="24"/>
          <w:szCs w:val="24"/>
        </w:rPr>
      </w:pPr>
      <w:r>
        <w:rPr>
          <w:rFonts w:hint="eastAsia" w:ascii="宋体" w:hAnsi="宋体" w:cs="Times New Roman"/>
          <w:sz w:val="24"/>
          <w:szCs w:val="24"/>
        </w:rPr>
        <w:t>投标的货物应是合法生产的符合国家有关标准要求的货物，并能够按照合同规定的品牌、产地、质量、价格和有效期等履约。</w:t>
      </w:r>
    </w:p>
    <w:p>
      <w:pPr>
        <w:numPr>
          <w:ilvl w:val="0"/>
          <w:numId w:val="5"/>
        </w:numPr>
        <w:spacing w:line="360" w:lineRule="auto"/>
        <w:ind w:left="476" w:hanging="476"/>
        <w:rPr>
          <w:rFonts w:ascii="宋体" w:hAnsi="宋体" w:cs="Times New Roman"/>
          <w:b/>
          <w:color w:val="0D0D0D"/>
          <w:sz w:val="24"/>
          <w:szCs w:val="24"/>
        </w:rPr>
      </w:pPr>
      <w:r>
        <w:rPr>
          <w:rFonts w:hint="eastAsia" w:ascii="宋体" w:hAnsi="宋体" w:cs="Times New Roman"/>
          <w:b/>
          <w:color w:val="0D0D0D"/>
          <w:sz w:val="24"/>
          <w:szCs w:val="24"/>
        </w:rPr>
        <w:t>“工程”是指</w:t>
      </w:r>
      <w:r>
        <w:rPr>
          <w:rFonts w:hint="eastAsia" w:ascii="宋体" w:hAnsi="宋体" w:cs="Times New Roman"/>
          <w:color w:val="0D0D0D"/>
          <w:sz w:val="24"/>
          <w:szCs w:val="24"/>
        </w:rPr>
        <w:t>：与建筑物和构筑物的新建、改建、扩建及其相关的装修、拆除、修缮无关的工程。</w:t>
      </w:r>
    </w:p>
    <w:p>
      <w:pPr>
        <w:numPr>
          <w:ilvl w:val="0"/>
          <w:numId w:val="5"/>
        </w:numPr>
        <w:spacing w:line="360" w:lineRule="auto"/>
        <w:ind w:left="476" w:hanging="476"/>
        <w:rPr>
          <w:rFonts w:ascii="宋体" w:hAnsi="宋体" w:cs="Times New Roman"/>
          <w:sz w:val="24"/>
          <w:szCs w:val="24"/>
        </w:rPr>
      </w:pPr>
      <w:r>
        <w:rPr>
          <w:rFonts w:hint="eastAsia" w:ascii="宋体" w:hAnsi="宋体" w:cs="Times New Roman"/>
          <w:b/>
          <w:sz w:val="24"/>
          <w:szCs w:val="24"/>
        </w:rPr>
        <w:t>“服务”</w:t>
      </w:r>
      <w:r>
        <w:rPr>
          <w:rFonts w:hint="eastAsia" w:ascii="宋体" w:hAnsi="宋体" w:cs="Times New Roman"/>
          <w:b/>
          <w:color w:val="0C0C0C"/>
          <w:sz w:val="24"/>
          <w:szCs w:val="24"/>
        </w:rPr>
        <w:t>是指：</w:t>
      </w:r>
      <w:r>
        <w:rPr>
          <w:rFonts w:hint="eastAsia" w:ascii="宋体" w:hAnsi="宋体" w:cs="Times New Roman"/>
          <w:color w:val="0C0C0C"/>
          <w:sz w:val="24"/>
          <w:szCs w:val="24"/>
        </w:rPr>
        <w:t>除货物和工程（含本章3.2条所述工程及《招标投标法》所定义工程）以外的其他政府采购对象,包括政府自身需要的服务和政府向社会公众提供的公共服务。</w:t>
      </w:r>
    </w:p>
    <w:p>
      <w:pPr>
        <w:numPr>
          <w:ilvl w:val="0"/>
          <w:numId w:val="5"/>
        </w:numPr>
        <w:spacing w:line="360" w:lineRule="auto"/>
        <w:ind w:left="476" w:hanging="476"/>
        <w:rPr>
          <w:rFonts w:ascii="宋体" w:hAnsi="宋体" w:cs="Times New Roman"/>
          <w:sz w:val="24"/>
          <w:szCs w:val="24"/>
        </w:rPr>
      </w:pPr>
      <w:r>
        <w:rPr>
          <w:rFonts w:ascii="宋体" w:hAnsi="宋体" w:cs="Times New Roman"/>
          <w:sz w:val="24"/>
          <w:szCs w:val="24"/>
        </w:rPr>
        <w:t>采购人应当按照财政部制定的《政府采购品目分类目录》确定采购项目属性</w:t>
      </w:r>
      <w:r>
        <w:rPr>
          <w:rFonts w:hint="eastAsia" w:ascii="宋体" w:hAnsi="宋体" w:cs="Times New Roman"/>
          <w:sz w:val="24"/>
          <w:szCs w:val="24"/>
        </w:rPr>
        <w:t>。</w:t>
      </w:r>
      <w:r>
        <w:rPr>
          <w:rFonts w:ascii="宋体" w:hAnsi="宋体" w:cs="Times New Roman"/>
          <w:sz w:val="24"/>
          <w:szCs w:val="24"/>
        </w:rPr>
        <w:t>按照《政府采购品目分类目录》无法确定的，按照有利于采购项目实施的原则确定。</w:t>
      </w:r>
    </w:p>
    <w:p>
      <w:pPr>
        <w:numPr>
          <w:ilvl w:val="0"/>
          <w:numId w:val="3"/>
        </w:numPr>
        <w:spacing w:line="360" w:lineRule="auto"/>
        <w:rPr>
          <w:rFonts w:ascii="宋体" w:hAnsi="宋体" w:cs="Times New Roman"/>
          <w:b/>
          <w:sz w:val="24"/>
          <w:szCs w:val="24"/>
        </w:rPr>
      </w:pPr>
      <w:r>
        <w:rPr>
          <w:rFonts w:hint="eastAsia" w:ascii="宋体" w:hAnsi="宋体" w:cs="Times New Roman"/>
          <w:b/>
          <w:sz w:val="24"/>
          <w:szCs w:val="24"/>
        </w:rPr>
        <w:t>投标费用</w:t>
      </w:r>
    </w:p>
    <w:p>
      <w:pPr>
        <w:numPr>
          <w:ilvl w:val="0"/>
          <w:numId w:val="7"/>
        </w:numPr>
        <w:spacing w:line="360" w:lineRule="auto"/>
        <w:ind w:left="476" w:hanging="476"/>
        <w:rPr>
          <w:rFonts w:ascii="宋体" w:hAnsi="宋体" w:cs="Times New Roman"/>
          <w:sz w:val="24"/>
          <w:szCs w:val="24"/>
        </w:rPr>
      </w:pPr>
      <w:r>
        <w:rPr>
          <w:rFonts w:hint="eastAsia" w:ascii="宋体" w:hAnsi="宋体" w:cs="Times New Roman"/>
          <w:sz w:val="24"/>
          <w:szCs w:val="24"/>
        </w:rPr>
        <w:t>投标人应承担所有与准备和参加投标有关的费用。不论投标的结果如何，采购代理机构和采购人均无义务和责任承担这些费用。</w:t>
      </w:r>
    </w:p>
    <w:p>
      <w:pPr>
        <w:pStyle w:val="3"/>
        <w:numPr>
          <w:ilvl w:val="0"/>
          <w:numId w:val="2"/>
        </w:numPr>
        <w:spacing w:before="40" w:after="40" w:line="360" w:lineRule="auto"/>
        <w:ind w:left="658" w:hanging="658"/>
        <w:jc w:val="left"/>
        <w:rPr>
          <w:rFonts w:ascii="宋体" w:hAnsi="宋体" w:cs="Times New Roman"/>
          <w:bCs w:val="0"/>
        </w:rPr>
      </w:pPr>
      <w:bookmarkStart w:id="6" w:name="_Toc497459172"/>
      <w:bookmarkStart w:id="7" w:name="_Toc272247695"/>
      <w:bookmarkStart w:id="8" w:name="_Toc494561939"/>
      <w:bookmarkStart w:id="9" w:name="_Toc278891592"/>
      <w:r>
        <w:rPr>
          <w:rFonts w:hint="eastAsia" w:ascii="宋体" w:hAnsi="宋体" w:cs="Times New Roman"/>
          <w:bCs w:val="0"/>
        </w:rPr>
        <w:t>招标文件</w:t>
      </w:r>
      <w:bookmarkEnd w:id="6"/>
      <w:bookmarkEnd w:id="7"/>
      <w:bookmarkEnd w:id="8"/>
      <w:bookmarkEnd w:id="9"/>
    </w:p>
    <w:p>
      <w:pPr>
        <w:numPr>
          <w:ilvl w:val="0"/>
          <w:numId w:val="3"/>
        </w:numPr>
        <w:spacing w:line="360" w:lineRule="auto"/>
        <w:rPr>
          <w:rFonts w:ascii="宋体" w:hAnsi="宋体" w:cs="Times New Roman"/>
          <w:b/>
          <w:sz w:val="24"/>
          <w:szCs w:val="20"/>
        </w:rPr>
      </w:pPr>
      <w:r>
        <w:rPr>
          <w:rFonts w:hint="eastAsia" w:ascii="宋体" w:hAnsi="宋体" w:cs="Times New Roman"/>
          <w:b/>
          <w:sz w:val="24"/>
          <w:szCs w:val="20"/>
        </w:rPr>
        <w:t>招标文件的构成</w:t>
      </w:r>
    </w:p>
    <w:p>
      <w:pPr>
        <w:numPr>
          <w:ilvl w:val="0"/>
          <w:numId w:val="8"/>
        </w:numPr>
        <w:tabs>
          <w:tab w:val="left" w:pos="476"/>
        </w:tabs>
        <w:spacing w:line="360" w:lineRule="auto"/>
        <w:ind w:left="476"/>
        <w:rPr>
          <w:rFonts w:ascii="宋体" w:hAnsi="宋体" w:cs="Times New Roman"/>
          <w:sz w:val="24"/>
          <w:szCs w:val="20"/>
        </w:rPr>
      </w:pPr>
      <w:r>
        <w:rPr>
          <w:rFonts w:hint="eastAsia" w:ascii="宋体" w:hAnsi="宋体" w:cs="Times New Roman"/>
          <w:sz w:val="24"/>
          <w:szCs w:val="20"/>
        </w:rPr>
        <w:t>招标公告</w:t>
      </w:r>
    </w:p>
    <w:p>
      <w:pPr>
        <w:numPr>
          <w:ilvl w:val="0"/>
          <w:numId w:val="8"/>
        </w:numPr>
        <w:tabs>
          <w:tab w:val="left" w:pos="476"/>
        </w:tabs>
        <w:spacing w:line="360" w:lineRule="auto"/>
        <w:ind w:left="476"/>
        <w:rPr>
          <w:rFonts w:ascii="宋体" w:hAnsi="宋体" w:cs="Times New Roman"/>
          <w:sz w:val="24"/>
          <w:szCs w:val="20"/>
        </w:rPr>
      </w:pPr>
      <w:r>
        <w:rPr>
          <w:rFonts w:hint="eastAsia" w:ascii="宋体" w:hAnsi="宋体" w:cs="Times New Roman"/>
          <w:sz w:val="24"/>
          <w:szCs w:val="20"/>
        </w:rPr>
        <w:t xml:space="preserve"> 投标人须知</w:t>
      </w:r>
    </w:p>
    <w:p>
      <w:pPr>
        <w:tabs>
          <w:tab w:val="left" w:pos="476"/>
        </w:tabs>
        <w:spacing w:line="360" w:lineRule="auto"/>
        <w:ind w:left="476"/>
        <w:rPr>
          <w:rFonts w:ascii="宋体" w:hAnsi="宋体" w:cs="Times New Roman"/>
          <w:sz w:val="24"/>
          <w:szCs w:val="20"/>
        </w:rPr>
      </w:pPr>
      <w:r>
        <w:rPr>
          <w:rFonts w:hint="eastAsia" w:ascii="宋体" w:hAnsi="宋体" w:cs="Times New Roman"/>
          <w:sz w:val="24"/>
          <w:szCs w:val="20"/>
        </w:rPr>
        <w:t>第三章 项目技术、服务及商务要求</w:t>
      </w:r>
    </w:p>
    <w:p>
      <w:pPr>
        <w:tabs>
          <w:tab w:val="left" w:pos="476"/>
        </w:tabs>
        <w:spacing w:line="360" w:lineRule="auto"/>
        <w:ind w:left="476"/>
        <w:rPr>
          <w:rFonts w:ascii="宋体" w:hAnsi="宋体" w:cs="Times New Roman"/>
          <w:sz w:val="24"/>
          <w:szCs w:val="20"/>
        </w:rPr>
      </w:pPr>
      <w:r>
        <w:rPr>
          <w:rFonts w:hint="eastAsia" w:ascii="宋体" w:hAnsi="宋体" w:cs="Times New Roman"/>
          <w:sz w:val="24"/>
          <w:szCs w:val="20"/>
        </w:rPr>
        <w:t>第四章 资格审查方法及标准</w:t>
      </w:r>
    </w:p>
    <w:p>
      <w:pPr>
        <w:tabs>
          <w:tab w:val="left" w:pos="476"/>
        </w:tabs>
        <w:spacing w:line="360" w:lineRule="auto"/>
        <w:ind w:left="476"/>
        <w:rPr>
          <w:rFonts w:ascii="宋体" w:hAnsi="宋体" w:cs="Times New Roman"/>
          <w:sz w:val="24"/>
          <w:szCs w:val="20"/>
        </w:rPr>
      </w:pPr>
      <w:r>
        <w:rPr>
          <w:rFonts w:hint="eastAsia" w:ascii="宋体" w:hAnsi="宋体" w:cs="Times New Roman"/>
          <w:sz w:val="24"/>
          <w:szCs w:val="20"/>
        </w:rPr>
        <w:t>第五章 评标方法、程序及标准</w:t>
      </w:r>
    </w:p>
    <w:p>
      <w:pPr>
        <w:tabs>
          <w:tab w:val="left" w:pos="476"/>
        </w:tabs>
        <w:spacing w:line="360" w:lineRule="auto"/>
        <w:ind w:left="476"/>
        <w:rPr>
          <w:rFonts w:ascii="宋体" w:hAnsi="宋体" w:cs="Times New Roman"/>
          <w:sz w:val="24"/>
          <w:szCs w:val="20"/>
        </w:rPr>
      </w:pPr>
      <w:r>
        <w:rPr>
          <w:rFonts w:hint="eastAsia" w:ascii="宋体" w:hAnsi="宋体" w:cs="Times New Roman"/>
          <w:sz w:val="24"/>
          <w:szCs w:val="20"/>
        </w:rPr>
        <w:t>第六章 合同书格式（参考）</w:t>
      </w:r>
    </w:p>
    <w:p>
      <w:pPr>
        <w:tabs>
          <w:tab w:val="left" w:pos="476"/>
        </w:tabs>
        <w:spacing w:line="360" w:lineRule="auto"/>
        <w:ind w:left="476"/>
        <w:rPr>
          <w:rFonts w:ascii="宋体" w:hAnsi="宋体" w:cs="Times New Roman"/>
          <w:sz w:val="24"/>
          <w:szCs w:val="20"/>
        </w:rPr>
      </w:pPr>
      <w:r>
        <w:rPr>
          <w:rFonts w:hint="eastAsia" w:ascii="宋体" w:hAnsi="宋体" w:cs="Times New Roman"/>
          <w:sz w:val="24"/>
          <w:szCs w:val="20"/>
        </w:rPr>
        <w:t>第七章 投标文件格式（参考）</w:t>
      </w:r>
    </w:p>
    <w:p>
      <w:pPr>
        <w:tabs>
          <w:tab w:val="left" w:pos="476"/>
        </w:tabs>
        <w:spacing w:line="360" w:lineRule="auto"/>
        <w:ind w:left="476"/>
        <w:rPr>
          <w:rFonts w:ascii="宋体" w:hAnsi="宋体" w:cs="Times New Roman"/>
          <w:sz w:val="24"/>
          <w:szCs w:val="20"/>
        </w:rPr>
      </w:pPr>
      <w:r>
        <w:rPr>
          <w:rFonts w:hint="eastAsia" w:ascii="宋体" w:hAnsi="宋体" w:cs="Times New Roman"/>
          <w:sz w:val="24"/>
          <w:szCs w:val="20"/>
        </w:rPr>
        <w:t>其 他  在招标过程中由采购代理机构发出的修正和补充文件等</w:t>
      </w:r>
    </w:p>
    <w:p>
      <w:pPr>
        <w:numPr>
          <w:ilvl w:val="0"/>
          <w:numId w:val="3"/>
        </w:numPr>
        <w:spacing w:line="360" w:lineRule="auto"/>
        <w:rPr>
          <w:rFonts w:ascii="宋体" w:hAnsi="宋体" w:cs="Times New Roman"/>
          <w:b/>
          <w:sz w:val="24"/>
          <w:szCs w:val="20"/>
        </w:rPr>
      </w:pPr>
      <w:r>
        <w:rPr>
          <w:rFonts w:hint="eastAsia" w:ascii="宋体" w:hAnsi="宋体" w:cs="Times New Roman"/>
          <w:b/>
          <w:sz w:val="24"/>
          <w:szCs w:val="20"/>
        </w:rPr>
        <w:t>招标文件疑问的提交</w:t>
      </w:r>
    </w:p>
    <w:p>
      <w:pPr>
        <w:numPr>
          <w:ilvl w:val="0"/>
          <w:numId w:val="9"/>
        </w:numPr>
        <w:spacing w:line="360" w:lineRule="auto"/>
        <w:ind w:left="476" w:hanging="476"/>
        <w:rPr>
          <w:rFonts w:ascii="宋体" w:hAnsi="宋体" w:cs="Times New Roman"/>
          <w:sz w:val="24"/>
          <w:szCs w:val="20"/>
        </w:rPr>
      </w:pPr>
      <w:r>
        <w:rPr>
          <w:rFonts w:hint="eastAsia" w:ascii="宋体" w:hAnsi="宋体" w:cs="Times New Roman"/>
          <w:sz w:val="24"/>
          <w:szCs w:val="20"/>
        </w:rPr>
        <w:t>潜在投标人对招标文件有疑问的，可以向采购代理机构提出询问，或在6.2规定的时间前以书面的形式向采购代理机构提交疑问函。</w:t>
      </w:r>
    </w:p>
    <w:p>
      <w:pPr>
        <w:numPr>
          <w:ilvl w:val="0"/>
          <w:numId w:val="9"/>
        </w:numPr>
        <w:spacing w:line="360" w:lineRule="auto"/>
        <w:ind w:left="476" w:hanging="476"/>
        <w:rPr>
          <w:rFonts w:ascii="宋体" w:hAnsi="宋体" w:cs="Times New Roman"/>
          <w:sz w:val="24"/>
          <w:szCs w:val="20"/>
        </w:rPr>
      </w:pPr>
      <w:r>
        <w:rPr>
          <w:rFonts w:hint="eastAsia" w:ascii="宋体" w:hAnsi="宋体" w:cs="Times New Roman"/>
          <w:sz w:val="24"/>
          <w:szCs w:val="20"/>
        </w:rPr>
        <w:t>潜在投标人在项目招标公告期限届满之日起7个工作日内未对招标文件提出疑问的，采购代理机构将视其认同招标文件，在规定的时间后就招标文件内容提出的疑问将不予受理。</w:t>
      </w:r>
    </w:p>
    <w:p>
      <w:pPr>
        <w:numPr>
          <w:ilvl w:val="0"/>
          <w:numId w:val="9"/>
        </w:numPr>
        <w:spacing w:line="360" w:lineRule="auto"/>
        <w:ind w:left="476" w:hanging="476"/>
        <w:rPr>
          <w:rFonts w:ascii="宋体" w:hAnsi="宋体" w:cs="Times New Roman"/>
          <w:sz w:val="24"/>
          <w:szCs w:val="20"/>
        </w:rPr>
      </w:pPr>
      <w:r>
        <w:rPr>
          <w:rFonts w:hint="eastAsia" w:ascii="宋体" w:hAnsi="宋体" w:cs="Times New Roman"/>
          <w:sz w:val="24"/>
          <w:szCs w:val="20"/>
        </w:rPr>
        <w:t>采购代理机构将组织采购人对潜在投标人所提交疑问以书面（或网上公告）的形式予以答复。必要时，采购代理机构将组织相关专家召开答疑会，并将会议内容以书面的形式发给每个领取招标文件的潜在投标人（答复中不包括问题的来源）。</w:t>
      </w:r>
    </w:p>
    <w:p>
      <w:pPr>
        <w:numPr>
          <w:ilvl w:val="0"/>
          <w:numId w:val="3"/>
        </w:numPr>
        <w:spacing w:line="360" w:lineRule="auto"/>
        <w:rPr>
          <w:rFonts w:ascii="宋体" w:hAnsi="宋体" w:cs="Times New Roman"/>
          <w:b/>
          <w:sz w:val="24"/>
          <w:szCs w:val="20"/>
        </w:rPr>
      </w:pPr>
      <w:r>
        <w:rPr>
          <w:rFonts w:hint="eastAsia" w:ascii="宋体" w:hAnsi="宋体" w:cs="Times New Roman"/>
          <w:b/>
          <w:sz w:val="24"/>
          <w:szCs w:val="20"/>
        </w:rPr>
        <w:t>招标文件的澄清、修改</w:t>
      </w:r>
    </w:p>
    <w:p>
      <w:pPr>
        <w:numPr>
          <w:ilvl w:val="0"/>
          <w:numId w:val="10"/>
        </w:numPr>
        <w:spacing w:line="360" w:lineRule="auto"/>
        <w:ind w:left="476" w:hanging="476"/>
        <w:rPr>
          <w:rFonts w:ascii="Helvetica" w:hAnsi="Helvetica" w:cs="Helvetica"/>
          <w:kern w:val="0"/>
          <w:sz w:val="24"/>
          <w:szCs w:val="24"/>
        </w:rPr>
      </w:pPr>
      <w:r>
        <w:rPr>
          <w:rFonts w:hint="eastAsia" w:ascii="宋体" w:hAnsi="宋体" w:cs="Times New Roman"/>
          <w:sz w:val="24"/>
          <w:szCs w:val="20"/>
        </w:rPr>
        <w:t>采购代理机构和采购人可以对已发出的招标文件进行必要的澄清或者修改，</w:t>
      </w:r>
      <w:r>
        <w:rPr>
          <w:rFonts w:hint="eastAsia" w:ascii="Helvetica" w:hAnsi="Helvetica" w:cs="Helvetica"/>
          <w:kern w:val="0"/>
          <w:sz w:val="24"/>
          <w:szCs w:val="24"/>
        </w:rPr>
        <w:t>但不得改变采购标的和资格条件</w:t>
      </w:r>
      <w:r>
        <w:rPr>
          <w:rFonts w:hint="eastAsia" w:ascii="宋体" w:hAnsi="宋体" w:cs="Times New Roman"/>
          <w:sz w:val="24"/>
          <w:szCs w:val="20"/>
        </w:rPr>
        <w:t>。</w:t>
      </w:r>
      <w:r>
        <w:rPr>
          <w:rFonts w:hint="eastAsia" w:ascii="Helvetica" w:hAnsi="Helvetica" w:cs="Helvetica"/>
          <w:kern w:val="0"/>
          <w:sz w:val="24"/>
          <w:szCs w:val="24"/>
        </w:rPr>
        <w:t>澄清或者修改将在原公告发布媒体上发布澄清公告。澄清或者修改的内容可能影响投标文件编制的，采购代理机构和采购人将在投标截止时间至少</w:t>
      </w:r>
      <w:r>
        <w:rPr>
          <w:rFonts w:hint="eastAsia" w:ascii="宋体" w:hAnsi="宋体" w:cs="Times New Roman"/>
          <w:sz w:val="24"/>
          <w:szCs w:val="20"/>
        </w:rPr>
        <w:t>15</w:t>
      </w:r>
      <w:r>
        <w:rPr>
          <w:rFonts w:hint="eastAsia" w:ascii="Helvetica" w:hAnsi="Helvetica" w:cs="Helvetica"/>
          <w:kern w:val="0"/>
          <w:sz w:val="24"/>
          <w:szCs w:val="24"/>
        </w:rPr>
        <w:t>日前，以书面形式通知所有获取招标文件的潜在投标人。</w:t>
      </w:r>
    </w:p>
    <w:p>
      <w:pPr>
        <w:numPr>
          <w:ilvl w:val="0"/>
          <w:numId w:val="10"/>
        </w:numPr>
        <w:spacing w:line="360" w:lineRule="auto"/>
        <w:ind w:left="476" w:hanging="476"/>
        <w:rPr>
          <w:rFonts w:ascii="宋体" w:hAnsi="宋体" w:cs="Times New Roman"/>
          <w:sz w:val="24"/>
          <w:szCs w:val="20"/>
        </w:rPr>
      </w:pPr>
      <w:r>
        <w:rPr>
          <w:rFonts w:hint="eastAsia" w:ascii="宋体" w:hAnsi="宋体" w:cs="Times New Roman"/>
          <w:sz w:val="24"/>
          <w:szCs w:val="20"/>
        </w:rPr>
        <w:t>为使潜在投标人有充足时间对招标文件的澄清或者修改的内容进行研究和响应，采购代理机构和采购人可适当顺延提交投标文件的截止时间，并以书面（或网上公告）的形式通知所有领取招标文件的潜在投标人。</w:t>
      </w:r>
    </w:p>
    <w:p>
      <w:pPr>
        <w:numPr>
          <w:ilvl w:val="0"/>
          <w:numId w:val="10"/>
        </w:numPr>
        <w:spacing w:line="360" w:lineRule="auto"/>
        <w:ind w:left="476" w:hanging="476"/>
        <w:rPr>
          <w:rFonts w:ascii="宋体" w:hAnsi="宋体" w:cs="Times New Roman"/>
          <w:sz w:val="24"/>
          <w:szCs w:val="20"/>
        </w:rPr>
      </w:pPr>
      <w:r>
        <w:rPr>
          <w:rFonts w:hint="eastAsia" w:ascii="宋体" w:hAnsi="宋体" w:cs="Times New Roman"/>
          <w:sz w:val="24"/>
          <w:szCs w:val="20"/>
        </w:rPr>
        <w:t>澄清或者修改的内容为招标文件的组成部分，并对潜在投标人具有约束力。潜在投标人在收到上述通知后，应立即以书面（或邮件）形式向采购代理机构确认收悉。</w:t>
      </w:r>
    </w:p>
    <w:p>
      <w:pPr>
        <w:numPr>
          <w:ilvl w:val="0"/>
          <w:numId w:val="3"/>
        </w:numPr>
        <w:spacing w:line="360" w:lineRule="auto"/>
        <w:rPr>
          <w:rFonts w:ascii="宋体" w:hAnsi="宋体" w:cs="Times New Roman"/>
          <w:b/>
          <w:sz w:val="24"/>
          <w:szCs w:val="20"/>
        </w:rPr>
      </w:pPr>
      <w:r>
        <w:rPr>
          <w:rFonts w:hint="eastAsia" w:ascii="宋体" w:hAnsi="宋体" w:cs="Times New Roman"/>
          <w:b/>
          <w:sz w:val="24"/>
          <w:szCs w:val="20"/>
        </w:rPr>
        <w:t>现场考察</w:t>
      </w:r>
    </w:p>
    <w:p>
      <w:pPr>
        <w:numPr>
          <w:ilvl w:val="0"/>
          <w:numId w:val="11"/>
        </w:numPr>
        <w:spacing w:line="360" w:lineRule="auto"/>
        <w:ind w:left="476" w:hanging="476"/>
        <w:rPr>
          <w:rFonts w:ascii="宋体" w:hAnsi="宋体" w:cs="Times New Roman"/>
          <w:sz w:val="24"/>
          <w:szCs w:val="20"/>
        </w:rPr>
      </w:pPr>
      <w:r>
        <w:rPr>
          <w:rFonts w:hint="eastAsia" w:ascii="宋体" w:hAnsi="宋体" w:cs="Times New Roman"/>
          <w:sz w:val="24"/>
          <w:szCs w:val="20"/>
        </w:rPr>
        <w:t>采购人可以在招标文件提供期限截止后，组织已获取招标文件的潜在投标人现场考察。采购人组织现场考察的，潜在投标人可对项目现场及周围环境进行踏勘，以便获取有关编制投标文件和签署合同所涉及现场的资料。</w:t>
      </w:r>
    </w:p>
    <w:p>
      <w:pPr>
        <w:numPr>
          <w:ilvl w:val="0"/>
          <w:numId w:val="11"/>
        </w:numPr>
        <w:spacing w:line="360" w:lineRule="auto"/>
        <w:ind w:left="476" w:hanging="476"/>
        <w:rPr>
          <w:rFonts w:ascii="宋体" w:hAnsi="宋体" w:cs="Times New Roman"/>
          <w:sz w:val="24"/>
          <w:szCs w:val="20"/>
        </w:rPr>
      </w:pPr>
      <w:r>
        <w:rPr>
          <w:rFonts w:hint="eastAsia" w:ascii="宋体" w:hAnsi="宋体" w:cs="Times New Roman"/>
          <w:sz w:val="24"/>
          <w:szCs w:val="20"/>
        </w:rPr>
        <w:t>采购人向潜在投标人提供有关现场的数据和资料。是采购人现有的能被潜在投标人利用的客观资料，采购人对潜在投标人依此作出的任何推论、理解和结论均不负责任。</w:t>
      </w:r>
    </w:p>
    <w:p>
      <w:pPr>
        <w:numPr>
          <w:ilvl w:val="0"/>
          <w:numId w:val="11"/>
        </w:numPr>
        <w:spacing w:line="360" w:lineRule="auto"/>
        <w:ind w:left="476" w:hanging="476"/>
        <w:rPr>
          <w:rFonts w:ascii="宋体" w:hAnsi="宋体" w:cs="Times New Roman"/>
          <w:sz w:val="24"/>
          <w:szCs w:val="20"/>
        </w:rPr>
      </w:pPr>
      <w:r>
        <w:rPr>
          <w:rFonts w:hint="eastAsia" w:ascii="宋体" w:hAnsi="宋体" w:cs="Times New Roman"/>
          <w:sz w:val="24"/>
          <w:szCs w:val="20"/>
        </w:rPr>
        <w:t>经采购人允许，潜在投标人可进入项目现场进行考察，但潜在投标人不得因此使采购人承担有关责任和蒙受损失。潜在投标人应自行承担现场考察的全部费用、责任和风险。</w:t>
      </w:r>
    </w:p>
    <w:p>
      <w:pPr>
        <w:pStyle w:val="3"/>
        <w:numPr>
          <w:ilvl w:val="0"/>
          <w:numId w:val="2"/>
        </w:numPr>
        <w:spacing w:before="40" w:after="40" w:line="360" w:lineRule="auto"/>
        <w:ind w:left="658" w:hanging="658"/>
        <w:jc w:val="left"/>
        <w:rPr>
          <w:rFonts w:ascii="宋体" w:hAnsi="宋体" w:cs="Times New Roman"/>
          <w:bCs w:val="0"/>
        </w:rPr>
      </w:pPr>
      <w:bookmarkStart w:id="10" w:name="_Toc278891593"/>
      <w:bookmarkStart w:id="11" w:name="_Toc272247696"/>
      <w:bookmarkStart w:id="12" w:name="_Toc497459173"/>
      <w:bookmarkStart w:id="13" w:name="_Toc494561940"/>
      <w:r>
        <w:rPr>
          <w:rFonts w:hint="eastAsia" w:ascii="宋体" w:hAnsi="宋体" w:cs="Times New Roman"/>
          <w:bCs w:val="0"/>
        </w:rPr>
        <w:t>投标文件</w:t>
      </w:r>
      <w:bookmarkEnd w:id="10"/>
      <w:bookmarkEnd w:id="11"/>
      <w:bookmarkEnd w:id="12"/>
      <w:bookmarkEnd w:id="13"/>
    </w:p>
    <w:p>
      <w:pPr>
        <w:numPr>
          <w:ilvl w:val="0"/>
          <w:numId w:val="3"/>
        </w:numPr>
        <w:spacing w:line="360" w:lineRule="auto"/>
        <w:rPr>
          <w:rFonts w:ascii="宋体" w:hAnsi="宋体" w:cs="Times New Roman"/>
          <w:b/>
          <w:sz w:val="24"/>
          <w:szCs w:val="24"/>
        </w:rPr>
      </w:pPr>
      <w:r>
        <w:rPr>
          <w:rFonts w:hint="eastAsia" w:ascii="宋体" w:hAnsi="宋体" w:cs="Times New Roman"/>
          <w:b/>
          <w:sz w:val="24"/>
          <w:szCs w:val="24"/>
        </w:rPr>
        <w:t>投标的语言</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投标人提交的投标文件以及投标人与采购代理机构或采购人就有关投标的所有来往函电均应使用中文。投标人提交的相关证明文件、资料或文献可以用另一种语言，但相应内容应附有中文翻译本，在解释投标文件的相关内容时以中文翻译本为准。</w:t>
      </w:r>
    </w:p>
    <w:p>
      <w:pPr>
        <w:numPr>
          <w:ilvl w:val="0"/>
          <w:numId w:val="3"/>
        </w:numPr>
        <w:spacing w:line="360" w:lineRule="auto"/>
        <w:rPr>
          <w:rFonts w:ascii="宋体" w:hAnsi="宋体" w:cs="Times New Roman"/>
          <w:b/>
          <w:sz w:val="24"/>
          <w:szCs w:val="24"/>
        </w:rPr>
      </w:pPr>
      <w:r>
        <w:rPr>
          <w:rFonts w:hint="eastAsia" w:ascii="宋体" w:hAnsi="宋体" w:cs="Times New Roman"/>
          <w:b/>
          <w:sz w:val="24"/>
          <w:szCs w:val="24"/>
        </w:rPr>
        <w:t>投标文件的构成</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投标人编制的投标文件应包括但不限于下列内容：</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第一部分 资格证明文件（详见第七章“投标文件格式”中资格证明文件组成）</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第二部分  商务文件（详见第七章“投标文件格式”中商务文件组成）</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第三部分  技术、服务文件（详见第七章“投标文件格式”中技术、服务文件组成）</w:t>
      </w:r>
    </w:p>
    <w:p>
      <w:pPr>
        <w:numPr>
          <w:ilvl w:val="0"/>
          <w:numId w:val="3"/>
        </w:numPr>
        <w:spacing w:line="360" w:lineRule="auto"/>
        <w:ind w:left="560" w:hanging="560"/>
        <w:rPr>
          <w:rFonts w:ascii="宋体" w:hAnsi="宋体" w:cs="Times New Roman"/>
          <w:b/>
          <w:sz w:val="24"/>
          <w:szCs w:val="24"/>
        </w:rPr>
      </w:pPr>
      <w:r>
        <w:rPr>
          <w:rFonts w:hint="eastAsia" w:ascii="宋体" w:hAnsi="宋体" w:cs="Times New Roman"/>
          <w:b/>
          <w:sz w:val="24"/>
          <w:szCs w:val="24"/>
        </w:rPr>
        <w:t>投标文件编制</w:t>
      </w:r>
    </w:p>
    <w:p>
      <w:pPr>
        <w:numPr>
          <w:ilvl w:val="0"/>
          <w:numId w:val="12"/>
        </w:numPr>
        <w:spacing w:line="360" w:lineRule="auto"/>
        <w:ind w:left="616" w:hanging="616"/>
        <w:rPr>
          <w:rFonts w:ascii="宋体" w:hAnsi="宋体" w:cs="Times New Roman"/>
          <w:sz w:val="24"/>
          <w:szCs w:val="24"/>
        </w:rPr>
      </w:pPr>
      <w:r>
        <w:rPr>
          <w:rFonts w:hint="eastAsia" w:ascii="宋体" w:hAnsi="宋体" w:cs="Times New Roman"/>
          <w:sz w:val="24"/>
          <w:szCs w:val="24"/>
        </w:rPr>
        <w:t>如招标文件有分包要求，投标人对招标文件中多个包进行投标的，其投标文件的编制应按每包要求装订成册，并注明对应包号。</w:t>
      </w:r>
    </w:p>
    <w:p>
      <w:pPr>
        <w:numPr>
          <w:ilvl w:val="0"/>
          <w:numId w:val="12"/>
        </w:numPr>
        <w:spacing w:line="360" w:lineRule="auto"/>
        <w:ind w:left="616" w:hanging="616"/>
        <w:rPr>
          <w:rFonts w:ascii="宋体" w:hAnsi="宋体" w:cs="Times New Roman"/>
          <w:sz w:val="24"/>
          <w:szCs w:val="24"/>
        </w:rPr>
      </w:pPr>
      <w:r>
        <w:rPr>
          <w:rFonts w:hint="eastAsia" w:ascii="宋体" w:hAnsi="宋体" w:cs="Times New Roman"/>
          <w:sz w:val="24"/>
          <w:szCs w:val="24"/>
        </w:rPr>
        <w:t>投标人应当对投标文件进行装订，对未经装订的投标书可能发生的文件散落或缺损，由此产生的后果及责任由投标人自行承担。</w:t>
      </w:r>
    </w:p>
    <w:p>
      <w:pPr>
        <w:numPr>
          <w:ilvl w:val="0"/>
          <w:numId w:val="12"/>
        </w:numPr>
        <w:spacing w:line="360" w:lineRule="auto"/>
        <w:ind w:left="616" w:hanging="616"/>
        <w:rPr>
          <w:rFonts w:ascii="宋体" w:hAnsi="宋体" w:cs="Times New Roman"/>
          <w:sz w:val="24"/>
          <w:szCs w:val="24"/>
        </w:rPr>
      </w:pPr>
      <w:r>
        <w:rPr>
          <w:rFonts w:hint="eastAsia" w:ascii="宋体" w:hAnsi="宋体" w:cs="Times New Roman"/>
          <w:sz w:val="24"/>
          <w:szCs w:val="24"/>
        </w:rPr>
        <w:t>投标人应按照招标文件第七章“投标文件格式”提供的《投标书》、《开标一览表》、《投标报价明细表》、《法定代表人授权书》等格式、要求、规定来编制投标文件。</w:t>
      </w:r>
    </w:p>
    <w:p>
      <w:pPr>
        <w:numPr>
          <w:ilvl w:val="0"/>
          <w:numId w:val="12"/>
        </w:numPr>
        <w:spacing w:line="360" w:lineRule="auto"/>
        <w:ind w:left="616" w:hanging="616"/>
        <w:rPr>
          <w:rFonts w:ascii="宋体" w:hAnsi="宋体" w:cs="Times New Roman"/>
          <w:color w:val="0C0C0C"/>
          <w:sz w:val="24"/>
          <w:szCs w:val="24"/>
        </w:rPr>
      </w:pPr>
      <w:r>
        <w:rPr>
          <w:rFonts w:hint="eastAsia" w:ascii="宋体" w:hAnsi="宋体" w:cs="Times New Roman"/>
          <w:color w:val="0C0C0C"/>
          <w:sz w:val="24"/>
          <w:szCs w:val="24"/>
        </w:rPr>
        <w:t>投标人应对投标文件中所提供资料的真实性负责，如有虚假，将依法承担相应责任。投标人应自觉接受采购代理机构对其中任何资料进一步核实的要求。</w:t>
      </w:r>
    </w:p>
    <w:p>
      <w:pPr>
        <w:numPr>
          <w:ilvl w:val="0"/>
          <w:numId w:val="12"/>
        </w:numPr>
        <w:spacing w:line="360" w:lineRule="auto"/>
        <w:ind w:left="616" w:hanging="616"/>
        <w:rPr>
          <w:rFonts w:ascii="宋体" w:hAnsi="宋体" w:cs="Times New Roman"/>
          <w:sz w:val="24"/>
          <w:szCs w:val="24"/>
        </w:rPr>
      </w:pPr>
      <w:r>
        <w:rPr>
          <w:rFonts w:hint="eastAsia" w:ascii="宋体" w:hAnsi="宋体" w:cs="Times New Roman"/>
          <w:sz w:val="24"/>
          <w:szCs w:val="24"/>
        </w:rPr>
        <w:t>因投标人投标文件填报的内容不详，或没有提供招标文件中所要求的全部资料及数据等，由此产生的后果及责任由投标人自行承担。</w:t>
      </w:r>
    </w:p>
    <w:p>
      <w:pPr>
        <w:numPr>
          <w:ilvl w:val="0"/>
          <w:numId w:val="12"/>
        </w:numPr>
        <w:spacing w:line="360" w:lineRule="auto"/>
        <w:ind w:left="616" w:hanging="616"/>
        <w:rPr>
          <w:rFonts w:ascii="宋体" w:hAnsi="宋体" w:cs="Times New Roman"/>
          <w:sz w:val="24"/>
          <w:szCs w:val="24"/>
        </w:rPr>
      </w:pPr>
      <w:r>
        <w:rPr>
          <w:rFonts w:hint="eastAsia" w:ascii="宋体" w:hAnsi="宋体" w:cs="Times New Roman"/>
          <w:sz w:val="24"/>
          <w:szCs w:val="24"/>
        </w:rPr>
        <w:t>投标文件用纸应统一为A4规格（图纸除外）。</w:t>
      </w:r>
    </w:p>
    <w:p>
      <w:pPr>
        <w:numPr>
          <w:ilvl w:val="0"/>
          <w:numId w:val="12"/>
        </w:numPr>
        <w:spacing w:line="360" w:lineRule="auto"/>
        <w:ind w:left="616" w:hanging="616"/>
        <w:rPr>
          <w:rFonts w:ascii="宋体" w:hAnsi="宋体" w:cs="Times New Roman"/>
          <w:b/>
          <w:sz w:val="24"/>
          <w:szCs w:val="24"/>
        </w:rPr>
      </w:pPr>
      <w:r>
        <w:rPr>
          <w:rFonts w:hint="eastAsia" w:ascii="宋体" w:hAnsi="宋体" w:cs="Times New Roman"/>
          <w:b/>
          <w:sz w:val="24"/>
          <w:szCs w:val="24"/>
        </w:rPr>
        <w:t>投标人应将投标文件第一部分资格证明文件、第二部分商务文件、第三部分技术、服务文件编制装订，分别逐页连续标注页码，建立目录索引。</w:t>
      </w:r>
      <w:r>
        <w:rPr>
          <w:rFonts w:hint="eastAsia" w:ascii="宋体" w:hAnsi="宋体" w:cs="Times New Roman"/>
          <w:b/>
          <w:sz w:val="24"/>
          <w:szCs w:val="20"/>
        </w:rPr>
        <w:t>各部分文件及内容详见第七章“投标文件格式”要求。</w:t>
      </w:r>
    </w:p>
    <w:p>
      <w:pPr>
        <w:numPr>
          <w:ilvl w:val="0"/>
          <w:numId w:val="3"/>
        </w:numPr>
        <w:spacing w:line="360" w:lineRule="auto"/>
        <w:ind w:left="560" w:hanging="560"/>
        <w:rPr>
          <w:rFonts w:ascii="宋体" w:hAnsi="宋体" w:cs="Times New Roman"/>
          <w:b/>
          <w:sz w:val="24"/>
          <w:szCs w:val="24"/>
        </w:rPr>
      </w:pPr>
      <w:r>
        <w:rPr>
          <w:rFonts w:hint="eastAsia" w:ascii="宋体" w:hAnsi="宋体" w:cs="Times New Roman"/>
          <w:b/>
          <w:sz w:val="24"/>
          <w:szCs w:val="24"/>
        </w:rPr>
        <w:t>投标报价</w:t>
      </w:r>
    </w:p>
    <w:p>
      <w:pPr>
        <w:numPr>
          <w:ilvl w:val="0"/>
          <w:numId w:val="13"/>
        </w:numPr>
        <w:spacing w:line="360" w:lineRule="auto"/>
        <w:ind w:left="616" w:hanging="616"/>
        <w:rPr>
          <w:rFonts w:ascii="宋体" w:hAnsi="宋体" w:cs="Times New Roman"/>
          <w:sz w:val="24"/>
          <w:szCs w:val="24"/>
        </w:rPr>
      </w:pPr>
      <w:r>
        <w:rPr>
          <w:rFonts w:hint="eastAsia" w:ascii="宋体" w:hAnsi="宋体" w:cs="Times New Roman"/>
          <w:sz w:val="24"/>
          <w:szCs w:val="24"/>
        </w:rPr>
        <w:t>投标人所提供的货物（工程或服务）均以人民币计价。</w:t>
      </w:r>
    </w:p>
    <w:p>
      <w:pPr>
        <w:numPr>
          <w:ilvl w:val="0"/>
          <w:numId w:val="13"/>
        </w:numPr>
        <w:spacing w:line="360" w:lineRule="auto"/>
        <w:ind w:left="616" w:hanging="616"/>
        <w:rPr>
          <w:rFonts w:ascii="宋体" w:hAnsi="宋体" w:cs="Times New Roman"/>
          <w:sz w:val="24"/>
          <w:szCs w:val="24"/>
        </w:rPr>
      </w:pPr>
      <w:r>
        <w:rPr>
          <w:rFonts w:hint="eastAsia" w:ascii="宋体" w:hAnsi="宋体" w:cs="Times New Roman"/>
          <w:sz w:val="24"/>
          <w:szCs w:val="24"/>
        </w:rPr>
        <w:t>投标人应按照“第三章 项目技术、服务及商务要求”规定的货物（工程或服务）内容、责任范围以及合同条款进行报价。并按照《开标一览表》和《投标报价明细表》的格式报出分项价格和投标总价。报价上的优惠应体现在各分项报价中，投标总价应为优惠后的最终报价。投标总价中不得包含招标文件要求以外的内容，否则，在评标时不予核减。</w:t>
      </w:r>
    </w:p>
    <w:p>
      <w:pPr>
        <w:numPr>
          <w:ilvl w:val="0"/>
          <w:numId w:val="13"/>
        </w:numPr>
        <w:spacing w:line="360" w:lineRule="auto"/>
        <w:ind w:left="616" w:hanging="616"/>
        <w:rPr>
          <w:rFonts w:ascii="宋体" w:hAnsi="宋体" w:cs="Times New Roman"/>
          <w:sz w:val="24"/>
          <w:szCs w:val="24"/>
        </w:rPr>
      </w:pPr>
      <w:r>
        <w:rPr>
          <w:rFonts w:hint="eastAsia" w:ascii="宋体" w:hAnsi="宋体" w:cs="Times New Roman"/>
          <w:sz w:val="24"/>
          <w:szCs w:val="24"/>
        </w:rPr>
        <w:t>《投标报价明细表》填写时应响应下列要求：</w:t>
      </w:r>
    </w:p>
    <w:p>
      <w:pPr>
        <w:numPr>
          <w:ilvl w:val="0"/>
          <w:numId w:val="14"/>
        </w:numPr>
        <w:spacing w:line="360" w:lineRule="auto"/>
        <w:ind w:left="980" w:hanging="854"/>
        <w:rPr>
          <w:rFonts w:ascii="宋体" w:hAnsi="宋体" w:cs="Times New Roman"/>
          <w:sz w:val="24"/>
          <w:szCs w:val="24"/>
        </w:rPr>
      </w:pPr>
      <w:r>
        <w:rPr>
          <w:rFonts w:hint="eastAsia" w:ascii="宋体" w:hAnsi="宋体"/>
          <w:sz w:val="24"/>
        </w:rPr>
        <w:t>应包括所有根据合同或其他原因由投标人支付的款项、费用</w:t>
      </w:r>
      <w:r>
        <w:rPr>
          <w:rFonts w:hint="eastAsia" w:ascii="宋体" w:hAnsi="宋体" w:cs="Times New Roman"/>
          <w:sz w:val="24"/>
          <w:szCs w:val="24"/>
        </w:rPr>
        <w:t>；</w:t>
      </w:r>
    </w:p>
    <w:p>
      <w:pPr>
        <w:numPr>
          <w:ilvl w:val="0"/>
          <w:numId w:val="14"/>
        </w:numPr>
        <w:spacing w:line="360" w:lineRule="auto"/>
        <w:ind w:left="980" w:hanging="854"/>
        <w:rPr>
          <w:rFonts w:ascii="宋体" w:hAnsi="宋体" w:cs="Times New Roman"/>
          <w:sz w:val="24"/>
          <w:szCs w:val="24"/>
        </w:rPr>
      </w:pPr>
      <w:r>
        <w:rPr>
          <w:rFonts w:hint="eastAsia" w:ascii="宋体" w:hAnsi="宋体" w:cs="Times New Roman"/>
          <w:sz w:val="24"/>
          <w:szCs w:val="24"/>
        </w:rPr>
        <w:t>应包含货物运至最终目的地的运输、保险和伴随货物（工程或服务）的有关费用；</w:t>
      </w:r>
    </w:p>
    <w:p>
      <w:pPr>
        <w:numPr>
          <w:ilvl w:val="0"/>
          <w:numId w:val="14"/>
        </w:numPr>
        <w:spacing w:line="360" w:lineRule="auto"/>
        <w:ind w:left="980" w:hanging="854"/>
        <w:rPr>
          <w:rFonts w:ascii="宋体" w:hAnsi="宋体" w:cs="Courier New"/>
          <w:sz w:val="24"/>
          <w:szCs w:val="24"/>
        </w:rPr>
      </w:pPr>
      <w:r>
        <w:rPr>
          <w:rFonts w:hint="eastAsia" w:ascii="宋体" w:hAnsi="宋体" w:cs="Times New Roman"/>
          <w:sz w:val="24"/>
          <w:szCs w:val="24"/>
        </w:rPr>
        <w:t>应详细提供《投标报价明细表》和《投标货物、服务清单》等内容，否则按照</w:t>
      </w:r>
      <w:r>
        <w:rPr>
          <w:rFonts w:hint="eastAsia" w:ascii="宋体" w:hAnsi="宋体" w:cs="Times New Roman"/>
          <w:b/>
          <w:sz w:val="24"/>
          <w:szCs w:val="24"/>
        </w:rPr>
        <w:t>无效投标处理。</w:t>
      </w:r>
    </w:p>
    <w:p>
      <w:pPr>
        <w:numPr>
          <w:ilvl w:val="0"/>
          <w:numId w:val="13"/>
        </w:numPr>
        <w:spacing w:line="360" w:lineRule="auto"/>
        <w:ind w:left="616" w:hanging="616"/>
        <w:rPr>
          <w:rFonts w:ascii="宋体" w:hAnsi="宋体" w:cs="Times New Roman"/>
          <w:sz w:val="24"/>
          <w:szCs w:val="24"/>
        </w:rPr>
      </w:pPr>
      <w:r>
        <w:rPr>
          <w:rFonts w:hint="eastAsia" w:ascii="宋体" w:hAnsi="宋体" w:cs="Times New Roman"/>
          <w:sz w:val="24"/>
          <w:szCs w:val="24"/>
        </w:rPr>
        <w:t>每一种规格的货物（工程或服务）只允许有一个报价，否则按照</w:t>
      </w:r>
      <w:r>
        <w:rPr>
          <w:rFonts w:hint="eastAsia" w:ascii="宋体" w:hAnsi="宋体" w:cs="Times New Roman"/>
          <w:b/>
          <w:sz w:val="24"/>
          <w:szCs w:val="24"/>
        </w:rPr>
        <w:t>无效投标处理</w:t>
      </w:r>
      <w:r>
        <w:rPr>
          <w:rFonts w:hint="eastAsia" w:ascii="宋体" w:hAnsi="宋体" w:cs="Times New Roman"/>
          <w:sz w:val="24"/>
          <w:szCs w:val="24"/>
        </w:rPr>
        <w:t>。</w:t>
      </w:r>
    </w:p>
    <w:p>
      <w:pPr>
        <w:spacing w:line="360" w:lineRule="auto"/>
        <w:ind w:firstLine="480" w:firstLineChars="200"/>
        <w:rPr>
          <w:rFonts w:hint="eastAsia"/>
          <w:b/>
          <w:sz w:val="24"/>
          <w:u w:val="single"/>
        </w:rPr>
      </w:pPr>
      <w:r>
        <w:rPr>
          <w:rFonts w:hint="eastAsia"/>
          <w:b/>
          <w:sz w:val="24"/>
        </w:rPr>
        <w:t>本次项目采购报价竞标人不得错填、涂改，所报价格不得超过最高限价，否则为无效竞标（本项目最高限价为</w:t>
      </w:r>
      <w:r>
        <w:rPr>
          <w:rFonts w:hint="eastAsia"/>
          <w:b/>
          <w:sz w:val="24"/>
          <w:u w:val="single"/>
        </w:rPr>
        <w:t>￥</w:t>
      </w:r>
      <w:r>
        <w:rPr>
          <w:rFonts w:hint="eastAsia"/>
          <w:b/>
          <w:sz w:val="24"/>
          <w:u w:val="single"/>
          <w:lang w:val="en-US" w:eastAsia="zh-CN"/>
        </w:rPr>
        <w:t>19</w:t>
      </w:r>
      <w:r>
        <w:rPr>
          <w:rFonts w:hint="eastAsia"/>
          <w:b/>
          <w:sz w:val="24"/>
          <w:u w:val="single"/>
        </w:rPr>
        <w:t>万元。）</w:t>
      </w:r>
    </w:p>
    <w:p>
      <w:pPr>
        <w:spacing w:line="500" w:lineRule="exact"/>
        <w:ind w:firstLine="240" w:firstLineChars="100"/>
        <w:rPr>
          <w:rFonts w:hint="eastAsia" w:ascii="宋体" w:hAnsi="宋体"/>
          <w:color w:val="auto"/>
          <w:sz w:val="24"/>
          <w:szCs w:val="24"/>
        </w:rPr>
      </w:pPr>
      <w:r>
        <w:rPr>
          <w:rFonts w:hint="eastAsia"/>
          <w:b/>
          <w:sz w:val="24"/>
          <w:u w:val="none"/>
          <w:lang w:val="en-US" w:eastAsia="zh-CN"/>
        </w:rPr>
        <w:t xml:space="preserve">12.4.1  </w:t>
      </w:r>
      <w:r>
        <w:rPr>
          <w:rFonts w:hint="eastAsia" w:ascii="宋体" w:hAnsi="宋体"/>
          <w:color w:val="auto"/>
          <w:sz w:val="24"/>
          <w:szCs w:val="24"/>
        </w:rPr>
        <w:t>投标报价标明的单价应为包括所有税费在内的货架交货价（以人民币为单位），即投标人对招标人的实际供应价。无论招标人的采购批量、配送费用存在何种差别，每种品规只允许有一个报价，任何有选择的报价将不予接受。</w:t>
      </w:r>
    </w:p>
    <w:p>
      <w:pPr>
        <w:spacing w:line="500" w:lineRule="exact"/>
        <w:ind w:firstLine="240" w:firstLineChars="100"/>
        <w:rPr>
          <w:rFonts w:hint="eastAsia" w:ascii="宋体" w:hAnsi="宋体"/>
          <w:color w:val="auto"/>
          <w:sz w:val="24"/>
          <w:szCs w:val="24"/>
        </w:rPr>
      </w:pPr>
      <w:r>
        <w:rPr>
          <w:rFonts w:hint="eastAsia"/>
          <w:b/>
          <w:color w:val="auto"/>
          <w:sz w:val="24"/>
          <w:u w:val="none"/>
          <w:lang w:val="en-US" w:eastAsia="zh-CN"/>
        </w:rPr>
        <w:t xml:space="preserve">12.4.2 </w:t>
      </w:r>
      <w:r>
        <w:rPr>
          <w:rFonts w:hint="eastAsia" w:ascii="宋体" w:hAnsi="宋体"/>
          <w:color w:val="auto"/>
          <w:sz w:val="24"/>
          <w:szCs w:val="24"/>
          <w:lang w:val="en-US" w:eastAsia="zh-CN"/>
        </w:rPr>
        <w:t xml:space="preserve"> </w:t>
      </w:r>
      <w:r>
        <w:rPr>
          <w:rFonts w:hint="eastAsia" w:ascii="宋体" w:hAnsi="宋体"/>
          <w:color w:val="auto"/>
          <w:sz w:val="24"/>
          <w:szCs w:val="24"/>
        </w:rPr>
        <w:t>除非双方另有约定，投标人所报出的投标价在合同执行过程中是固定不变的，不得以任何理由予以变更。但药品价格调整时，按以下执行：按中标价格执行，一年内不予调整。在第二年和第三年度，对于市场价格调整幅度确实较大的品种，由乙方提供价格调整申请，甲方经过市场调查核实，确认后给予调价。每年度仅作一次调价，调价品种数不得高于总品种数的5%。</w:t>
      </w:r>
    </w:p>
    <w:p>
      <w:pPr>
        <w:spacing w:line="500" w:lineRule="exact"/>
        <w:ind w:firstLine="240" w:firstLineChars="100"/>
        <w:rPr>
          <w:rFonts w:ascii="宋体" w:hAnsi="宋体"/>
          <w:color w:val="auto"/>
          <w:sz w:val="24"/>
          <w:szCs w:val="24"/>
        </w:rPr>
      </w:pPr>
      <w:r>
        <w:rPr>
          <w:rFonts w:hint="eastAsia"/>
          <w:b/>
          <w:color w:val="auto"/>
          <w:sz w:val="24"/>
          <w:u w:val="none"/>
          <w:lang w:val="en-US" w:eastAsia="zh-CN"/>
        </w:rPr>
        <w:t xml:space="preserve">12.4.3 </w:t>
      </w:r>
      <w:r>
        <w:rPr>
          <w:rFonts w:hint="eastAsia" w:ascii="宋体" w:hAnsi="宋体"/>
          <w:color w:val="auto"/>
          <w:sz w:val="24"/>
          <w:szCs w:val="24"/>
          <w:lang w:val="en-US" w:eastAsia="zh-CN"/>
        </w:rPr>
        <w:t xml:space="preserve"> </w:t>
      </w:r>
      <w:r>
        <w:rPr>
          <w:rFonts w:hint="eastAsia" w:ascii="宋体" w:hAnsi="宋体"/>
          <w:color w:val="auto"/>
          <w:sz w:val="24"/>
          <w:szCs w:val="24"/>
        </w:rPr>
        <w:t>投标人应</w:t>
      </w:r>
      <w:r>
        <w:rPr>
          <w:rFonts w:ascii="宋体" w:hAnsi="宋体"/>
          <w:color w:val="auto"/>
          <w:sz w:val="24"/>
          <w:szCs w:val="24"/>
        </w:rPr>
        <w:t>按照招</w:t>
      </w:r>
      <w:r>
        <w:rPr>
          <w:rFonts w:hint="eastAsia" w:ascii="宋体" w:hAnsi="宋体"/>
          <w:color w:val="auto"/>
          <w:sz w:val="24"/>
          <w:szCs w:val="24"/>
        </w:rPr>
        <w:t>标文</w:t>
      </w:r>
      <w:r>
        <w:rPr>
          <w:rFonts w:ascii="宋体" w:hAnsi="宋体"/>
          <w:color w:val="auto"/>
          <w:sz w:val="24"/>
          <w:szCs w:val="24"/>
        </w:rPr>
        <w:t>件规定的格式及内容采用清单报价，</w:t>
      </w:r>
      <w:r>
        <w:rPr>
          <w:rFonts w:hint="eastAsia" w:ascii="宋体" w:hAnsi="宋体"/>
          <w:color w:val="auto"/>
          <w:sz w:val="24"/>
          <w:szCs w:val="24"/>
        </w:rPr>
        <w:t>原</w:t>
      </w:r>
      <w:r>
        <w:rPr>
          <w:rFonts w:ascii="宋体" w:hAnsi="宋体"/>
          <w:color w:val="auto"/>
          <w:sz w:val="24"/>
          <w:szCs w:val="24"/>
        </w:rPr>
        <w:t>则上</w:t>
      </w:r>
      <w:r>
        <w:rPr>
          <w:rFonts w:hint="eastAsia" w:ascii="宋体" w:hAnsi="宋体"/>
          <w:color w:val="auto"/>
          <w:sz w:val="24"/>
          <w:szCs w:val="24"/>
        </w:rPr>
        <w:t>不得</w:t>
      </w:r>
      <w:r>
        <w:rPr>
          <w:rFonts w:ascii="宋体" w:hAnsi="宋体"/>
          <w:color w:val="auto"/>
          <w:sz w:val="24"/>
          <w:szCs w:val="24"/>
        </w:rPr>
        <w:t>缺项和漏项</w:t>
      </w:r>
      <w:r>
        <w:rPr>
          <w:rFonts w:hint="eastAsia" w:ascii="宋体" w:hAnsi="宋体"/>
          <w:color w:val="auto"/>
          <w:sz w:val="24"/>
          <w:szCs w:val="24"/>
        </w:rPr>
        <w:t>。对</w:t>
      </w:r>
      <w:r>
        <w:rPr>
          <w:rFonts w:ascii="宋体" w:hAnsi="宋体"/>
          <w:color w:val="auto"/>
          <w:sz w:val="24"/>
          <w:szCs w:val="24"/>
        </w:rPr>
        <w:t>因缺项会影响到医院正常工作开展的，按无效标处理。</w:t>
      </w:r>
    </w:p>
    <w:p>
      <w:pPr>
        <w:spacing w:line="500" w:lineRule="exact"/>
        <w:ind w:firstLine="240" w:firstLineChars="100"/>
        <w:rPr>
          <w:rFonts w:hint="default" w:ascii="宋体" w:hAnsi="宋体" w:eastAsia="宋体"/>
          <w:color w:val="auto"/>
          <w:sz w:val="24"/>
          <w:szCs w:val="24"/>
          <w:lang w:val="en-US" w:eastAsia="zh-CN"/>
        </w:rPr>
      </w:pPr>
      <w:r>
        <w:rPr>
          <w:rFonts w:hint="eastAsia"/>
          <w:b/>
          <w:color w:val="auto"/>
          <w:sz w:val="24"/>
          <w:u w:val="none"/>
          <w:lang w:val="en-US" w:eastAsia="zh-CN"/>
        </w:rPr>
        <w:t xml:space="preserve">12.4.4  </w:t>
      </w:r>
      <w:r>
        <w:rPr>
          <w:rFonts w:hint="eastAsia" w:ascii="宋体" w:hAnsi="宋体"/>
          <w:color w:val="auto"/>
          <w:sz w:val="24"/>
          <w:szCs w:val="24"/>
          <w:lang w:val="en-US" w:eastAsia="zh-CN"/>
        </w:rPr>
        <w:t xml:space="preserve"> </w:t>
      </w:r>
      <w:r>
        <w:rPr>
          <w:rFonts w:hint="eastAsia" w:ascii="宋体" w:hAnsi="宋体"/>
          <w:color w:val="auto"/>
          <w:sz w:val="24"/>
          <w:szCs w:val="24"/>
        </w:rPr>
        <w:t>原则上本次投标报价不得高于省和其它同类城市最近一次的中标价，也不得以低于成本的价格恶意投标。</w:t>
      </w:r>
    </w:p>
    <w:p>
      <w:pPr>
        <w:numPr>
          <w:ilvl w:val="0"/>
          <w:numId w:val="13"/>
        </w:numPr>
        <w:spacing w:line="360" w:lineRule="auto"/>
        <w:ind w:left="616" w:hanging="616"/>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 xml:space="preserve"> </w:t>
      </w:r>
      <w:r>
        <w:rPr>
          <w:rFonts w:hint="eastAsia" w:ascii="宋体" w:hAnsi="宋体"/>
          <w:color w:val="auto"/>
          <w:sz w:val="24"/>
          <w:szCs w:val="24"/>
        </w:rPr>
        <w:t>如在配送周期内，因业务需要（如技术升级，产品更新换代，开展新的业务等）需要调整品规的，由招标人和中标人以补充合同的方式进行约定。</w:t>
      </w:r>
    </w:p>
    <w:p>
      <w:pPr>
        <w:numPr>
          <w:ilvl w:val="0"/>
          <w:numId w:val="13"/>
        </w:numPr>
        <w:spacing w:line="360" w:lineRule="auto"/>
        <w:ind w:left="616" w:hanging="616"/>
        <w:rPr>
          <w:rFonts w:hint="eastAsia"/>
          <w:b/>
          <w:color w:val="auto"/>
          <w:sz w:val="24"/>
          <w:u w:val="single"/>
        </w:rPr>
      </w:pPr>
      <w:r>
        <w:rPr>
          <w:rFonts w:hint="eastAsia" w:ascii="宋体" w:hAnsi="宋体"/>
          <w:color w:val="auto"/>
          <w:sz w:val="24"/>
          <w:szCs w:val="24"/>
        </w:rPr>
        <w:t>最低报价不能作为中标的保证。</w:t>
      </w:r>
      <w:r>
        <w:rPr>
          <w:rFonts w:hint="eastAsia" w:ascii="宋体" w:hAnsi="宋体"/>
          <w:color w:val="auto"/>
          <w:sz w:val="24"/>
          <w:szCs w:val="24"/>
          <w:lang w:eastAsia="zh-CN"/>
        </w:rPr>
        <w:t>（</w:t>
      </w:r>
      <w:r>
        <w:rPr>
          <w:rFonts w:hint="eastAsia" w:ascii="宋体" w:hAnsi="宋体"/>
          <w:color w:val="auto"/>
          <w:sz w:val="24"/>
          <w:szCs w:val="24"/>
        </w:rPr>
        <w:t>投标币种为人民币。</w:t>
      </w:r>
      <w:r>
        <w:rPr>
          <w:rFonts w:hint="eastAsia" w:ascii="宋体" w:hAnsi="宋体"/>
          <w:color w:val="auto"/>
          <w:sz w:val="24"/>
          <w:szCs w:val="24"/>
          <w:lang w:eastAsia="zh-CN"/>
        </w:rPr>
        <w:t>）</w:t>
      </w:r>
    </w:p>
    <w:p>
      <w:pPr>
        <w:numPr>
          <w:ilvl w:val="0"/>
          <w:numId w:val="13"/>
        </w:numPr>
        <w:spacing w:line="360" w:lineRule="auto"/>
        <w:ind w:left="616" w:hanging="616"/>
        <w:rPr>
          <w:rFonts w:ascii="宋体" w:hAnsi="宋体" w:cs="Times New Roman"/>
          <w:sz w:val="24"/>
          <w:szCs w:val="24"/>
        </w:rPr>
      </w:pPr>
      <w:r>
        <w:rPr>
          <w:rFonts w:hint="eastAsia" w:ascii="宋体" w:hAnsi="宋体" w:cs="Times New Roman"/>
          <w:sz w:val="24"/>
          <w:szCs w:val="24"/>
        </w:rPr>
        <w:t>投标人的投标总报价在合同执行过程中是固定不变的，不得以任何理由予以变更。故投标人的投标总报价应包含本招标内容全部工作所需的一切费用，即投标总报价为“交钥匙”价。对在合同实施过程中可能发生的其它费用（如：增加耗材、材料涨价、人工、运输成本增加等因素），采购人不予支付。</w:t>
      </w:r>
    </w:p>
    <w:p>
      <w:pPr>
        <w:numPr>
          <w:ilvl w:val="0"/>
          <w:numId w:val="13"/>
        </w:numPr>
        <w:spacing w:line="360" w:lineRule="auto"/>
        <w:ind w:left="616" w:hanging="616"/>
        <w:rPr>
          <w:rFonts w:ascii="宋体" w:hAnsi="宋体" w:cs="Times New Roman"/>
          <w:sz w:val="24"/>
          <w:szCs w:val="24"/>
        </w:rPr>
      </w:pPr>
      <w:r>
        <w:rPr>
          <w:rFonts w:hint="eastAsia" w:ascii="宋体" w:hAnsi="宋体" w:cs="Times New Roman"/>
          <w:sz w:val="24"/>
          <w:szCs w:val="24"/>
        </w:rPr>
        <w:t>对于招标文件未列明，而投标人认为必需的费用也需列入其投标总价。在合同实施时，采购人将不予支付投标人没有列入的项目费用，并认为此项目的费用已包括在其投标总价中。</w:t>
      </w:r>
    </w:p>
    <w:p>
      <w:pPr>
        <w:numPr>
          <w:ilvl w:val="0"/>
          <w:numId w:val="13"/>
        </w:numPr>
        <w:spacing w:line="360" w:lineRule="auto"/>
        <w:ind w:left="616" w:hanging="616"/>
        <w:rPr>
          <w:rFonts w:ascii="宋体" w:hAnsi="宋体" w:cs="Times New Roman"/>
          <w:sz w:val="24"/>
          <w:szCs w:val="24"/>
        </w:rPr>
      </w:pPr>
      <w:r>
        <w:rPr>
          <w:rFonts w:hint="eastAsia" w:ascii="宋体" w:hAnsi="宋体" w:cs="Times New Roman"/>
          <w:sz w:val="24"/>
          <w:szCs w:val="24"/>
        </w:rPr>
        <w:t>投标人应对项目招标范围内的全部内容进行报价，不得缺、漏项或只投其中的部分内容的，否则按照</w:t>
      </w:r>
      <w:r>
        <w:rPr>
          <w:rFonts w:hint="eastAsia" w:ascii="宋体" w:hAnsi="宋体" w:cs="Times New Roman"/>
          <w:b/>
          <w:sz w:val="24"/>
          <w:szCs w:val="24"/>
        </w:rPr>
        <w:t>无效投标处理</w:t>
      </w:r>
      <w:r>
        <w:rPr>
          <w:rFonts w:hint="eastAsia" w:ascii="宋体" w:hAnsi="宋体" w:cs="Times New Roman"/>
          <w:sz w:val="24"/>
          <w:szCs w:val="24"/>
        </w:rPr>
        <w:t>。</w:t>
      </w:r>
    </w:p>
    <w:p>
      <w:pPr>
        <w:numPr>
          <w:ilvl w:val="0"/>
          <w:numId w:val="3"/>
        </w:numPr>
        <w:spacing w:line="360" w:lineRule="auto"/>
        <w:ind w:left="560" w:hanging="560"/>
        <w:rPr>
          <w:rFonts w:ascii="宋体" w:hAnsi="宋体" w:cs="Times New Roman"/>
          <w:b/>
          <w:sz w:val="24"/>
          <w:szCs w:val="24"/>
        </w:rPr>
      </w:pPr>
      <w:r>
        <w:rPr>
          <w:rFonts w:hint="eastAsia" w:ascii="宋体" w:hAnsi="宋体" w:cs="Times New Roman"/>
          <w:b/>
          <w:sz w:val="24"/>
          <w:szCs w:val="24"/>
        </w:rPr>
        <w:t>备选方案</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只允许投标人提供一个投标方案（招标文件中要求提供备选方案的除外），否则按照</w:t>
      </w:r>
      <w:r>
        <w:rPr>
          <w:rFonts w:hint="eastAsia" w:ascii="宋体" w:hAnsi="宋体" w:cs="Times New Roman"/>
          <w:b/>
          <w:sz w:val="24"/>
          <w:szCs w:val="24"/>
        </w:rPr>
        <w:t>无效投标处理</w:t>
      </w:r>
      <w:r>
        <w:rPr>
          <w:rFonts w:hint="eastAsia" w:ascii="宋体" w:hAnsi="宋体" w:cs="Times New Roman"/>
          <w:sz w:val="24"/>
          <w:szCs w:val="24"/>
        </w:rPr>
        <w:t>。</w:t>
      </w:r>
    </w:p>
    <w:p>
      <w:pPr>
        <w:numPr>
          <w:ilvl w:val="0"/>
          <w:numId w:val="3"/>
        </w:numPr>
        <w:spacing w:line="360" w:lineRule="auto"/>
        <w:ind w:left="560" w:hanging="560"/>
        <w:rPr>
          <w:rFonts w:ascii="宋体" w:hAnsi="宋体" w:cs="Times New Roman"/>
          <w:b/>
          <w:sz w:val="24"/>
          <w:szCs w:val="24"/>
        </w:rPr>
      </w:pPr>
      <w:r>
        <w:rPr>
          <w:rFonts w:hint="eastAsia" w:ascii="宋体" w:hAnsi="宋体" w:cs="Times New Roman"/>
          <w:b/>
          <w:sz w:val="24"/>
          <w:szCs w:val="24"/>
        </w:rPr>
        <w:t>中标后分包</w:t>
      </w:r>
    </w:p>
    <w:p>
      <w:pPr>
        <w:spacing w:line="360" w:lineRule="auto"/>
        <w:ind w:firstLine="480" w:firstLineChars="200"/>
        <w:rPr>
          <w:rFonts w:ascii="宋体" w:hAnsi="宋体" w:cs="Times New Roman"/>
          <w:sz w:val="24"/>
          <w:szCs w:val="24"/>
        </w:rPr>
      </w:pPr>
      <w:r>
        <w:rPr>
          <w:rFonts w:ascii="宋体" w:hAnsi="宋体" w:cs="Times New Roman"/>
          <w:sz w:val="24"/>
          <w:szCs w:val="24"/>
        </w:rPr>
        <w:t>招标文件规定</w:t>
      </w:r>
      <w:r>
        <w:rPr>
          <w:rFonts w:hint="eastAsia" w:ascii="宋体" w:hAnsi="宋体" w:cs="Times New Roman"/>
          <w:sz w:val="24"/>
          <w:szCs w:val="24"/>
        </w:rPr>
        <w:t>项目非主体、非关键性工作中标后可以分包</w:t>
      </w:r>
      <w:r>
        <w:rPr>
          <w:rFonts w:ascii="宋体" w:hAnsi="宋体" w:cs="Times New Roman"/>
          <w:sz w:val="24"/>
          <w:szCs w:val="24"/>
        </w:rPr>
        <w:t>的，投标人拟在中标后将项目的非主体、非关键性工作分包，应当在投标文件中载明</w:t>
      </w:r>
      <w:r>
        <w:rPr>
          <w:rFonts w:hint="eastAsia" w:ascii="宋体" w:hAnsi="宋体" w:cs="Times New Roman"/>
          <w:sz w:val="24"/>
          <w:szCs w:val="24"/>
        </w:rPr>
        <w:t>具备相应资质条件的</w:t>
      </w:r>
      <w:r>
        <w:rPr>
          <w:rFonts w:ascii="宋体" w:hAnsi="宋体" w:cs="Times New Roman"/>
          <w:sz w:val="24"/>
          <w:szCs w:val="24"/>
        </w:rPr>
        <w:t>分包承担主体，分包承担主体不得再次分包。</w:t>
      </w:r>
    </w:p>
    <w:p>
      <w:pPr>
        <w:numPr>
          <w:ilvl w:val="0"/>
          <w:numId w:val="3"/>
        </w:numPr>
        <w:spacing w:line="360" w:lineRule="auto"/>
        <w:ind w:left="560" w:hanging="560"/>
        <w:rPr>
          <w:rFonts w:ascii="宋体" w:hAnsi="宋体" w:cs="Times New Roman"/>
          <w:b/>
          <w:sz w:val="24"/>
          <w:szCs w:val="24"/>
        </w:rPr>
      </w:pPr>
      <w:r>
        <w:rPr>
          <w:rFonts w:hint="eastAsia" w:ascii="宋体" w:hAnsi="宋体" w:cs="Times New Roman"/>
          <w:b/>
          <w:sz w:val="24"/>
          <w:szCs w:val="24"/>
        </w:rPr>
        <w:t>联合体投标</w:t>
      </w:r>
    </w:p>
    <w:p>
      <w:pPr>
        <w:numPr>
          <w:ilvl w:val="0"/>
          <w:numId w:val="15"/>
        </w:numPr>
        <w:spacing w:line="360" w:lineRule="auto"/>
        <w:ind w:left="616" w:hanging="616"/>
        <w:rPr>
          <w:rFonts w:ascii="宋体" w:hAnsi="宋体" w:cs="Times New Roman"/>
          <w:sz w:val="24"/>
          <w:szCs w:val="24"/>
        </w:rPr>
      </w:pPr>
      <w:r>
        <w:rPr>
          <w:rFonts w:hint="eastAsia" w:ascii="宋体" w:hAnsi="宋体" w:cs="Times New Roman"/>
          <w:sz w:val="24"/>
          <w:szCs w:val="24"/>
        </w:rPr>
        <w:t>两个及以上供应商可以组成一个联合体，以一个投标人的身份共同参与投标。</w:t>
      </w:r>
    </w:p>
    <w:p>
      <w:pPr>
        <w:numPr>
          <w:ilvl w:val="0"/>
          <w:numId w:val="15"/>
        </w:numPr>
        <w:spacing w:line="360" w:lineRule="auto"/>
        <w:ind w:left="616" w:hanging="616"/>
        <w:rPr>
          <w:rFonts w:ascii="宋体" w:hAnsi="宋体" w:cs="Times New Roman"/>
          <w:sz w:val="24"/>
          <w:szCs w:val="24"/>
        </w:rPr>
      </w:pPr>
      <w:r>
        <w:rPr>
          <w:rFonts w:hint="eastAsia" w:ascii="宋体" w:hAnsi="宋体" w:cs="Times New Roman"/>
          <w:sz w:val="24"/>
          <w:szCs w:val="24"/>
        </w:rPr>
        <w:t>采取联合体形式投标的，联合体各方均应当符合政府采购法第二十二条第一款规定的条件。联合体的主体应完全满足项目投标人资格要求。</w:t>
      </w:r>
    </w:p>
    <w:p>
      <w:pPr>
        <w:numPr>
          <w:ilvl w:val="0"/>
          <w:numId w:val="15"/>
        </w:numPr>
        <w:spacing w:line="360" w:lineRule="auto"/>
        <w:ind w:left="616" w:hanging="616"/>
        <w:rPr>
          <w:rFonts w:ascii="宋体" w:hAnsi="宋体" w:cs="Times New Roman"/>
          <w:sz w:val="24"/>
          <w:szCs w:val="24"/>
        </w:rPr>
      </w:pPr>
      <w:r>
        <w:rPr>
          <w:rFonts w:hint="eastAsia" w:ascii="宋体" w:hAnsi="宋体" w:cs="Times New Roman"/>
          <w:sz w:val="24"/>
          <w:szCs w:val="24"/>
        </w:rPr>
        <w:t>联合体各方之间应签订联合投标协议，明确约定联合体主体及各方承担的工作和相应的责任，其投标文件中应提供联合投标协议。</w:t>
      </w:r>
    </w:p>
    <w:p>
      <w:pPr>
        <w:numPr>
          <w:ilvl w:val="0"/>
          <w:numId w:val="15"/>
        </w:numPr>
        <w:spacing w:line="360" w:lineRule="auto"/>
        <w:ind w:left="616" w:hanging="616"/>
        <w:rPr>
          <w:rFonts w:ascii="宋体" w:hAnsi="宋体" w:cs="Times New Roman"/>
          <w:sz w:val="24"/>
          <w:szCs w:val="24"/>
        </w:rPr>
      </w:pPr>
      <w:r>
        <w:rPr>
          <w:rFonts w:hint="eastAsia" w:ascii="宋体" w:hAnsi="宋体" w:cs="Times New Roman"/>
          <w:sz w:val="24"/>
          <w:szCs w:val="24"/>
        </w:rPr>
        <w:t>以联合体形式参加政府采购活动的，联合体各方不得再单独参加或者与其他供应商另外组成联合体参加同一合同项下的政府采购活动。</w:t>
      </w:r>
    </w:p>
    <w:p>
      <w:pPr>
        <w:numPr>
          <w:ilvl w:val="0"/>
          <w:numId w:val="15"/>
        </w:numPr>
        <w:spacing w:line="360" w:lineRule="auto"/>
        <w:ind w:left="616" w:hanging="616"/>
        <w:rPr>
          <w:rFonts w:ascii="宋体" w:hAnsi="宋体" w:cs="Times New Roman"/>
          <w:sz w:val="24"/>
          <w:szCs w:val="24"/>
        </w:rPr>
      </w:pPr>
      <w:r>
        <w:rPr>
          <w:rFonts w:hint="eastAsia" w:ascii="宋体" w:hAnsi="宋体" w:cs="Times New Roman"/>
          <w:sz w:val="24"/>
          <w:szCs w:val="24"/>
        </w:rPr>
        <w:t>采取联合体形式投标的，其投标文件应由联合体所有成员或其各自正式书面授权的代表签署（盖章），以便对所有成员作为整体及作为个体均具有法律约束力。</w:t>
      </w:r>
    </w:p>
    <w:p>
      <w:pPr>
        <w:numPr>
          <w:ilvl w:val="0"/>
          <w:numId w:val="15"/>
        </w:numPr>
        <w:spacing w:line="360" w:lineRule="auto"/>
        <w:ind w:left="616" w:hanging="616"/>
        <w:rPr>
          <w:rFonts w:ascii="宋体" w:hAnsi="宋体" w:cs="Times New Roman"/>
          <w:sz w:val="24"/>
          <w:szCs w:val="24"/>
        </w:rPr>
      </w:pPr>
      <w:r>
        <w:rPr>
          <w:rFonts w:hint="eastAsia" w:ascii="宋体" w:hAnsi="宋体" w:cs="Times New Roman"/>
          <w:sz w:val="24"/>
          <w:szCs w:val="24"/>
        </w:rPr>
        <w:t>采取联合体形式投标的，项目评审时只对联合体主体进行评议。</w:t>
      </w:r>
    </w:p>
    <w:p>
      <w:pPr>
        <w:numPr>
          <w:ilvl w:val="0"/>
          <w:numId w:val="15"/>
        </w:numPr>
        <w:spacing w:line="360" w:lineRule="auto"/>
        <w:ind w:left="616" w:hanging="616"/>
        <w:rPr>
          <w:rFonts w:ascii="宋体" w:hAnsi="宋体" w:cs="Times New Roman"/>
          <w:sz w:val="24"/>
          <w:szCs w:val="24"/>
        </w:rPr>
      </w:pPr>
      <w:r>
        <w:rPr>
          <w:rFonts w:hint="eastAsia" w:ascii="宋体" w:hAnsi="宋体" w:cs="Times New Roman"/>
          <w:sz w:val="24"/>
          <w:szCs w:val="24"/>
        </w:rPr>
        <w:t>联合体中标的，联合体各方应当共同与采购人</w:t>
      </w:r>
      <w:r>
        <w:rPr>
          <w:rFonts w:hint="eastAsia" w:ascii="宋体" w:hAnsi="宋体" w:cs="Times New Roman"/>
          <w:color w:val="0C0C0C"/>
          <w:sz w:val="24"/>
          <w:szCs w:val="24"/>
        </w:rPr>
        <w:t>签订采购合同，</w:t>
      </w:r>
      <w:r>
        <w:rPr>
          <w:rFonts w:hint="eastAsia" w:ascii="宋体" w:hAnsi="宋体"/>
          <w:color w:val="0C0C0C"/>
          <w:sz w:val="24"/>
        </w:rPr>
        <w:t>就采购合同约定的事项对采购人承担连带责任，</w:t>
      </w:r>
      <w:r>
        <w:rPr>
          <w:rFonts w:hint="eastAsia" w:ascii="宋体" w:hAnsi="宋体" w:cs="Times New Roman"/>
          <w:color w:val="0C0C0C"/>
          <w:sz w:val="24"/>
          <w:szCs w:val="24"/>
        </w:rPr>
        <w:t>联合体主体单位负主要</w:t>
      </w:r>
      <w:r>
        <w:rPr>
          <w:rFonts w:hint="eastAsia" w:ascii="宋体" w:hAnsi="宋体" w:cs="Times New Roman"/>
          <w:sz w:val="24"/>
          <w:szCs w:val="24"/>
        </w:rPr>
        <w:t>责任。</w:t>
      </w:r>
    </w:p>
    <w:p>
      <w:pPr>
        <w:numPr>
          <w:ilvl w:val="0"/>
          <w:numId w:val="15"/>
        </w:numPr>
        <w:spacing w:line="360" w:lineRule="auto"/>
        <w:ind w:left="616" w:hanging="616"/>
        <w:rPr>
          <w:rFonts w:ascii="宋体" w:hAnsi="宋体" w:cs="Times New Roman"/>
          <w:sz w:val="24"/>
          <w:szCs w:val="24"/>
        </w:rPr>
      </w:pPr>
      <w:r>
        <w:rPr>
          <w:rFonts w:hint="eastAsia" w:ascii="宋体" w:hAnsi="宋体" w:cs="Times New Roman"/>
          <w:sz w:val="24"/>
          <w:szCs w:val="24"/>
        </w:rPr>
        <w:t>联合体中有同类资质的供应商按照联合体分工承担相同工作的，应当按照资质等级较低的供应商确定资质等级。</w:t>
      </w:r>
    </w:p>
    <w:p>
      <w:pPr>
        <w:numPr>
          <w:ilvl w:val="0"/>
          <w:numId w:val="15"/>
        </w:numPr>
        <w:spacing w:line="360" w:lineRule="auto"/>
        <w:ind w:left="616" w:hanging="616"/>
        <w:rPr>
          <w:rFonts w:ascii="宋体" w:hAnsi="宋体" w:cs="Times New Roman"/>
          <w:sz w:val="24"/>
          <w:szCs w:val="24"/>
        </w:rPr>
      </w:pPr>
      <w:r>
        <w:rPr>
          <w:rFonts w:hint="eastAsia" w:ascii="宋体" w:hAnsi="宋体" w:cs="Times New Roman"/>
          <w:sz w:val="24"/>
          <w:szCs w:val="24"/>
        </w:rPr>
        <w:t>招标文件第一章“投标人资格要求”中</w:t>
      </w:r>
      <w:r>
        <w:rPr>
          <w:rFonts w:ascii="宋体" w:hAnsi="宋体" w:cs="Times New Roman"/>
          <w:sz w:val="24"/>
          <w:szCs w:val="24"/>
        </w:rPr>
        <w:t>未载明</w:t>
      </w:r>
      <w:r>
        <w:rPr>
          <w:rFonts w:hint="eastAsia" w:ascii="宋体" w:hAnsi="宋体" w:cs="Times New Roman"/>
          <w:sz w:val="24"/>
          <w:szCs w:val="24"/>
        </w:rPr>
        <w:t>是否接受联合体投标的</w:t>
      </w:r>
      <w:r>
        <w:rPr>
          <w:rFonts w:ascii="宋体" w:hAnsi="宋体" w:cs="Times New Roman"/>
          <w:sz w:val="24"/>
          <w:szCs w:val="24"/>
        </w:rPr>
        <w:t>，</w:t>
      </w:r>
      <w:r>
        <w:rPr>
          <w:rFonts w:hint="eastAsia" w:ascii="宋体" w:hAnsi="宋体" w:cs="Times New Roman"/>
          <w:sz w:val="24"/>
          <w:szCs w:val="24"/>
        </w:rPr>
        <w:t>视同接受</w:t>
      </w:r>
      <w:r>
        <w:rPr>
          <w:rFonts w:ascii="宋体" w:hAnsi="宋体" w:cs="Times New Roman"/>
          <w:sz w:val="24"/>
          <w:szCs w:val="24"/>
        </w:rPr>
        <w:t>。</w:t>
      </w:r>
    </w:p>
    <w:p>
      <w:pPr>
        <w:numPr>
          <w:ilvl w:val="0"/>
          <w:numId w:val="15"/>
        </w:numPr>
        <w:spacing w:line="360" w:lineRule="auto"/>
        <w:ind w:left="728" w:hanging="728"/>
        <w:rPr>
          <w:rFonts w:ascii="宋体" w:hAnsi="宋体" w:cs="Times New Roman"/>
          <w:sz w:val="24"/>
          <w:szCs w:val="24"/>
        </w:rPr>
      </w:pPr>
      <w:r>
        <w:rPr>
          <w:rFonts w:hint="eastAsia" w:ascii="宋体" w:hAnsi="宋体" w:cs="Times New Roman"/>
          <w:sz w:val="24"/>
          <w:szCs w:val="24"/>
        </w:rPr>
        <w:t>以联合体形式参与投标的，其价格扣除相关规定详见第五章“评标方法、程序及标准”。</w:t>
      </w:r>
    </w:p>
    <w:p>
      <w:pPr>
        <w:numPr>
          <w:ilvl w:val="0"/>
          <w:numId w:val="3"/>
        </w:numPr>
        <w:spacing w:line="360" w:lineRule="auto"/>
        <w:ind w:left="560" w:hanging="560"/>
        <w:rPr>
          <w:rFonts w:ascii="宋体" w:hAnsi="宋体" w:cs="Times New Roman"/>
          <w:b/>
          <w:sz w:val="24"/>
          <w:szCs w:val="24"/>
        </w:rPr>
      </w:pPr>
      <w:r>
        <w:rPr>
          <w:rFonts w:hint="eastAsia" w:ascii="宋体" w:hAnsi="宋体" w:cs="Times New Roman"/>
          <w:b/>
          <w:sz w:val="24"/>
          <w:szCs w:val="24"/>
        </w:rPr>
        <w:t>资格证明文件</w:t>
      </w:r>
    </w:p>
    <w:p>
      <w:pPr>
        <w:numPr>
          <w:ilvl w:val="0"/>
          <w:numId w:val="16"/>
        </w:numPr>
        <w:spacing w:line="360" w:lineRule="auto"/>
        <w:ind w:left="616" w:hanging="616"/>
        <w:rPr>
          <w:rFonts w:ascii="宋体" w:hAnsi="宋体" w:cs="Times New Roman"/>
          <w:sz w:val="24"/>
          <w:szCs w:val="24"/>
        </w:rPr>
      </w:pPr>
      <w:r>
        <w:rPr>
          <w:rFonts w:hint="eastAsia" w:ascii="宋体" w:hAnsi="宋体" w:cs="Times New Roman"/>
          <w:sz w:val="24"/>
          <w:szCs w:val="24"/>
        </w:rPr>
        <w:t>投标人应按本节及第四章“资格审查方法及标准”的要求，提供足以证明其符合项目“投标人资格要求”且中标后有能力履行合同的文件，并作为其投标文件的组成部分。</w:t>
      </w:r>
    </w:p>
    <w:p>
      <w:pPr>
        <w:numPr>
          <w:ilvl w:val="0"/>
          <w:numId w:val="16"/>
        </w:numPr>
        <w:spacing w:line="360" w:lineRule="auto"/>
        <w:ind w:left="616" w:hanging="616"/>
        <w:rPr>
          <w:rFonts w:ascii="宋体" w:hAnsi="宋体" w:cs="Times New Roman"/>
          <w:sz w:val="24"/>
          <w:szCs w:val="24"/>
        </w:rPr>
      </w:pPr>
      <w:r>
        <w:rPr>
          <w:rFonts w:hint="eastAsia" w:ascii="宋体" w:hAnsi="宋体" w:cs="Times New Roman"/>
          <w:sz w:val="24"/>
          <w:szCs w:val="24"/>
        </w:rPr>
        <w:t>资格证明文件应真实、合法，并就此承担相应法律责任。</w:t>
      </w:r>
    </w:p>
    <w:p>
      <w:pPr>
        <w:numPr>
          <w:ilvl w:val="0"/>
          <w:numId w:val="16"/>
        </w:numPr>
        <w:spacing w:line="360" w:lineRule="auto"/>
        <w:ind w:left="616" w:hanging="616"/>
        <w:rPr>
          <w:rFonts w:ascii="宋体" w:hAnsi="宋体" w:cs="Times New Roman"/>
          <w:sz w:val="24"/>
          <w:szCs w:val="24"/>
        </w:rPr>
      </w:pPr>
      <w:r>
        <w:rPr>
          <w:rFonts w:hint="eastAsia" w:ascii="宋体" w:hAnsi="宋体" w:cs="Times New Roman"/>
          <w:sz w:val="24"/>
          <w:szCs w:val="24"/>
        </w:rPr>
        <w:t>资格证明文件正本应为清晰彩色影印件且加盖单位公章，否则按照</w:t>
      </w:r>
      <w:r>
        <w:rPr>
          <w:rFonts w:hint="eastAsia" w:ascii="宋体" w:hAnsi="宋体" w:cs="Times New Roman"/>
          <w:b/>
          <w:sz w:val="24"/>
          <w:szCs w:val="24"/>
        </w:rPr>
        <w:t>无效投标处理</w:t>
      </w:r>
      <w:r>
        <w:rPr>
          <w:rFonts w:hint="eastAsia" w:ascii="宋体" w:hAnsi="宋体" w:cs="Times New Roman"/>
          <w:sz w:val="24"/>
          <w:szCs w:val="24"/>
        </w:rPr>
        <w:t>。副本可为正本的复印件,但应在副本封面加盖单位公章。</w:t>
      </w:r>
    </w:p>
    <w:p>
      <w:pPr>
        <w:numPr>
          <w:ilvl w:val="0"/>
          <w:numId w:val="16"/>
        </w:numPr>
        <w:spacing w:line="360" w:lineRule="auto"/>
        <w:ind w:left="616" w:hanging="616"/>
        <w:rPr>
          <w:rFonts w:ascii="宋体" w:hAnsi="宋体" w:cs="Times New Roman"/>
          <w:sz w:val="24"/>
          <w:szCs w:val="24"/>
        </w:rPr>
      </w:pPr>
      <w:r>
        <w:rPr>
          <w:rFonts w:hint="eastAsia" w:ascii="宋体" w:hAnsi="宋体" w:cs="Helvetica"/>
          <w:kern w:val="0"/>
          <w:sz w:val="24"/>
          <w:szCs w:val="24"/>
        </w:rPr>
        <w:t>资格证明文件内容详见</w:t>
      </w:r>
      <w:r>
        <w:rPr>
          <w:rFonts w:hint="eastAsia" w:ascii="宋体" w:hAnsi="宋体" w:cs="Times New Roman"/>
          <w:sz w:val="24"/>
          <w:szCs w:val="24"/>
        </w:rPr>
        <w:t>第四章“资格审查方法及标准”中资格审查内容</w:t>
      </w:r>
      <w:r>
        <w:rPr>
          <w:rFonts w:hint="eastAsia" w:ascii="宋体" w:hAnsi="宋体" w:cs="Helvetica"/>
          <w:kern w:val="0"/>
          <w:sz w:val="24"/>
          <w:szCs w:val="24"/>
        </w:rPr>
        <w:t>。</w:t>
      </w:r>
    </w:p>
    <w:p>
      <w:pPr>
        <w:numPr>
          <w:ilvl w:val="0"/>
          <w:numId w:val="3"/>
        </w:numPr>
        <w:spacing w:line="360" w:lineRule="auto"/>
        <w:ind w:left="560" w:hanging="560"/>
        <w:rPr>
          <w:rFonts w:ascii="宋体" w:hAnsi="宋体" w:cs="Times New Roman"/>
          <w:sz w:val="24"/>
          <w:szCs w:val="24"/>
        </w:rPr>
      </w:pPr>
      <w:r>
        <w:rPr>
          <w:rFonts w:hint="eastAsia" w:ascii="宋体" w:hAnsi="宋体" w:cs="Times New Roman"/>
          <w:b/>
          <w:sz w:val="24"/>
          <w:szCs w:val="24"/>
        </w:rPr>
        <w:t>投标保证金</w:t>
      </w:r>
      <w:r>
        <w:rPr>
          <w:rFonts w:hint="eastAsia" w:ascii="宋体" w:hAnsi="宋体" w:cs="Times New Roman"/>
          <w:sz w:val="24"/>
          <w:szCs w:val="24"/>
        </w:rPr>
        <w:t>（</w:t>
      </w:r>
      <w:r>
        <w:rPr>
          <w:rFonts w:hint="eastAsia" w:ascii="宋体" w:hAnsi="宋体" w:cs="Times New Roman"/>
          <w:sz w:val="24"/>
          <w:szCs w:val="24"/>
          <w:lang w:eastAsia="zh-CN"/>
        </w:rPr>
        <w:t>本项目不接受投标保证金</w:t>
      </w:r>
      <w:r>
        <w:rPr>
          <w:rFonts w:hint="eastAsia" w:ascii="宋体" w:hAnsi="宋体" w:cs="Times New Roman"/>
          <w:sz w:val="24"/>
          <w:szCs w:val="24"/>
        </w:rPr>
        <w:t>）。</w:t>
      </w:r>
    </w:p>
    <w:p>
      <w:pPr>
        <w:numPr>
          <w:ilvl w:val="0"/>
          <w:numId w:val="3"/>
        </w:numPr>
        <w:spacing w:line="360" w:lineRule="auto"/>
        <w:ind w:left="560" w:hanging="560"/>
        <w:rPr>
          <w:rFonts w:ascii="宋体" w:hAnsi="宋体" w:cs="Times New Roman"/>
          <w:b/>
          <w:sz w:val="24"/>
          <w:szCs w:val="24"/>
        </w:rPr>
      </w:pPr>
      <w:r>
        <w:rPr>
          <w:rFonts w:hint="eastAsia" w:ascii="宋体" w:hAnsi="宋体" w:cs="Times New Roman"/>
          <w:b/>
          <w:sz w:val="24"/>
          <w:szCs w:val="24"/>
        </w:rPr>
        <w:t>投标有效期</w:t>
      </w:r>
    </w:p>
    <w:p>
      <w:pPr>
        <w:numPr>
          <w:ilvl w:val="0"/>
          <w:numId w:val="17"/>
        </w:numPr>
        <w:spacing w:line="360" w:lineRule="auto"/>
        <w:ind w:left="616" w:hanging="616"/>
        <w:rPr>
          <w:rFonts w:ascii="宋体" w:hAnsi="宋体" w:cs="Times New Roman"/>
          <w:sz w:val="24"/>
          <w:szCs w:val="24"/>
        </w:rPr>
      </w:pPr>
      <w:r>
        <w:rPr>
          <w:rFonts w:hint="eastAsia" w:ascii="宋体" w:hAnsi="宋体" w:cs="Times New Roman"/>
          <w:sz w:val="24"/>
          <w:szCs w:val="24"/>
        </w:rPr>
        <w:t>投标有效期详见本章“投标须知前附表”中规定。</w:t>
      </w:r>
      <w:r>
        <w:rPr>
          <w:rFonts w:ascii="宋体" w:hAnsi="宋体" w:cs="Helvetica"/>
          <w:kern w:val="0"/>
          <w:sz w:val="24"/>
          <w:szCs w:val="24"/>
        </w:rPr>
        <w:t>投标文件中承诺的投标有效期应当不少于招标文件中载明的投标有效期</w:t>
      </w:r>
      <w:r>
        <w:rPr>
          <w:rFonts w:hint="eastAsia" w:ascii="宋体" w:hAnsi="宋体" w:cs="Helvetica"/>
          <w:kern w:val="0"/>
          <w:sz w:val="24"/>
          <w:szCs w:val="24"/>
        </w:rPr>
        <w:t>。投标有效期不足的，</w:t>
      </w:r>
      <w:r>
        <w:rPr>
          <w:rFonts w:hint="eastAsia" w:ascii="宋体" w:hAnsi="宋体" w:cs="Times New Roman"/>
          <w:sz w:val="24"/>
          <w:szCs w:val="24"/>
        </w:rPr>
        <w:t>按照</w:t>
      </w:r>
      <w:r>
        <w:rPr>
          <w:rFonts w:hint="eastAsia" w:ascii="宋体" w:hAnsi="宋体" w:cs="Times New Roman"/>
          <w:b/>
          <w:sz w:val="24"/>
          <w:szCs w:val="24"/>
        </w:rPr>
        <w:t>无效投标处理。</w:t>
      </w:r>
    </w:p>
    <w:p>
      <w:pPr>
        <w:numPr>
          <w:ilvl w:val="0"/>
          <w:numId w:val="17"/>
        </w:numPr>
        <w:spacing w:line="360" w:lineRule="auto"/>
        <w:ind w:left="616" w:hanging="616"/>
        <w:rPr>
          <w:rFonts w:ascii="宋体" w:hAnsi="宋体" w:cs="Times New Roman"/>
          <w:sz w:val="24"/>
          <w:szCs w:val="24"/>
        </w:rPr>
      </w:pPr>
      <w:r>
        <w:rPr>
          <w:rFonts w:hint="eastAsia" w:ascii="宋体" w:hAnsi="宋体" w:cs="Times New Roman"/>
          <w:sz w:val="24"/>
          <w:szCs w:val="24"/>
        </w:rPr>
        <w:t>特殊情况下，在原投标有效期截止之前，采购代理机构或采购人可要求投标人延长投标有效期。这种要求与答复均应以书面形式提交。投标人可拒绝采购代理机构或采购人的这种要求，但其投标在原投标有效期期满后将不再有效。同意延长投标有效期的投标人不会被要求和允许修正其投标内容，而只会被要求相应地延长其投标保证金的有效期。在这种情况下，本章“投标保证金”的退还和不予退还的规定将在延长了的有效期内继续有效。</w:t>
      </w:r>
    </w:p>
    <w:p>
      <w:pPr>
        <w:numPr>
          <w:ilvl w:val="0"/>
          <w:numId w:val="3"/>
        </w:numPr>
        <w:spacing w:line="360" w:lineRule="auto"/>
        <w:ind w:left="560" w:hanging="560"/>
        <w:rPr>
          <w:rFonts w:ascii="宋体" w:hAnsi="宋体" w:cs="Times New Roman"/>
          <w:b/>
          <w:sz w:val="24"/>
          <w:szCs w:val="24"/>
        </w:rPr>
      </w:pPr>
      <w:r>
        <w:rPr>
          <w:rFonts w:hint="eastAsia" w:ascii="宋体" w:hAnsi="宋体" w:cs="Times New Roman"/>
          <w:b/>
          <w:sz w:val="24"/>
          <w:szCs w:val="24"/>
        </w:rPr>
        <w:t>投标文件的数量和签署</w:t>
      </w:r>
    </w:p>
    <w:p>
      <w:pPr>
        <w:numPr>
          <w:ilvl w:val="0"/>
          <w:numId w:val="18"/>
        </w:numPr>
        <w:spacing w:line="360" w:lineRule="auto"/>
        <w:ind w:left="616" w:hanging="616"/>
        <w:rPr>
          <w:rFonts w:ascii="宋体" w:hAnsi="宋体" w:cs="Times New Roman"/>
          <w:sz w:val="24"/>
          <w:szCs w:val="24"/>
        </w:rPr>
      </w:pPr>
      <w:r>
        <w:rPr>
          <w:rFonts w:hint="eastAsia" w:ascii="宋体" w:hAnsi="宋体" w:cs="Times New Roman"/>
          <w:sz w:val="24"/>
          <w:szCs w:val="24"/>
        </w:rPr>
        <w:t>投标人应按本章“投标须知前附表”中规定的份数要求编制投标文件，投标文件的副本可为正本的复印件,但应在副本封面加盖单位公章。每套投标文件应清楚地标明“正本”、“副本”。副本与正本不一致的，以正本为准。</w:t>
      </w:r>
    </w:p>
    <w:p>
      <w:pPr>
        <w:numPr>
          <w:ilvl w:val="0"/>
          <w:numId w:val="18"/>
        </w:numPr>
        <w:spacing w:line="360" w:lineRule="auto"/>
        <w:ind w:left="616" w:hanging="616"/>
        <w:rPr>
          <w:rFonts w:ascii="宋体" w:hAnsi="宋体" w:cs="Times New Roman"/>
          <w:sz w:val="24"/>
          <w:szCs w:val="24"/>
        </w:rPr>
      </w:pPr>
      <w:r>
        <w:rPr>
          <w:rFonts w:hint="eastAsia" w:ascii="宋体" w:hAnsi="宋体" w:cs="Times New Roman"/>
          <w:sz w:val="24"/>
          <w:szCs w:val="24"/>
        </w:rPr>
        <w:t>投标文件的正本应打印或用不褪色墨水书写，应由法定代表人或经其正式授权的代表签字或盖章。由被授权代表签字或盖章的，应以书面形式出具授权证明，其《法定代表人授权书》应附在投标文件中。</w:t>
      </w:r>
    </w:p>
    <w:p>
      <w:pPr>
        <w:numPr>
          <w:ilvl w:val="0"/>
          <w:numId w:val="18"/>
        </w:numPr>
        <w:spacing w:line="360" w:lineRule="auto"/>
        <w:ind w:left="616" w:hanging="616"/>
        <w:rPr>
          <w:rFonts w:ascii="宋体" w:hAnsi="宋体" w:cs="Times New Roman"/>
          <w:sz w:val="24"/>
          <w:szCs w:val="24"/>
        </w:rPr>
      </w:pPr>
      <w:r>
        <w:rPr>
          <w:rFonts w:hint="eastAsia" w:ascii="宋体" w:hAnsi="宋体" w:cs="Times New Roman"/>
          <w:sz w:val="24"/>
          <w:szCs w:val="24"/>
        </w:rPr>
        <w:t>投标文件中任何涂改和增删，应由法定代表人或经其正式授权的代表在旁边签字后方为有效。</w:t>
      </w:r>
    </w:p>
    <w:p>
      <w:pPr>
        <w:numPr>
          <w:ilvl w:val="0"/>
          <w:numId w:val="18"/>
        </w:numPr>
        <w:spacing w:line="360" w:lineRule="auto"/>
        <w:ind w:left="616" w:hanging="616"/>
        <w:rPr>
          <w:rFonts w:ascii="宋体" w:hAnsi="宋体" w:cs="Times New Roman"/>
          <w:sz w:val="24"/>
          <w:szCs w:val="24"/>
        </w:rPr>
      </w:pPr>
      <w:r>
        <w:rPr>
          <w:rFonts w:hint="eastAsia" w:ascii="宋体" w:hAnsi="宋体" w:cs="Times New Roman"/>
          <w:sz w:val="24"/>
          <w:szCs w:val="24"/>
        </w:rPr>
        <w:t>招标文件中要求加盖公章及签字（签章）之处，投标文件正本中应按要求提供加盖公章及签字（签章）的原件，否则按照</w:t>
      </w:r>
      <w:r>
        <w:rPr>
          <w:rFonts w:hint="eastAsia" w:ascii="宋体" w:hAnsi="宋体" w:cs="Times New Roman"/>
          <w:b/>
          <w:sz w:val="24"/>
          <w:szCs w:val="24"/>
        </w:rPr>
        <w:t>无效投标处理。</w:t>
      </w:r>
    </w:p>
    <w:p>
      <w:pPr>
        <w:numPr>
          <w:ilvl w:val="0"/>
          <w:numId w:val="3"/>
        </w:numPr>
        <w:spacing w:line="360" w:lineRule="auto"/>
        <w:ind w:left="560" w:hanging="560"/>
        <w:rPr>
          <w:rFonts w:ascii="宋体" w:hAnsi="宋体" w:cs="Times New Roman"/>
          <w:b/>
          <w:sz w:val="24"/>
          <w:szCs w:val="20"/>
        </w:rPr>
      </w:pPr>
      <w:r>
        <w:rPr>
          <w:rFonts w:hint="eastAsia" w:ascii="宋体" w:hAnsi="宋体" w:cs="Times New Roman"/>
          <w:b/>
          <w:sz w:val="24"/>
          <w:szCs w:val="20"/>
        </w:rPr>
        <w:t>投标文件的密封和标记</w:t>
      </w:r>
    </w:p>
    <w:p>
      <w:pPr>
        <w:numPr>
          <w:ilvl w:val="0"/>
          <w:numId w:val="19"/>
        </w:numPr>
        <w:spacing w:line="360" w:lineRule="auto"/>
        <w:ind w:left="616" w:hanging="616"/>
        <w:rPr>
          <w:rFonts w:ascii="宋体" w:hAnsi="宋体" w:cs="Times New Roman"/>
          <w:sz w:val="24"/>
          <w:szCs w:val="20"/>
        </w:rPr>
      </w:pPr>
      <w:r>
        <w:rPr>
          <w:rFonts w:hint="eastAsia" w:ascii="宋体" w:hAnsi="宋体" w:cs="Times New Roman"/>
          <w:sz w:val="24"/>
          <w:szCs w:val="20"/>
        </w:rPr>
        <w:t>投标人应将投标文件第一部分资格证明文件、第二部分商务文件、第三部分技术、服务文件统一装订。</w:t>
      </w:r>
    </w:p>
    <w:p>
      <w:pPr>
        <w:numPr>
          <w:ilvl w:val="0"/>
          <w:numId w:val="19"/>
        </w:numPr>
        <w:spacing w:line="360" w:lineRule="auto"/>
        <w:ind w:left="616" w:hanging="616"/>
        <w:rPr>
          <w:rFonts w:ascii="宋体" w:hAnsi="宋体" w:cs="Times New Roman"/>
          <w:sz w:val="24"/>
          <w:szCs w:val="20"/>
        </w:rPr>
      </w:pPr>
      <w:r>
        <w:rPr>
          <w:rFonts w:hint="eastAsia" w:ascii="宋体" w:hAnsi="宋体" w:cs="Times New Roman"/>
          <w:sz w:val="24"/>
          <w:szCs w:val="20"/>
        </w:rPr>
        <w:t>投标人应将投标文件</w:t>
      </w:r>
      <w:r>
        <w:rPr>
          <w:rFonts w:hint="eastAsia" w:ascii="宋体" w:hAnsi="宋体" w:cs="Times New Roman"/>
          <w:b/>
          <w:sz w:val="24"/>
          <w:szCs w:val="20"/>
        </w:rPr>
        <w:t>正本和副本</w:t>
      </w:r>
      <w:r>
        <w:rPr>
          <w:rFonts w:hint="eastAsia" w:ascii="宋体" w:hAnsi="宋体" w:cs="Times New Roman"/>
          <w:sz w:val="24"/>
          <w:szCs w:val="20"/>
        </w:rPr>
        <w:t>分开密封装在单独的封包中，并在封包上标明“正本”、“副本”字样。</w:t>
      </w:r>
    </w:p>
    <w:p>
      <w:pPr>
        <w:numPr>
          <w:ilvl w:val="0"/>
          <w:numId w:val="19"/>
        </w:numPr>
        <w:spacing w:line="360" w:lineRule="auto"/>
        <w:ind w:left="616" w:hanging="616"/>
        <w:rPr>
          <w:rFonts w:ascii="宋体" w:hAnsi="宋体" w:cs="Times New Roman"/>
          <w:sz w:val="24"/>
          <w:szCs w:val="20"/>
        </w:rPr>
      </w:pPr>
      <w:r>
        <w:rPr>
          <w:rFonts w:hint="eastAsia" w:ascii="宋体" w:hAnsi="宋体" w:cs="Times New Roman"/>
          <w:sz w:val="24"/>
          <w:szCs w:val="20"/>
        </w:rPr>
        <w:t>如果未按要求加写密封、标记或存在错误，采购代理机构对其误投或提前启封概不负责。</w:t>
      </w:r>
    </w:p>
    <w:p>
      <w:pPr>
        <w:numPr>
          <w:ilvl w:val="0"/>
          <w:numId w:val="19"/>
        </w:numPr>
        <w:spacing w:line="360" w:lineRule="auto"/>
        <w:ind w:left="616" w:hanging="616"/>
        <w:rPr>
          <w:rFonts w:ascii="宋体" w:hAnsi="宋体" w:cs="Times New Roman"/>
          <w:b/>
          <w:sz w:val="24"/>
          <w:szCs w:val="20"/>
        </w:rPr>
      </w:pPr>
      <w:r>
        <w:rPr>
          <w:rFonts w:hint="eastAsia" w:ascii="宋体" w:hAnsi="宋体" w:cs="Times New Roman"/>
          <w:sz w:val="24"/>
          <w:szCs w:val="20"/>
        </w:rPr>
        <w:t>为方便开标时唱标，投标人应将《开标一览表》原件及《交纳投标保证金的凭证》（若有交纳保证金要求的）各一份一并</w:t>
      </w:r>
      <w:r>
        <w:rPr>
          <w:rFonts w:hint="eastAsia" w:ascii="宋体" w:hAnsi="宋体" w:cs="Times New Roman"/>
          <w:spacing w:val="-6"/>
          <w:kern w:val="0"/>
          <w:sz w:val="24"/>
          <w:szCs w:val="20"/>
        </w:rPr>
        <w:t>装入一个信封，单独密封提交</w:t>
      </w:r>
      <w:r>
        <w:rPr>
          <w:rFonts w:hint="eastAsia" w:ascii="宋体" w:hAnsi="宋体" w:cs="Times New Roman"/>
          <w:sz w:val="24"/>
          <w:szCs w:val="20"/>
        </w:rPr>
        <w:t>，并在信封上标明“开标一览表”字样。未单独提交或单独提交的上述资料未按照招标文件规定的格式填写完整并签字、盖章的采购代理机构</w:t>
      </w:r>
      <w:r>
        <w:rPr>
          <w:rFonts w:hint="eastAsia" w:ascii="宋体" w:hAnsi="宋体" w:cs="Times New Roman"/>
          <w:b/>
          <w:sz w:val="24"/>
          <w:szCs w:val="20"/>
        </w:rPr>
        <w:t>拒绝</w:t>
      </w:r>
      <w:r>
        <w:rPr>
          <w:rFonts w:hint="eastAsia" w:ascii="宋体" w:hAnsi="宋体" w:cs="Times New Roman"/>
          <w:sz w:val="24"/>
          <w:szCs w:val="20"/>
        </w:rPr>
        <w:t>其投标。</w:t>
      </w:r>
    </w:p>
    <w:p>
      <w:pPr>
        <w:numPr>
          <w:ilvl w:val="0"/>
          <w:numId w:val="19"/>
        </w:numPr>
        <w:spacing w:line="360" w:lineRule="auto"/>
        <w:ind w:left="616" w:hanging="616"/>
        <w:rPr>
          <w:rFonts w:ascii="宋体" w:hAnsi="宋体" w:cs="Times New Roman"/>
          <w:sz w:val="24"/>
          <w:szCs w:val="20"/>
        </w:rPr>
      </w:pPr>
      <w:r>
        <w:rPr>
          <w:rFonts w:hint="eastAsia" w:ascii="宋体" w:hAnsi="宋体" w:cs="Times New Roman"/>
          <w:sz w:val="24"/>
          <w:szCs w:val="20"/>
        </w:rPr>
        <w:t>“开标一览表”信封和投标文件的封包上应注明采购项目编号、项目名称、投标内容和有“在（招标文件中规定的开标日期和时间）之前不得启封”的字样，封口处加盖投标人公章。</w:t>
      </w:r>
    </w:p>
    <w:p>
      <w:pPr>
        <w:numPr>
          <w:ilvl w:val="0"/>
          <w:numId w:val="3"/>
        </w:numPr>
        <w:spacing w:line="360" w:lineRule="auto"/>
        <w:ind w:left="560" w:hanging="560"/>
        <w:rPr>
          <w:rFonts w:ascii="宋体" w:hAnsi="宋体" w:cs="Times New Roman"/>
          <w:b/>
          <w:sz w:val="24"/>
          <w:szCs w:val="20"/>
        </w:rPr>
      </w:pPr>
      <w:r>
        <w:rPr>
          <w:rFonts w:hint="eastAsia" w:ascii="宋体" w:hAnsi="宋体" w:cs="Times New Roman"/>
          <w:b/>
          <w:sz w:val="24"/>
          <w:szCs w:val="20"/>
        </w:rPr>
        <w:t>投标文件递交</w:t>
      </w:r>
    </w:p>
    <w:p>
      <w:pPr>
        <w:numPr>
          <w:ilvl w:val="0"/>
          <w:numId w:val="20"/>
        </w:numPr>
        <w:spacing w:line="360" w:lineRule="auto"/>
        <w:ind w:left="616" w:hanging="616"/>
        <w:rPr>
          <w:rFonts w:ascii="Helvetica" w:hAnsi="Helvetica" w:cs="Helvetica"/>
          <w:kern w:val="0"/>
          <w:sz w:val="24"/>
          <w:szCs w:val="24"/>
        </w:rPr>
      </w:pPr>
      <w:r>
        <w:rPr>
          <w:rFonts w:hint="eastAsia" w:ascii="Helvetica" w:hAnsi="Helvetica" w:cs="Helvetica"/>
          <w:kern w:val="0"/>
          <w:sz w:val="24"/>
          <w:szCs w:val="24"/>
        </w:rPr>
        <w:t>投标人应在不迟于投标邀请书中规定的投标截止日期和时间将投标文件密封递交至采购代理机构规定的投标地点。</w:t>
      </w:r>
    </w:p>
    <w:p>
      <w:pPr>
        <w:numPr>
          <w:ilvl w:val="0"/>
          <w:numId w:val="20"/>
        </w:numPr>
        <w:spacing w:line="360" w:lineRule="auto"/>
        <w:ind w:left="616" w:hanging="616"/>
        <w:rPr>
          <w:rFonts w:ascii="Helvetica" w:hAnsi="Helvetica" w:cs="Helvetica"/>
          <w:b/>
          <w:kern w:val="0"/>
          <w:sz w:val="24"/>
          <w:szCs w:val="24"/>
        </w:rPr>
      </w:pPr>
      <w:r>
        <w:rPr>
          <w:rFonts w:hint="eastAsia" w:ascii="Helvetica" w:hAnsi="Helvetica" w:cs="Helvetica"/>
          <w:b/>
          <w:kern w:val="0"/>
          <w:sz w:val="24"/>
          <w:szCs w:val="24"/>
        </w:rPr>
        <w:t>采购代理机构拒收逾期送达或者未按招标文件要求密封的投标文件。</w:t>
      </w:r>
    </w:p>
    <w:p>
      <w:pPr>
        <w:numPr>
          <w:ilvl w:val="0"/>
          <w:numId w:val="20"/>
        </w:numPr>
        <w:spacing w:line="360" w:lineRule="auto"/>
        <w:ind w:left="616" w:hanging="616"/>
        <w:rPr>
          <w:rFonts w:ascii="Helvetica" w:hAnsi="Helvetica" w:cs="Helvetica"/>
          <w:kern w:val="0"/>
          <w:sz w:val="24"/>
          <w:szCs w:val="24"/>
        </w:rPr>
      </w:pPr>
      <w:r>
        <w:rPr>
          <w:rFonts w:ascii="Helvetica" w:hAnsi="Helvetica" w:cs="Helvetica"/>
          <w:kern w:val="0"/>
          <w:sz w:val="24"/>
          <w:szCs w:val="24"/>
        </w:rPr>
        <w:t>采购</w:t>
      </w:r>
      <w:r>
        <w:rPr>
          <w:rFonts w:hint="eastAsia" w:ascii="Helvetica" w:hAnsi="Helvetica" w:cs="Helvetica"/>
          <w:kern w:val="0"/>
          <w:sz w:val="24"/>
          <w:szCs w:val="24"/>
        </w:rPr>
        <w:t>代理</w:t>
      </w:r>
      <w:r>
        <w:rPr>
          <w:rFonts w:ascii="Helvetica" w:hAnsi="Helvetica" w:cs="Helvetica"/>
          <w:kern w:val="0"/>
          <w:sz w:val="24"/>
          <w:szCs w:val="24"/>
        </w:rPr>
        <w:t>机构收到投标文件后，应当如实记载投标文件的送达时间和密封情况，签收保存，并向投标人出具签收回执。</w:t>
      </w:r>
    </w:p>
    <w:p>
      <w:pPr>
        <w:numPr>
          <w:ilvl w:val="0"/>
          <w:numId w:val="3"/>
        </w:numPr>
        <w:spacing w:line="360" w:lineRule="auto"/>
        <w:ind w:left="560" w:hanging="560"/>
        <w:rPr>
          <w:rFonts w:ascii="宋体" w:hAnsi="宋体" w:cs="Times New Roman"/>
          <w:b/>
          <w:sz w:val="24"/>
          <w:szCs w:val="20"/>
        </w:rPr>
      </w:pPr>
      <w:r>
        <w:rPr>
          <w:rFonts w:hint="eastAsia" w:ascii="宋体" w:hAnsi="宋体" w:cs="Times New Roman"/>
          <w:b/>
          <w:sz w:val="24"/>
          <w:szCs w:val="20"/>
        </w:rPr>
        <w:t>投标文件的修改和撤回</w:t>
      </w:r>
    </w:p>
    <w:p>
      <w:pPr>
        <w:numPr>
          <w:ilvl w:val="0"/>
          <w:numId w:val="21"/>
        </w:numPr>
        <w:spacing w:line="360" w:lineRule="auto"/>
        <w:ind w:left="616" w:hanging="616"/>
        <w:rPr>
          <w:rFonts w:ascii="宋体" w:hAnsi="宋体" w:cs="Times New Roman"/>
          <w:strike/>
          <w:sz w:val="24"/>
          <w:szCs w:val="20"/>
        </w:rPr>
      </w:pPr>
      <w:r>
        <w:rPr>
          <w:rFonts w:ascii="宋体" w:hAnsi="宋体" w:cs="Times New Roman"/>
          <w:sz w:val="24"/>
          <w:szCs w:val="20"/>
        </w:rPr>
        <w:t>投标人在投标截止时间前，可以对所递交的投标文件进行补充、修改或者撤回，并书面通知</w:t>
      </w:r>
      <w:r>
        <w:rPr>
          <w:rFonts w:hint="eastAsia" w:ascii="宋体" w:hAnsi="宋体" w:cs="Times New Roman"/>
          <w:sz w:val="24"/>
          <w:szCs w:val="20"/>
        </w:rPr>
        <w:t>采购代理机构</w:t>
      </w:r>
      <w:r>
        <w:rPr>
          <w:rFonts w:ascii="宋体" w:hAnsi="宋体" w:cs="Times New Roman"/>
          <w:sz w:val="24"/>
          <w:szCs w:val="20"/>
        </w:rPr>
        <w:t>。补充、修改的内容应当按照招标文件要求签署、盖章、密封后，作为投标文件的组成部分。</w:t>
      </w:r>
    </w:p>
    <w:p>
      <w:pPr>
        <w:numPr>
          <w:ilvl w:val="0"/>
          <w:numId w:val="21"/>
        </w:numPr>
        <w:spacing w:line="360" w:lineRule="auto"/>
        <w:ind w:left="616" w:hanging="616"/>
        <w:rPr>
          <w:rFonts w:ascii="宋体" w:hAnsi="宋体" w:cs="Times New Roman"/>
          <w:sz w:val="24"/>
          <w:szCs w:val="20"/>
        </w:rPr>
      </w:pPr>
      <w:r>
        <w:rPr>
          <w:rFonts w:hint="eastAsia" w:ascii="宋体" w:hAnsi="宋体" w:cs="Times New Roman"/>
          <w:sz w:val="24"/>
          <w:szCs w:val="20"/>
        </w:rPr>
        <w:t>投标有效期内投标人不得撤销其投标文件，否则按照本章“投标保证金”的规定其投标保证金不予退还。</w:t>
      </w:r>
    </w:p>
    <w:p>
      <w:pPr>
        <w:numPr>
          <w:ilvl w:val="0"/>
          <w:numId w:val="21"/>
        </w:numPr>
        <w:spacing w:line="360" w:lineRule="auto"/>
        <w:ind w:left="616" w:hanging="616"/>
        <w:rPr>
          <w:rFonts w:ascii="宋体" w:hAnsi="宋体" w:cs="Times New Roman"/>
          <w:sz w:val="24"/>
          <w:szCs w:val="20"/>
        </w:rPr>
      </w:pPr>
      <w:r>
        <w:rPr>
          <w:rFonts w:hint="eastAsia" w:ascii="宋体" w:hAnsi="宋体" w:cs="Times New Roman"/>
          <w:sz w:val="24"/>
          <w:szCs w:val="20"/>
        </w:rPr>
        <w:t>投标人所递交的投标文件无论中标与否不予退还。</w:t>
      </w:r>
    </w:p>
    <w:p>
      <w:pPr>
        <w:pStyle w:val="3"/>
        <w:numPr>
          <w:ilvl w:val="0"/>
          <w:numId w:val="2"/>
        </w:numPr>
        <w:spacing w:before="40" w:after="40" w:line="360" w:lineRule="auto"/>
        <w:ind w:left="658" w:hanging="658"/>
        <w:jc w:val="left"/>
        <w:rPr>
          <w:rFonts w:ascii="宋体" w:hAnsi="宋体" w:cs="Times New Roman"/>
          <w:bCs w:val="0"/>
        </w:rPr>
      </w:pPr>
      <w:bookmarkStart w:id="14" w:name="_Toc494561942"/>
      <w:bookmarkStart w:id="15" w:name="_Toc272247698"/>
      <w:bookmarkStart w:id="16" w:name="_Toc278891595"/>
      <w:bookmarkStart w:id="17" w:name="_Toc497459174"/>
      <w:r>
        <w:rPr>
          <w:rFonts w:hint="eastAsia" w:ascii="宋体" w:hAnsi="宋体" w:cs="Times New Roman"/>
          <w:bCs w:val="0"/>
        </w:rPr>
        <w:t>开标与评标</w:t>
      </w:r>
      <w:bookmarkEnd w:id="14"/>
      <w:bookmarkEnd w:id="15"/>
      <w:bookmarkEnd w:id="16"/>
      <w:bookmarkEnd w:id="17"/>
    </w:p>
    <w:p>
      <w:pPr>
        <w:numPr>
          <w:ilvl w:val="0"/>
          <w:numId w:val="3"/>
        </w:numPr>
        <w:spacing w:line="360" w:lineRule="auto"/>
        <w:ind w:left="560" w:hanging="560"/>
        <w:rPr>
          <w:rFonts w:ascii="宋体" w:hAnsi="宋体" w:cs="Times New Roman"/>
          <w:b/>
          <w:sz w:val="24"/>
          <w:szCs w:val="20"/>
        </w:rPr>
      </w:pPr>
      <w:r>
        <w:rPr>
          <w:rFonts w:hint="eastAsia" w:ascii="宋体" w:hAnsi="宋体" w:cs="Times New Roman"/>
          <w:b/>
          <w:sz w:val="24"/>
          <w:szCs w:val="20"/>
        </w:rPr>
        <w:t>开标</w:t>
      </w:r>
    </w:p>
    <w:p>
      <w:pPr>
        <w:numPr>
          <w:ilvl w:val="0"/>
          <w:numId w:val="22"/>
        </w:numPr>
        <w:spacing w:line="360" w:lineRule="auto"/>
        <w:ind w:left="616" w:hanging="616"/>
        <w:rPr>
          <w:rFonts w:ascii="宋体" w:hAnsi="宋体" w:cs="Times New Roman"/>
          <w:sz w:val="24"/>
          <w:szCs w:val="20"/>
        </w:rPr>
      </w:pPr>
      <w:r>
        <w:rPr>
          <w:rFonts w:hint="eastAsia" w:ascii="宋体" w:hAnsi="宋体" w:cs="Times New Roman"/>
          <w:sz w:val="24"/>
          <w:szCs w:val="20"/>
        </w:rPr>
        <w:t>采购代理机构在第一章“投标邀请书”中约定的日期、时间和地点组织公开开标。开标时采购人和投标人代表（投标人法定代表人或其授权代表）参加,参加开标的代表应签到以证明其出席。</w:t>
      </w:r>
    </w:p>
    <w:p>
      <w:pPr>
        <w:numPr>
          <w:ilvl w:val="0"/>
          <w:numId w:val="22"/>
        </w:numPr>
        <w:spacing w:line="360" w:lineRule="auto"/>
        <w:ind w:left="616" w:hanging="616"/>
        <w:rPr>
          <w:rFonts w:ascii="宋体" w:hAnsi="宋体" w:cs="Times New Roman"/>
          <w:sz w:val="24"/>
          <w:szCs w:val="20"/>
        </w:rPr>
      </w:pPr>
      <w:r>
        <w:rPr>
          <w:rFonts w:hint="eastAsia" w:ascii="宋体" w:hAnsi="宋体" w:cs="Times New Roman"/>
          <w:sz w:val="24"/>
          <w:szCs w:val="20"/>
        </w:rPr>
        <w:t>投标人法定代表人或其授权代表应携带有效身份证明参加项目开标会，</w:t>
      </w:r>
      <w:r>
        <w:rPr>
          <w:rFonts w:ascii="宋体" w:hAnsi="宋体" w:cs="Times New Roman"/>
          <w:sz w:val="24"/>
          <w:szCs w:val="20"/>
        </w:rPr>
        <w:t>投标人未参加开标的，视同认可开标结果。</w:t>
      </w:r>
      <w:r>
        <w:rPr>
          <w:rFonts w:hint="eastAsia" w:ascii="宋体" w:hAnsi="宋体" w:cs="Times New Roman"/>
          <w:sz w:val="24"/>
          <w:szCs w:val="20"/>
        </w:rPr>
        <w:t>截止</w:t>
      </w:r>
      <w:r>
        <w:rPr>
          <w:rFonts w:hint="eastAsia" w:ascii="宋体" w:hAnsi="宋体" w:cs="宋体"/>
          <w:kern w:val="0"/>
          <w:sz w:val="24"/>
          <w:szCs w:val="24"/>
        </w:rPr>
        <w:t>投标文件</w:t>
      </w:r>
      <w:r>
        <w:rPr>
          <w:rFonts w:hint="eastAsia" w:ascii="宋体" w:hAnsi="宋体" w:cs="Times New Roman"/>
          <w:sz w:val="24"/>
          <w:szCs w:val="20"/>
        </w:rPr>
        <w:t>递交时间，投标人不足3家的，不进行开标</w:t>
      </w:r>
      <w:r>
        <w:rPr>
          <w:rFonts w:hint="eastAsia" w:ascii="Helvetica" w:hAnsi="Helvetica" w:cs="Helvetica"/>
          <w:kern w:val="0"/>
          <w:sz w:val="24"/>
          <w:szCs w:val="24"/>
        </w:rPr>
        <w:t>。</w:t>
      </w:r>
    </w:p>
    <w:p>
      <w:pPr>
        <w:numPr>
          <w:ilvl w:val="0"/>
          <w:numId w:val="22"/>
        </w:numPr>
        <w:spacing w:line="360" w:lineRule="auto"/>
        <w:ind w:left="616" w:hanging="616"/>
        <w:rPr>
          <w:rFonts w:ascii="宋体" w:hAnsi="宋体" w:cs="Times New Roman"/>
          <w:sz w:val="24"/>
          <w:szCs w:val="20"/>
        </w:rPr>
      </w:pPr>
      <w:r>
        <w:rPr>
          <w:rFonts w:hint="eastAsia" w:ascii="宋体" w:hAnsi="宋体" w:cs="Times New Roman"/>
          <w:sz w:val="24"/>
          <w:szCs w:val="20"/>
        </w:rPr>
        <w:t>开标时，由投标人或其推选的代表检查投标文件的密封情况，经确认无误后由采购代理机构工作人员当众拆封，</w:t>
      </w:r>
      <w:r>
        <w:rPr>
          <w:rFonts w:ascii="宋体" w:hAnsi="宋体" w:cs="Times New Roman"/>
          <w:sz w:val="24"/>
          <w:szCs w:val="20"/>
        </w:rPr>
        <w:t>宣布投标人名称、投标价格和招标文件规定的需要宣布的其他内容。</w:t>
      </w:r>
    </w:p>
    <w:p>
      <w:pPr>
        <w:numPr>
          <w:ilvl w:val="0"/>
          <w:numId w:val="22"/>
        </w:numPr>
        <w:spacing w:line="360" w:lineRule="auto"/>
        <w:ind w:left="616" w:hanging="616"/>
        <w:rPr>
          <w:rFonts w:ascii="宋体" w:hAnsi="宋体" w:cs="Times New Roman"/>
          <w:sz w:val="24"/>
          <w:szCs w:val="20"/>
        </w:rPr>
      </w:pPr>
      <w:r>
        <w:rPr>
          <w:rFonts w:hint="eastAsia" w:ascii="宋体" w:hAnsi="宋体" w:cs="Times New Roman"/>
          <w:sz w:val="24"/>
          <w:szCs w:val="20"/>
        </w:rPr>
        <w:t>采购代理机构</w:t>
      </w:r>
      <w:r>
        <w:rPr>
          <w:rFonts w:ascii="宋体" w:hAnsi="宋体" w:cs="Times New Roman"/>
          <w:sz w:val="24"/>
          <w:szCs w:val="20"/>
        </w:rPr>
        <w:t>负责</w:t>
      </w:r>
      <w:r>
        <w:rPr>
          <w:rFonts w:hint="eastAsia" w:ascii="宋体" w:hAnsi="宋体" w:cs="Times New Roman"/>
          <w:sz w:val="24"/>
          <w:szCs w:val="20"/>
        </w:rPr>
        <w:t>对</w:t>
      </w:r>
      <w:r>
        <w:rPr>
          <w:rFonts w:ascii="宋体" w:hAnsi="宋体" w:cs="Times New Roman"/>
          <w:sz w:val="24"/>
          <w:szCs w:val="20"/>
        </w:rPr>
        <w:t>开标过程</w:t>
      </w:r>
      <w:r>
        <w:rPr>
          <w:rFonts w:hint="eastAsia" w:ascii="宋体" w:hAnsi="宋体" w:cs="Times New Roman"/>
          <w:sz w:val="24"/>
          <w:szCs w:val="20"/>
        </w:rPr>
        <w:t>进行</w:t>
      </w:r>
      <w:r>
        <w:rPr>
          <w:rFonts w:ascii="宋体" w:hAnsi="宋体" w:cs="Times New Roman"/>
          <w:sz w:val="24"/>
          <w:szCs w:val="20"/>
        </w:rPr>
        <w:t>记录，由参加开标的各投标人代表和相关工作人员</w:t>
      </w:r>
      <w:r>
        <w:rPr>
          <w:rFonts w:hint="eastAsia" w:ascii="宋体" w:hAnsi="宋体" w:cs="Times New Roman"/>
          <w:sz w:val="24"/>
          <w:szCs w:val="20"/>
        </w:rPr>
        <w:t>对开标记录进行</w:t>
      </w:r>
      <w:r>
        <w:rPr>
          <w:rFonts w:ascii="宋体" w:hAnsi="宋体" w:cs="Times New Roman"/>
          <w:sz w:val="24"/>
          <w:szCs w:val="20"/>
        </w:rPr>
        <w:t>签字确认。</w:t>
      </w:r>
    </w:p>
    <w:p>
      <w:pPr>
        <w:numPr>
          <w:ilvl w:val="0"/>
          <w:numId w:val="22"/>
        </w:numPr>
        <w:spacing w:line="360" w:lineRule="auto"/>
        <w:ind w:left="616" w:hanging="616"/>
        <w:rPr>
          <w:rFonts w:ascii="宋体" w:hAnsi="宋体" w:cs="Times New Roman"/>
          <w:sz w:val="24"/>
          <w:szCs w:val="20"/>
        </w:rPr>
      </w:pPr>
      <w:r>
        <w:rPr>
          <w:rFonts w:ascii="宋体" w:hAnsi="宋体" w:cs="Times New Roman"/>
          <w:sz w:val="24"/>
          <w:szCs w:val="20"/>
        </w:rPr>
        <w:t>投标人代表对开标过程和开标记录有疑义，以及认为采购人、</w:t>
      </w:r>
      <w:r>
        <w:rPr>
          <w:rFonts w:hint="eastAsia" w:ascii="宋体" w:hAnsi="宋体" w:cs="Times New Roman"/>
          <w:sz w:val="24"/>
          <w:szCs w:val="20"/>
        </w:rPr>
        <w:t>采购代理机构</w:t>
      </w:r>
      <w:r>
        <w:rPr>
          <w:rFonts w:ascii="宋体" w:hAnsi="宋体" w:cs="Times New Roman"/>
          <w:sz w:val="24"/>
          <w:szCs w:val="20"/>
        </w:rPr>
        <w:t>相关工作人员有需要回避的情形的，应当场提出询问或者回避申请。采购人、</w:t>
      </w:r>
      <w:r>
        <w:rPr>
          <w:rFonts w:hint="eastAsia" w:ascii="宋体" w:hAnsi="宋体" w:cs="Times New Roman"/>
          <w:sz w:val="24"/>
          <w:szCs w:val="20"/>
        </w:rPr>
        <w:t>采购代理机构将</w:t>
      </w:r>
      <w:r>
        <w:rPr>
          <w:rFonts w:ascii="宋体" w:hAnsi="宋体" w:cs="Times New Roman"/>
          <w:sz w:val="24"/>
          <w:szCs w:val="20"/>
        </w:rPr>
        <w:t>及时处理投标人代表提出的询问或者回避申请。</w:t>
      </w:r>
    </w:p>
    <w:p>
      <w:pPr>
        <w:numPr>
          <w:ilvl w:val="0"/>
          <w:numId w:val="3"/>
        </w:numPr>
        <w:spacing w:line="360" w:lineRule="auto"/>
        <w:ind w:left="560" w:hanging="560"/>
        <w:rPr>
          <w:rFonts w:ascii="宋体" w:hAnsi="宋体" w:cs="Times New Roman"/>
          <w:b/>
          <w:sz w:val="24"/>
          <w:szCs w:val="20"/>
        </w:rPr>
      </w:pPr>
      <w:r>
        <w:rPr>
          <w:rFonts w:hint="eastAsia" w:ascii="宋体" w:hAnsi="宋体" w:cs="Times New Roman"/>
          <w:b/>
          <w:sz w:val="24"/>
          <w:szCs w:val="20"/>
        </w:rPr>
        <w:t>资格审查</w:t>
      </w:r>
    </w:p>
    <w:p>
      <w:pPr>
        <w:numPr>
          <w:ilvl w:val="0"/>
          <w:numId w:val="23"/>
        </w:numPr>
        <w:spacing w:line="360" w:lineRule="auto"/>
        <w:ind w:left="616" w:hanging="616"/>
        <w:rPr>
          <w:rFonts w:ascii="Helvetica" w:hAnsi="Helvetica" w:cs="Helvetica"/>
          <w:kern w:val="0"/>
          <w:sz w:val="24"/>
          <w:szCs w:val="24"/>
        </w:rPr>
      </w:pPr>
      <w:r>
        <w:rPr>
          <w:rFonts w:hint="eastAsia" w:ascii="宋体" w:hAnsi="宋体" w:cs="Times New Roman"/>
          <w:bCs/>
          <w:sz w:val="24"/>
          <w:szCs w:val="20"/>
        </w:rPr>
        <w:t>公开招标采购项目开标结束后，采购人与采购代理机构依据法律、法规及招标文件的规定，对投标人的资格进行审查，以确定投标人资格是否合格。</w:t>
      </w:r>
      <w:r>
        <w:rPr>
          <w:rFonts w:ascii="Helvetica" w:hAnsi="Helvetica" w:cs="Helvetica"/>
          <w:kern w:val="0"/>
          <w:sz w:val="24"/>
          <w:szCs w:val="24"/>
        </w:rPr>
        <w:t>合格投标人不足</w:t>
      </w:r>
      <w:r>
        <w:rPr>
          <w:rFonts w:ascii="宋体" w:hAnsi="宋体" w:cs="Helvetica"/>
          <w:kern w:val="0"/>
          <w:sz w:val="24"/>
          <w:szCs w:val="24"/>
        </w:rPr>
        <w:t>3</w:t>
      </w:r>
      <w:r>
        <w:rPr>
          <w:rFonts w:ascii="Helvetica" w:hAnsi="Helvetica" w:cs="Helvetica"/>
          <w:kern w:val="0"/>
          <w:sz w:val="24"/>
          <w:szCs w:val="24"/>
        </w:rPr>
        <w:t>家的，不</w:t>
      </w:r>
      <w:r>
        <w:rPr>
          <w:rFonts w:hint="eastAsia" w:ascii="Helvetica" w:hAnsi="Helvetica" w:cs="Helvetica"/>
          <w:kern w:val="0"/>
          <w:sz w:val="24"/>
          <w:szCs w:val="24"/>
        </w:rPr>
        <w:t>进行</w:t>
      </w:r>
      <w:r>
        <w:rPr>
          <w:rFonts w:ascii="Helvetica" w:hAnsi="Helvetica" w:cs="Helvetica"/>
          <w:kern w:val="0"/>
          <w:sz w:val="24"/>
          <w:szCs w:val="24"/>
        </w:rPr>
        <w:t>评标</w:t>
      </w:r>
      <w:r>
        <w:rPr>
          <w:rFonts w:hint="eastAsia" w:ascii="Helvetica" w:hAnsi="Helvetica" w:cs="Helvetica"/>
          <w:kern w:val="0"/>
          <w:sz w:val="24"/>
          <w:szCs w:val="24"/>
        </w:rPr>
        <w:t>。</w:t>
      </w:r>
    </w:p>
    <w:p>
      <w:pPr>
        <w:numPr>
          <w:ilvl w:val="0"/>
          <w:numId w:val="23"/>
        </w:numPr>
        <w:spacing w:line="360" w:lineRule="auto"/>
        <w:ind w:left="616" w:hanging="616"/>
        <w:rPr>
          <w:rFonts w:ascii="宋体" w:hAnsi="宋体" w:cs="Times New Roman"/>
          <w:bCs/>
          <w:sz w:val="24"/>
          <w:szCs w:val="20"/>
        </w:rPr>
      </w:pPr>
      <w:r>
        <w:rPr>
          <w:rFonts w:hint="eastAsia" w:ascii="宋体" w:hAnsi="宋体" w:cs="Times New Roman"/>
          <w:bCs/>
          <w:sz w:val="24"/>
          <w:szCs w:val="20"/>
        </w:rPr>
        <w:t>资格审查详见第四章“资格审查方法及标准”。</w:t>
      </w:r>
    </w:p>
    <w:p>
      <w:pPr>
        <w:numPr>
          <w:ilvl w:val="0"/>
          <w:numId w:val="3"/>
        </w:numPr>
        <w:spacing w:line="360" w:lineRule="auto"/>
        <w:ind w:left="560" w:hanging="560"/>
        <w:rPr>
          <w:rFonts w:ascii="宋体" w:hAnsi="宋体" w:cs="Times New Roman"/>
          <w:b/>
          <w:sz w:val="24"/>
          <w:szCs w:val="20"/>
        </w:rPr>
      </w:pPr>
      <w:r>
        <w:rPr>
          <w:rFonts w:hint="eastAsia" w:ascii="宋体" w:hAnsi="宋体" w:cs="Times New Roman"/>
          <w:b/>
          <w:sz w:val="24"/>
          <w:szCs w:val="20"/>
        </w:rPr>
        <w:t>评标方法</w:t>
      </w:r>
    </w:p>
    <w:p>
      <w:pPr>
        <w:numPr>
          <w:ilvl w:val="0"/>
          <w:numId w:val="24"/>
        </w:numPr>
        <w:spacing w:line="360" w:lineRule="auto"/>
        <w:ind w:left="616" w:hanging="616"/>
        <w:rPr>
          <w:rFonts w:ascii="宋体" w:hAnsi="宋体" w:cs="Times New Roman"/>
          <w:bCs/>
          <w:sz w:val="24"/>
          <w:szCs w:val="20"/>
        </w:rPr>
      </w:pPr>
      <w:r>
        <w:rPr>
          <w:rFonts w:hint="eastAsia" w:ascii="宋体" w:hAnsi="宋体" w:cs="Times New Roman"/>
          <w:bCs/>
          <w:sz w:val="24"/>
          <w:szCs w:val="20"/>
        </w:rPr>
        <w:t>最低评标价法。最低评标价法是指投标文件满足招标文件全部实质性要求，且投标报价最低的投标人为中标候选人的评标方法。</w:t>
      </w:r>
    </w:p>
    <w:p>
      <w:pPr>
        <w:numPr>
          <w:ilvl w:val="0"/>
          <w:numId w:val="24"/>
        </w:numPr>
        <w:spacing w:line="360" w:lineRule="auto"/>
        <w:ind w:left="616" w:hanging="616"/>
        <w:rPr>
          <w:rFonts w:ascii="宋体" w:hAnsi="宋体" w:cs="Times New Roman"/>
          <w:bCs/>
          <w:sz w:val="24"/>
          <w:szCs w:val="20"/>
        </w:rPr>
      </w:pPr>
      <w:r>
        <w:rPr>
          <w:rFonts w:hint="eastAsia" w:ascii="宋体" w:hAnsi="宋体" w:cs="Times New Roman"/>
          <w:bCs/>
          <w:sz w:val="24"/>
          <w:szCs w:val="20"/>
        </w:rPr>
        <w:t>综合评分法。</w:t>
      </w:r>
      <w:r>
        <w:rPr>
          <w:rFonts w:ascii="宋体" w:hAnsi="宋体" w:cs="Times New Roman"/>
          <w:bCs/>
          <w:sz w:val="24"/>
          <w:szCs w:val="20"/>
        </w:rPr>
        <w:t>综合评分法是指投标文件满足招标文件全部实质性要求，且按照评审因素的量化指标评审得分最高的投标人为中标候选人的评标方法。</w:t>
      </w:r>
    </w:p>
    <w:p>
      <w:pPr>
        <w:numPr>
          <w:ilvl w:val="0"/>
          <w:numId w:val="24"/>
        </w:numPr>
        <w:spacing w:line="360" w:lineRule="auto"/>
        <w:ind w:left="616" w:hanging="616"/>
        <w:rPr>
          <w:rFonts w:ascii="宋体" w:hAnsi="宋体" w:cs="Times New Roman"/>
          <w:bCs/>
          <w:sz w:val="24"/>
          <w:szCs w:val="20"/>
        </w:rPr>
      </w:pPr>
      <w:r>
        <w:rPr>
          <w:rFonts w:hint="eastAsia" w:ascii="Helvetica" w:hAnsi="Helvetica" w:cs="Helvetica"/>
          <w:kern w:val="0"/>
          <w:sz w:val="24"/>
          <w:szCs w:val="24"/>
        </w:rPr>
        <w:t>评标方法详见第五章“评标方法、程序及标准”</w:t>
      </w:r>
      <w:r>
        <w:rPr>
          <w:rFonts w:hint="eastAsia" w:ascii="宋体" w:hAnsi="宋体" w:cs="Times New Roman"/>
          <w:bCs/>
          <w:sz w:val="24"/>
          <w:szCs w:val="20"/>
        </w:rPr>
        <w:t>。</w:t>
      </w:r>
    </w:p>
    <w:p>
      <w:pPr>
        <w:numPr>
          <w:ilvl w:val="0"/>
          <w:numId w:val="3"/>
        </w:numPr>
        <w:spacing w:line="360" w:lineRule="auto"/>
        <w:ind w:left="560" w:hanging="560"/>
        <w:rPr>
          <w:rFonts w:ascii="宋体" w:hAnsi="宋体" w:cs="Times New Roman"/>
          <w:b/>
          <w:sz w:val="24"/>
          <w:szCs w:val="20"/>
        </w:rPr>
      </w:pPr>
      <w:r>
        <w:rPr>
          <w:rFonts w:hint="eastAsia" w:ascii="宋体" w:hAnsi="宋体" w:cs="Times New Roman"/>
          <w:b/>
          <w:sz w:val="24"/>
          <w:szCs w:val="20"/>
        </w:rPr>
        <w:t>评标委员会的组成</w:t>
      </w:r>
    </w:p>
    <w:p>
      <w:pPr>
        <w:numPr>
          <w:ilvl w:val="0"/>
          <w:numId w:val="25"/>
        </w:numPr>
        <w:spacing w:line="360" w:lineRule="auto"/>
        <w:ind w:left="616" w:hanging="616"/>
        <w:rPr>
          <w:rFonts w:ascii="宋体" w:hAnsi="宋体" w:cs="Times New Roman"/>
          <w:sz w:val="24"/>
          <w:szCs w:val="20"/>
        </w:rPr>
      </w:pPr>
      <w:r>
        <w:rPr>
          <w:rFonts w:ascii="宋体" w:hAnsi="宋体" w:cs="Helvetica"/>
          <w:kern w:val="0"/>
          <w:sz w:val="24"/>
          <w:szCs w:val="24"/>
        </w:rPr>
        <w:t>评标委员会由采购人代表和评审专家组成，成员人数应当为5人</w:t>
      </w:r>
      <w:r>
        <w:rPr>
          <w:rFonts w:hint="eastAsia" w:ascii="宋体" w:hAnsi="宋体" w:cs="Helvetica"/>
          <w:kern w:val="0"/>
          <w:sz w:val="24"/>
          <w:szCs w:val="24"/>
        </w:rPr>
        <w:t>及</w:t>
      </w:r>
      <w:r>
        <w:rPr>
          <w:rFonts w:ascii="宋体" w:hAnsi="宋体" w:cs="Helvetica"/>
          <w:kern w:val="0"/>
          <w:sz w:val="24"/>
          <w:szCs w:val="24"/>
        </w:rPr>
        <w:t>以上单数，其中评审专家不得少于成员总数的三分之二</w:t>
      </w:r>
      <w:r>
        <w:rPr>
          <w:rFonts w:hint="eastAsia" w:ascii="宋体" w:hAnsi="宋体" w:cs="Helvetica"/>
          <w:kern w:val="0"/>
          <w:sz w:val="24"/>
          <w:szCs w:val="24"/>
        </w:rPr>
        <w:t>；</w:t>
      </w:r>
      <w:r>
        <w:rPr>
          <w:rFonts w:ascii="宋体" w:hAnsi="宋体" w:cs="Times New Roman"/>
          <w:sz w:val="24"/>
          <w:szCs w:val="20"/>
        </w:rPr>
        <w:t>采购预算金额在1000万元</w:t>
      </w:r>
      <w:r>
        <w:rPr>
          <w:rFonts w:hint="eastAsia" w:ascii="宋体" w:hAnsi="宋体" w:cs="Times New Roman"/>
          <w:sz w:val="24"/>
          <w:szCs w:val="20"/>
        </w:rPr>
        <w:t>及</w:t>
      </w:r>
      <w:r>
        <w:rPr>
          <w:rFonts w:ascii="宋体" w:hAnsi="宋体" w:cs="Times New Roman"/>
          <w:sz w:val="24"/>
          <w:szCs w:val="20"/>
        </w:rPr>
        <w:t>以上</w:t>
      </w:r>
      <w:r>
        <w:rPr>
          <w:rFonts w:hint="eastAsia" w:ascii="宋体" w:hAnsi="宋体" w:cs="Times New Roman"/>
          <w:sz w:val="24"/>
          <w:szCs w:val="20"/>
        </w:rPr>
        <w:t>、</w:t>
      </w:r>
      <w:r>
        <w:rPr>
          <w:rFonts w:ascii="宋体" w:hAnsi="宋体" w:cs="Times New Roman"/>
          <w:sz w:val="24"/>
          <w:szCs w:val="20"/>
        </w:rPr>
        <w:t>技术复杂</w:t>
      </w:r>
      <w:r>
        <w:rPr>
          <w:rFonts w:hint="eastAsia" w:ascii="宋体" w:hAnsi="宋体" w:cs="Times New Roman"/>
          <w:sz w:val="24"/>
          <w:szCs w:val="20"/>
        </w:rPr>
        <w:t>或</w:t>
      </w:r>
      <w:r>
        <w:rPr>
          <w:rFonts w:ascii="宋体" w:hAnsi="宋体" w:cs="Times New Roman"/>
          <w:sz w:val="24"/>
          <w:szCs w:val="20"/>
        </w:rPr>
        <w:t>社会影响较大</w:t>
      </w:r>
      <w:r>
        <w:rPr>
          <w:rFonts w:hint="eastAsia" w:ascii="宋体" w:hAnsi="宋体" w:cs="Times New Roman"/>
          <w:sz w:val="24"/>
          <w:szCs w:val="20"/>
        </w:rPr>
        <w:t>的项目，</w:t>
      </w:r>
      <w:r>
        <w:rPr>
          <w:rFonts w:ascii="宋体" w:hAnsi="宋体" w:cs="Times New Roman"/>
          <w:sz w:val="24"/>
          <w:szCs w:val="20"/>
        </w:rPr>
        <w:t>评标委员会成员人数应当为7人</w:t>
      </w:r>
      <w:r>
        <w:rPr>
          <w:rFonts w:hint="eastAsia" w:ascii="宋体" w:hAnsi="宋体" w:cs="Times New Roman"/>
          <w:sz w:val="24"/>
          <w:szCs w:val="20"/>
        </w:rPr>
        <w:t>及</w:t>
      </w:r>
      <w:r>
        <w:rPr>
          <w:rFonts w:ascii="宋体" w:hAnsi="宋体" w:cs="Times New Roman"/>
          <w:sz w:val="24"/>
          <w:szCs w:val="20"/>
        </w:rPr>
        <w:t>以上单数</w:t>
      </w:r>
      <w:r>
        <w:rPr>
          <w:rFonts w:hint="eastAsia" w:ascii="宋体" w:hAnsi="宋体" w:cs="Times New Roman"/>
          <w:sz w:val="24"/>
          <w:szCs w:val="20"/>
        </w:rPr>
        <w:t>。</w:t>
      </w:r>
    </w:p>
    <w:p>
      <w:pPr>
        <w:numPr>
          <w:ilvl w:val="0"/>
          <w:numId w:val="25"/>
        </w:numPr>
        <w:spacing w:line="360" w:lineRule="auto"/>
        <w:ind w:left="616" w:hanging="616"/>
        <w:rPr>
          <w:rFonts w:ascii="宋体" w:hAnsi="宋体" w:cs="Times New Roman"/>
          <w:sz w:val="24"/>
          <w:szCs w:val="20"/>
        </w:rPr>
      </w:pPr>
      <w:r>
        <w:rPr>
          <w:rFonts w:hint="eastAsia" w:ascii="宋体" w:hAnsi="宋体" w:cs="Times New Roman"/>
          <w:sz w:val="24"/>
          <w:szCs w:val="20"/>
        </w:rPr>
        <w:t>评标委员会成员依法从政府采购专家库中随机抽取。</w:t>
      </w:r>
      <w:r>
        <w:rPr>
          <w:rFonts w:ascii="宋体" w:hAnsi="宋体" w:cs="Times New Roman"/>
          <w:sz w:val="24"/>
          <w:szCs w:val="20"/>
        </w:rPr>
        <w:t>对技术复杂、专业性强的采购项目，通过随机方式难以确定合适评审专家的，经主管预算单位同意，采购人可以自行选定相应专业领域的评审专家。</w:t>
      </w:r>
    </w:p>
    <w:p>
      <w:pPr>
        <w:numPr>
          <w:ilvl w:val="0"/>
          <w:numId w:val="3"/>
        </w:numPr>
        <w:spacing w:line="360" w:lineRule="auto"/>
        <w:ind w:left="560" w:hanging="560"/>
        <w:rPr>
          <w:rFonts w:ascii="宋体" w:hAnsi="宋体" w:cs="Times New Roman"/>
          <w:b/>
          <w:sz w:val="24"/>
          <w:szCs w:val="20"/>
        </w:rPr>
      </w:pPr>
      <w:r>
        <w:rPr>
          <w:rFonts w:hint="eastAsia" w:ascii="宋体" w:hAnsi="宋体" w:cs="Times New Roman"/>
          <w:b/>
          <w:sz w:val="24"/>
          <w:szCs w:val="20"/>
        </w:rPr>
        <w:t>评标程序</w:t>
      </w:r>
    </w:p>
    <w:p>
      <w:pPr>
        <w:numPr>
          <w:ilvl w:val="0"/>
          <w:numId w:val="26"/>
        </w:numPr>
        <w:spacing w:line="360" w:lineRule="auto"/>
        <w:ind w:left="616" w:hanging="616"/>
        <w:rPr>
          <w:rFonts w:ascii="宋体" w:hAnsi="宋体" w:cs="Times New Roman"/>
          <w:sz w:val="24"/>
          <w:szCs w:val="20"/>
        </w:rPr>
      </w:pPr>
      <w:r>
        <w:rPr>
          <w:rFonts w:ascii="Helvetica" w:hAnsi="Helvetica" w:cs="Helvetica"/>
          <w:kern w:val="0"/>
          <w:sz w:val="24"/>
          <w:szCs w:val="24"/>
        </w:rPr>
        <w:t>评标委员会负责具体评标事务，并独立履行下列职责：</w:t>
      </w:r>
    </w:p>
    <w:p>
      <w:pPr>
        <w:numPr>
          <w:ilvl w:val="0"/>
          <w:numId w:val="27"/>
        </w:numPr>
        <w:spacing w:line="360" w:lineRule="auto"/>
        <w:ind w:left="980" w:hanging="854"/>
        <w:rPr>
          <w:rFonts w:ascii="宋体" w:hAnsi="宋体" w:cs="Times New Roman"/>
          <w:sz w:val="24"/>
          <w:szCs w:val="20"/>
        </w:rPr>
      </w:pPr>
      <w:r>
        <w:rPr>
          <w:rFonts w:ascii="宋体" w:hAnsi="宋体" w:cs="Times New Roman"/>
          <w:sz w:val="24"/>
          <w:szCs w:val="20"/>
        </w:rPr>
        <w:t>审查、评价投标文件是否符合招标文件的商务、技术等实质性要求；</w:t>
      </w:r>
    </w:p>
    <w:p>
      <w:pPr>
        <w:numPr>
          <w:ilvl w:val="0"/>
          <w:numId w:val="27"/>
        </w:numPr>
        <w:spacing w:line="360" w:lineRule="auto"/>
        <w:ind w:left="980" w:hanging="854"/>
        <w:rPr>
          <w:rFonts w:ascii="宋体" w:hAnsi="宋体" w:cs="Times New Roman"/>
          <w:sz w:val="24"/>
          <w:szCs w:val="20"/>
        </w:rPr>
      </w:pPr>
      <w:r>
        <w:rPr>
          <w:rFonts w:ascii="宋体" w:hAnsi="宋体" w:cs="Times New Roman"/>
          <w:sz w:val="24"/>
          <w:szCs w:val="20"/>
        </w:rPr>
        <w:t>要求投标人对投标文件有关事项作出澄清或者说明；</w:t>
      </w:r>
    </w:p>
    <w:p>
      <w:pPr>
        <w:numPr>
          <w:ilvl w:val="0"/>
          <w:numId w:val="27"/>
        </w:numPr>
        <w:spacing w:line="360" w:lineRule="auto"/>
        <w:ind w:left="980" w:hanging="854"/>
        <w:rPr>
          <w:rFonts w:ascii="宋体" w:hAnsi="宋体" w:cs="Times New Roman"/>
          <w:sz w:val="24"/>
          <w:szCs w:val="20"/>
        </w:rPr>
      </w:pPr>
      <w:r>
        <w:rPr>
          <w:rFonts w:ascii="宋体" w:hAnsi="宋体" w:cs="Times New Roman"/>
          <w:sz w:val="24"/>
          <w:szCs w:val="20"/>
        </w:rPr>
        <w:t>对投标文件进行</w:t>
      </w:r>
      <w:r>
        <w:rPr>
          <w:rFonts w:hint="eastAsia" w:ascii="宋体" w:hAnsi="宋体" w:cs="Times New Roman"/>
          <w:sz w:val="24"/>
          <w:szCs w:val="20"/>
        </w:rPr>
        <w:t>综合</w:t>
      </w:r>
      <w:r>
        <w:rPr>
          <w:rFonts w:ascii="宋体" w:hAnsi="宋体" w:cs="Times New Roman"/>
          <w:sz w:val="24"/>
          <w:szCs w:val="20"/>
        </w:rPr>
        <w:t>比较和评价；</w:t>
      </w:r>
    </w:p>
    <w:p>
      <w:pPr>
        <w:numPr>
          <w:ilvl w:val="0"/>
          <w:numId w:val="27"/>
        </w:numPr>
        <w:spacing w:line="360" w:lineRule="auto"/>
        <w:ind w:left="980" w:hanging="854"/>
        <w:rPr>
          <w:rFonts w:ascii="宋体" w:hAnsi="宋体" w:cs="Times New Roman"/>
          <w:sz w:val="24"/>
          <w:szCs w:val="20"/>
        </w:rPr>
      </w:pPr>
      <w:r>
        <w:rPr>
          <w:rFonts w:hint="eastAsia" w:ascii="宋体" w:hAnsi="宋体" w:cs="Times New Roman"/>
          <w:sz w:val="24"/>
          <w:szCs w:val="20"/>
        </w:rPr>
        <w:t>确定中标候选人名单或中标人；</w:t>
      </w:r>
    </w:p>
    <w:p>
      <w:pPr>
        <w:numPr>
          <w:ilvl w:val="0"/>
          <w:numId w:val="27"/>
        </w:numPr>
        <w:spacing w:line="360" w:lineRule="auto"/>
        <w:ind w:left="980" w:hanging="854"/>
        <w:rPr>
          <w:rFonts w:ascii="宋体" w:hAnsi="宋体" w:cs="Times New Roman"/>
          <w:sz w:val="24"/>
          <w:szCs w:val="20"/>
        </w:rPr>
      </w:pPr>
      <w:r>
        <w:rPr>
          <w:rFonts w:ascii="宋体" w:hAnsi="宋体" w:cs="Times New Roman"/>
          <w:sz w:val="24"/>
          <w:szCs w:val="20"/>
        </w:rPr>
        <w:t>向采购人、</w:t>
      </w:r>
      <w:r>
        <w:rPr>
          <w:rFonts w:hint="eastAsia" w:ascii="宋体" w:hAnsi="宋体" w:cs="Times New Roman"/>
          <w:sz w:val="24"/>
          <w:szCs w:val="20"/>
        </w:rPr>
        <w:t>采购代理</w:t>
      </w:r>
      <w:r>
        <w:rPr>
          <w:rFonts w:ascii="宋体" w:hAnsi="宋体" w:cs="Times New Roman"/>
          <w:sz w:val="24"/>
          <w:szCs w:val="20"/>
        </w:rPr>
        <w:t>机构或者有关部门报告评标中发现的违法行为。</w:t>
      </w:r>
    </w:p>
    <w:p>
      <w:pPr>
        <w:numPr>
          <w:ilvl w:val="0"/>
          <w:numId w:val="26"/>
        </w:numPr>
        <w:spacing w:line="360" w:lineRule="auto"/>
        <w:ind w:left="616" w:hanging="616"/>
        <w:rPr>
          <w:rFonts w:ascii="Helvetica" w:hAnsi="Helvetica" w:cs="Helvetica"/>
          <w:kern w:val="0"/>
          <w:sz w:val="24"/>
          <w:szCs w:val="24"/>
        </w:rPr>
      </w:pPr>
      <w:r>
        <w:rPr>
          <w:rFonts w:hint="eastAsia" w:ascii="Helvetica" w:hAnsi="Helvetica" w:cs="Helvetica"/>
          <w:kern w:val="0"/>
          <w:sz w:val="24"/>
          <w:szCs w:val="24"/>
        </w:rPr>
        <w:t>评标程序详见第五章“评标方法、程序及标准”。</w:t>
      </w:r>
    </w:p>
    <w:p>
      <w:pPr>
        <w:pStyle w:val="3"/>
        <w:numPr>
          <w:ilvl w:val="0"/>
          <w:numId w:val="2"/>
        </w:numPr>
        <w:spacing w:before="40" w:after="40" w:line="360" w:lineRule="auto"/>
        <w:ind w:left="658" w:hanging="658"/>
        <w:jc w:val="left"/>
        <w:rPr>
          <w:rFonts w:ascii="宋体" w:hAnsi="宋体" w:cs="Times New Roman"/>
          <w:bCs w:val="0"/>
        </w:rPr>
      </w:pPr>
      <w:bookmarkStart w:id="18" w:name="_Toc494561943"/>
      <w:bookmarkStart w:id="19" w:name="_Toc497459175"/>
      <w:r>
        <w:rPr>
          <w:rFonts w:hint="eastAsia" w:ascii="宋体" w:hAnsi="宋体" w:cs="Times New Roman"/>
          <w:bCs w:val="0"/>
        </w:rPr>
        <w:t>投标人信用信息及查询</w:t>
      </w:r>
      <w:bookmarkEnd w:id="18"/>
      <w:bookmarkEnd w:id="19"/>
    </w:p>
    <w:p>
      <w:pPr>
        <w:numPr>
          <w:ilvl w:val="0"/>
          <w:numId w:val="3"/>
        </w:numPr>
        <w:spacing w:line="360" w:lineRule="auto"/>
        <w:ind w:left="560" w:hanging="560"/>
        <w:rPr>
          <w:rFonts w:ascii="宋体" w:hAnsi="宋体" w:cs="Times New Roman"/>
          <w:b/>
          <w:sz w:val="24"/>
          <w:szCs w:val="20"/>
        </w:rPr>
      </w:pPr>
      <w:r>
        <w:rPr>
          <w:rFonts w:hint="eastAsia" w:ascii="宋体" w:hAnsi="宋体" w:cs="Times New Roman"/>
          <w:b/>
          <w:sz w:val="24"/>
          <w:szCs w:val="20"/>
        </w:rPr>
        <w:t>信用信息查询渠道及使用规则</w:t>
      </w:r>
    </w:p>
    <w:p>
      <w:pPr>
        <w:numPr>
          <w:ilvl w:val="0"/>
          <w:numId w:val="28"/>
        </w:numPr>
        <w:spacing w:line="360" w:lineRule="auto"/>
        <w:ind w:left="616" w:hanging="616"/>
        <w:rPr>
          <w:rFonts w:ascii="宋体" w:hAnsi="宋体" w:cs="Helvetica"/>
          <w:kern w:val="0"/>
          <w:sz w:val="24"/>
          <w:szCs w:val="24"/>
        </w:rPr>
      </w:pPr>
      <w:r>
        <w:rPr>
          <w:rFonts w:hint="eastAsia" w:ascii="宋体" w:hAnsi="宋体" w:cs="Helvetica"/>
          <w:kern w:val="0"/>
          <w:sz w:val="24"/>
          <w:szCs w:val="24"/>
        </w:rPr>
        <w:t>按照《关于在政府采购活动中查询及使用信用记录有关问题的通知》的要求，参与政府采购的投标人，信用记录的查询渠道为“信用中国”网站(www.creditchina.gov.cn)、中国政府采购网(</w:t>
      </w:r>
      <w:r>
        <w:fldChar w:fldCharType="begin"/>
      </w:r>
      <w:r>
        <w:instrText xml:space="preserve">HYPERLINK "http://www.ccgp.gov.cn/" </w:instrText>
      </w:r>
      <w:r>
        <w:fldChar w:fldCharType="separate"/>
      </w:r>
      <w:r>
        <w:rPr>
          <w:rFonts w:hint="eastAsia" w:ascii="宋体" w:hAnsi="宋体" w:cs="Helvetica"/>
          <w:kern w:val="0"/>
          <w:sz w:val="24"/>
          <w:szCs w:val="24"/>
        </w:rPr>
        <w:t>www.ccgp.gov.cn</w:t>
      </w:r>
      <w:r>
        <w:fldChar w:fldCharType="end"/>
      </w:r>
      <w:r>
        <w:rPr>
          <w:rFonts w:hint="eastAsia" w:ascii="宋体" w:hAnsi="宋体" w:cs="Helvetica"/>
          <w:kern w:val="0"/>
          <w:sz w:val="24"/>
          <w:szCs w:val="24"/>
        </w:rPr>
        <w:t>)。</w:t>
      </w:r>
    </w:p>
    <w:p>
      <w:pPr>
        <w:numPr>
          <w:ilvl w:val="0"/>
          <w:numId w:val="28"/>
        </w:numPr>
        <w:spacing w:line="360" w:lineRule="auto"/>
        <w:ind w:left="616" w:hanging="616"/>
        <w:rPr>
          <w:rFonts w:ascii="宋体" w:hAnsi="宋体" w:cs="Helvetica"/>
          <w:kern w:val="0"/>
          <w:sz w:val="24"/>
          <w:szCs w:val="24"/>
        </w:rPr>
      </w:pPr>
      <w:r>
        <w:rPr>
          <w:rFonts w:hint="eastAsia" w:ascii="宋体" w:hAnsi="宋体" w:cs="Helvetica"/>
          <w:kern w:val="0"/>
          <w:sz w:val="24"/>
          <w:szCs w:val="24"/>
        </w:rPr>
        <w:t>列入失信被执行人、重大税收违法案件当事人名单、政府采购严重违法失信行为记录名单的供应商，采购代理机构</w:t>
      </w:r>
      <w:r>
        <w:rPr>
          <w:rFonts w:hint="eastAsia" w:ascii="宋体" w:hAnsi="宋体" w:cs="Helvetica"/>
          <w:b/>
          <w:kern w:val="0"/>
          <w:sz w:val="24"/>
          <w:szCs w:val="24"/>
        </w:rPr>
        <w:t>拒绝</w:t>
      </w:r>
      <w:r>
        <w:rPr>
          <w:rFonts w:hint="eastAsia" w:ascii="宋体" w:hAnsi="宋体" w:cs="Helvetica"/>
          <w:kern w:val="0"/>
          <w:sz w:val="24"/>
          <w:szCs w:val="24"/>
        </w:rPr>
        <w:t>其参与政府采购活动。</w:t>
      </w:r>
    </w:p>
    <w:p>
      <w:pPr>
        <w:numPr>
          <w:ilvl w:val="0"/>
          <w:numId w:val="28"/>
        </w:numPr>
        <w:spacing w:line="360" w:lineRule="auto"/>
        <w:ind w:left="616" w:hanging="616"/>
        <w:rPr>
          <w:rFonts w:ascii="宋体" w:hAnsi="宋体" w:cs="Helvetica"/>
          <w:kern w:val="0"/>
          <w:sz w:val="24"/>
          <w:szCs w:val="24"/>
        </w:rPr>
      </w:pPr>
      <w:r>
        <w:rPr>
          <w:rFonts w:hint="eastAsia" w:ascii="宋体" w:hAnsi="宋体" w:cs="Helvetica"/>
          <w:kern w:val="0"/>
          <w:sz w:val="24"/>
          <w:szCs w:val="24"/>
        </w:rPr>
        <w:t>两个及以上自然人、法人或者其他组织组成联合体，以一个供应商的身份共同参加政府采购活动的，应当对所有联合体成员进行信用记录查询，联合体成员存在不良信用记录的，视同联合体存在不良信用信息。</w:t>
      </w:r>
    </w:p>
    <w:p>
      <w:pPr>
        <w:numPr>
          <w:ilvl w:val="0"/>
          <w:numId w:val="28"/>
        </w:numPr>
        <w:spacing w:line="360" w:lineRule="auto"/>
        <w:ind w:left="616" w:hanging="616"/>
        <w:rPr>
          <w:rFonts w:ascii="宋体" w:hAnsi="宋体" w:cs="Helvetica"/>
          <w:kern w:val="0"/>
          <w:sz w:val="24"/>
          <w:szCs w:val="24"/>
        </w:rPr>
      </w:pPr>
      <w:r>
        <w:rPr>
          <w:rFonts w:hint="eastAsia" w:ascii="宋体" w:hAnsi="宋体" w:cs="Helvetica"/>
          <w:kern w:val="0"/>
          <w:sz w:val="24"/>
          <w:szCs w:val="24"/>
        </w:rPr>
        <w:t>投标人的信用记录，最终以评标时的“信用中国”网站发布的信息为准。</w:t>
      </w:r>
    </w:p>
    <w:p>
      <w:pPr>
        <w:numPr>
          <w:ilvl w:val="0"/>
          <w:numId w:val="28"/>
        </w:numPr>
        <w:spacing w:line="360" w:lineRule="auto"/>
        <w:ind w:left="616" w:hanging="616"/>
        <w:rPr>
          <w:rFonts w:ascii="宋体" w:hAnsi="宋体" w:cs="Helvetica"/>
          <w:kern w:val="0"/>
          <w:sz w:val="24"/>
          <w:szCs w:val="24"/>
        </w:rPr>
      </w:pPr>
      <w:r>
        <w:rPr>
          <w:rFonts w:hint="eastAsia" w:ascii="宋体" w:hAnsi="宋体" w:cs="Helvetica"/>
          <w:kern w:val="0"/>
          <w:sz w:val="24"/>
          <w:szCs w:val="24"/>
        </w:rPr>
        <w:t>在资格审查与评标工作未同日进行的特殊情形下，采购代理机构工作人员在评标时对投标人的信用信息进行复核，发现评标当日存在不良信用信息的，由评标委员会按照符合性审查不合格作</w:t>
      </w:r>
      <w:r>
        <w:rPr>
          <w:rFonts w:hint="eastAsia" w:ascii="宋体" w:hAnsi="宋体" w:cs="Helvetica"/>
          <w:b/>
          <w:kern w:val="0"/>
          <w:sz w:val="24"/>
          <w:szCs w:val="24"/>
        </w:rPr>
        <w:t>无效投标处理</w:t>
      </w:r>
      <w:r>
        <w:rPr>
          <w:rFonts w:hint="eastAsia" w:ascii="宋体" w:hAnsi="宋体" w:cs="Helvetica"/>
          <w:kern w:val="0"/>
          <w:sz w:val="24"/>
          <w:szCs w:val="24"/>
        </w:rPr>
        <w:t>。</w:t>
      </w:r>
    </w:p>
    <w:p>
      <w:pPr>
        <w:pStyle w:val="3"/>
        <w:numPr>
          <w:ilvl w:val="0"/>
          <w:numId w:val="2"/>
        </w:numPr>
        <w:spacing w:before="40" w:after="40" w:line="360" w:lineRule="auto"/>
        <w:ind w:left="658" w:hanging="658"/>
        <w:jc w:val="left"/>
        <w:rPr>
          <w:rFonts w:ascii="宋体" w:hAnsi="宋体" w:cs="Times New Roman"/>
          <w:bCs w:val="0"/>
        </w:rPr>
      </w:pPr>
      <w:bookmarkStart w:id="20" w:name="_Toc497459176"/>
      <w:bookmarkStart w:id="21" w:name="_Toc494561944"/>
      <w:r>
        <w:rPr>
          <w:rFonts w:ascii="宋体" w:hAnsi="宋体" w:cs="Times New Roman"/>
          <w:bCs w:val="0"/>
        </w:rPr>
        <w:t>中标</w:t>
      </w:r>
      <w:r>
        <w:rPr>
          <w:rFonts w:hint="eastAsia" w:ascii="宋体" w:hAnsi="宋体" w:cs="Times New Roman"/>
          <w:bCs w:val="0"/>
        </w:rPr>
        <w:t>与</w:t>
      </w:r>
      <w:r>
        <w:rPr>
          <w:rFonts w:ascii="宋体" w:hAnsi="宋体" w:cs="Times New Roman"/>
          <w:bCs w:val="0"/>
        </w:rPr>
        <w:t>合同</w:t>
      </w:r>
      <w:bookmarkEnd w:id="20"/>
      <w:bookmarkEnd w:id="21"/>
    </w:p>
    <w:p>
      <w:pPr>
        <w:numPr>
          <w:ilvl w:val="0"/>
          <w:numId w:val="3"/>
        </w:numPr>
        <w:spacing w:line="360" w:lineRule="auto"/>
        <w:ind w:left="560" w:hanging="560"/>
        <w:rPr>
          <w:rFonts w:ascii="宋体" w:hAnsi="宋体" w:cs="Times New Roman"/>
          <w:b/>
          <w:sz w:val="24"/>
          <w:szCs w:val="20"/>
        </w:rPr>
      </w:pPr>
      <w:r>
        <w:rPr>
          <w:rFonts w:hint="eastAsia" w:ascii="宋体" w:hAnsi="宋体" w:cs="Times New Roman"/>
          <w:b/>
          <w:sz w:val="24"/>
          <w:szCs w:val="20"/>
        </w:rPr>
        <w:t>确定中标人</w:t>
      </w:r>
    </w:p>
    <w:p>
      <w:pPr>
        <w:numPr>
          <w:ilvl w:val="0"/>
          <w:numId w:val="29"/>
        </w:numPr>
        <w:spacing w:line="360" w:lineRule="auto"/>
        <w:ind w:left="616" w:hanging="616"/>
        <w:rPr>
          <w:rFonts w:ascii="宋体" w:hAnsi="宋体" w:cs="Times New Roman"/>
          <w:sz w:val="24"/>
          <w:szCs w:val="20"/>
        </w:rPr>
      </w:pPr>
      <w:r>
        <w:rPr>
          <w:rFonts w:ascii="Helvetica" w:hAnsi="Helvetica" w:cs="Helvetica"/>
          <w:kern w:val="0"/>
          <w:sz w:val="24"/>
          <w:szCs w:val="24"/>
        </w:rPr>
        <w:t>采购人收到评标报告</w:t>
      </w:r>
      <w:r>
        <w:rPr>
          <w:rFonts w:ascii="宋体" w:hAnsi="宋体" w:cs="Helvetica"/>
          <w:kern w:val="0"/>
          <w:sz w:val="24"/>
          <w:szCs w:val="24"/>
        </w:rPr>
        <w:t>5个工作日内，</w:t>
      </w:r>
      <w:r>
        <w:rPr>
          <w:rFonts w:hint="eastAsia" w:ascii="宋体" w:hAnsi="宋体" w:cs="Helvetica"/>
          <w:kern w:val="0"/>
          <w:sz w:val="24"/>
          <w:szCs w:val="24"/>
        </w:rPr>
        <w:t>按</w:t>
      </w:r>
      <w:r>
        <w:rPr>
          <w:rFonts w:ascii="宋体" w:hAnsi="宋体" w:cs="Helvetica"/>
          <w:kern w:val="0"/>
          <w:sz w:val="24"/>
          <w:szCs w:val="24"/>
        </w:rPr>
        <w:t>评标报告推荐的中标候选人顺序确定中标人。</w:t>
      </w:r>
    </w:p>
    <w:p>
      <w:pPr>
        <w:numPr>
          <w:ilvl w:val="0"/>
          <w:numId w:val="29"/>
        </w:numPr>
        <w:spacing w:line="360" w:lineRule="auto"/>
        <w:ind w:left="616" w:hanging="616"/>
        <w:rPr>
          <w:rFonts w:ascii="宋体" w:hAnsi="宋体" w:cs="Times New Roman"/>
          <w:sz w:val="24"/>
          <w:szCs w:val="20"/>
        </w:rPr>
      </w:pPr>
      <w:r>
        <w:rPr>
          <w:rFonts w:ascii="Helvetica" w:hAnsi="Helvetica" w:cs="Helvetica"/>
          <w:kern w:val="0"/>
          <w:sz w:val="24"/>
          <w:szCs w:val="24"/>
        </w:rPr>
        <w:t>中标候选人并列的</w:t>
      </w:r>
      <w:r>
        <w:rPr>
          <w:rFonts w:hint="eastAsia" w:ascii="Helvetica" w:hAnsi="Helvetica" w:cs="Helvetica"/>
          <w:kern w:val="0"/>
          <w:sz w:val="24"/>
          <w:szCs w:val="24"/>
        </w:rPr>
        <w:t>：</w:t>
      </w:r>
    </w:p>
    <w:p>
      <w:pPr>
        <w:numPr>
          <w:ilvl w:val="0"/>
          <w:numId w:val="30"/>
        </w:numPr>
        <w:spacing w:line="360" w:lineRule="auto"/>
        <w:ind w:left="980" w:hanging="854"/>
        <w:rPr>
          <w:rFonts w:ascii="宋体" w:hAnsi="宋体" w:cs="Times New Roman"/>
          <w:sz w:val="24"/>
          <w:szCs w:val="20"/>
        </w:rPr>
      </w:pPr>
      <w:r>
        <w:rPr>
          <w:rFonts w:hint="eastAsia" w:ascii="宋体" w:hAnsi="宋体" w:cs="Times New Roman"/>
          <w:sz w:val="24"/>
          <w:szCs w:val="20"/>
        </w:rPr>
        <w:t>采用最低评标价法的，评标结果按投标报价由低到高顺序排列。投标报价相同 的并列，</w:t>
      </w:r>
      <w:r>
        <w:rPr>
          <w:rFonts w:ascii="宋体" w:hAnsi="宋体" w:cs="Times New Roman"/>
          <w:sz w:val="24"/>
          <w:szCs w:val="20"/>
        </w:rPr>
        <w:t>由采购人</w:t>
      </w:r>
      <w:r>
        <w:rPr>
          <w:rFonts w:hint="eastAsia" w:ascii="宋体" w:hAnsi="宋体" w:cs="Times New Roman"/>
          <w:sz w:val="24"/>
          <w:szCs w:val="20"/>
        </w:rPr>
        <w:t>确定</w:t>
      </w:r>
      <w:r>
        <w:rPr>
          <w:rFonts w:ascii="宋体" w:hAnsi="宋体" w:cs="Times New Roman"/>
          <w:sz w:val="24"/>
          <w:szCs w:val="20"/>
        </w:rPr>
        <w:t>或者采购人委托评标委员会</w:t>
      </w:r>
      <w:r>
        <w:rPr>
          <w:rFonts w:hint="eastAsia" w:ascii="宋体" w:hAnsi="宋体" w:cs="Times New Roman"/>
          <w:sz w:val="24"/>
          <w:szCs w:val="20"/>
        </w:rPr>
        <w:t>以投票方式</w:t>
      </w:r>
      <w:r>
        <w:rPr>
          <w:rFonts w:ascii="宋体" w:hAnsi="宋体" w:cs="Times New Roman"/>
          <w:sz w:val="24"/>
          <w:szCs w:val="20"/>
        </w:rPr>
        <w:t>确定中标人。</w:t>
      </w:r>
    </w:p>
    <w:p>
      <w:pPr>
        <w:numPr>
          <w:ilvl w:val="0"/>
          <w:numId w:val="30"/>
        </w:numPr>
        <w:spacing w:line="360" w:lineRule="auto"/>
        <w:ind w:left="980" w:hanging="854"/>
        <w:rPr>
          <w:rFonts w:ascii="宋体" w:hAnsi="宋体" w:cs="Times New Roman"/>
          <w:sz w:val="24"/>
          <w:szCs w:val="20"/>
        </w:rPr>
      </w:pPr>
      <w:r>
        <w:rPr>
          <w:rFonts w:hint="eastAsia" w:ascii="宋体" w:hAnsi="宋体" w:cs="Times New Roman"/>
          <w:sz w:val="24"/>
          <w:szCs w:val="20"/>
        </w:rPr>
        <w:t>采用综合评分法的，评标结果按评审后得分由高到低顺序排列。得分相同的，按投标报价由低到高顺序排列。得分且投标报价相同的并列，</w:t>
      </w:r>
      <w:r>
        <w:rPr>
          <w:rFonts w:ascii="宋体" w:hAnsi="宋体" w:cs="Times New Roman"/>
          <w:sz w:val="24"/>
          <w:szCs w:val="20"/>
        </w:rPr>
        <w:t>由采购人</w:t>
      </w:r>
      <w:r>
        <w:rPr>
          <w:rFonts w:hint="eastAsia" w:ascii="宋体" w:hAnsi="宋体" w:cs="Times New Roman"/>
          <w:sz w:val="24"/>
          <w:szCs w:val="20"/>
        </w:rPr>
        <w:t>确定</w:t>
      </w:r>
      <w:r>
        <w:rPr>
          <w:rFonts w:ascii="宋体" w:hAnsi="宋体" w:cs="Times New Roman"/>
          <w:sz w:val="24"/>
          <w:szCs w:val="20"/>
        </w:rPr>
        <w:t>或者采购人委托评标委员会</w:t>
      </w:r>
      <w:r>
        <w:rPr>
          <w:rFonts w:hint="eastAsia" w:ascii="宋体" w:hAnsi="宋体" w:cs="Times New Roman"/>
          <w:sz w:val="24"/>
          <w:szCs w:val="20"/>
        </w:rPr>
        <w:t>以投票方式</w:t>
      </w:r>
      <w:r>
        <w:rPr>
          <w:rFonts w:ascii="宋体" w:hAnsi="宋体" w:cs="Times New Roman"/>
          <w:sz w:val="24"/>
          <w:szCs w:val="20"/>
        </w:rPr>
        <w:t>确定中标人。</w:t>
      </w:r>
    </w:p>
    <w:p>
      <w:pPr>
        <w:numPr>
          <w:ilvl w:val="0"/>
          <w:numId w:val="29"/>
        </w:numPr>
        <w:spacing w:line="360" w:lineRule="auto"/>
        <w:ind w:left="616" w:hanging="616"/>
        <w:rPr>
          <w:rFonts w:ascii="宋体" w:hAnsi="宋体" w:cs="Times New Roman"/>
          <w:sz w:val="24"/>
          <w:szCs w:val="20"/>
        </w:rPr>
      </w:pPr>
      <w:r>
        <w:rPr>
          <w:rFonts w:hint="eastAsia" w:ascii="宋体" w:hAnsi="宋体" w:cs="Times New Roman"/>
          <w:sz w:val="24"/>
          <w:szCs w:val="20"/>
        </w:rPr>
        <w:t>中标人的数量有其他规定的，按招标文件相关规定执行。</w:t>
      </w:r>
    </w:p>
    <w:p>
      <w:pPr>
        <w:numPr>
          <w:ilvl w:val="0"/>
          <w:numId w:val="29"/>
        </w:numPr>
        <w:spacing w:line="360" w:lineRule="auto"/>
        <w:ind w:left="616" w:hanging="616"/>
        <w:rPr>
          <w:rFonts w:ascii="宋体" w:hAnsi="宋体" w:cs="Times New Roman"/>
          <w:strike/>
          <w:sz w:val="24"/>
          <w:szCs w:val="20"/>
        </w:rPr>
      </w:pPr>
      <w:r>
        <w:rPr>
          <w:rFonts w:hint="eastAsia" w:ascii="宋体" w:hAnsi="宋体" w:cs="Times New Roman"/>
          <w:sz w:val="24"/>
          <w:szCs w:val="20"/>
        </w:rPr>
        <w:t>中标人确定后，采购代理机构在政府采购监管部门指定的媒体上发布中标公告，同时向中标人和采购人发出《中标通知书》。《中标通知书》是政府采购合同的组成部分,对中标人和采购人具有同等法律效力。</w:t>
      </w:r>
    </w:p>
    <w:p>
      <w:pPr>
        <w:numPr>
          <w:ilvl w:val="0"/>
          <w:numId w:val="29"/>
        </w:numPr>
        <w:spacing w:line="360" w:lineRule="auto"/>
        <w:ind w:left="616" w:hanging="616"/>
        <w:rPr>
          <w:rFonts w:ascii="宋体" w:hAnsi="宋体" w:cs="Times New Roman"/>
          <w:strike/>
          <w:sz w:val="24"/>
          <w:szCs w:val="20"/>
        </w:rPr>
      </w:pPr>
      <w:r>
        <w:rPr>
          <w:rFonts w:ascii="Helvetica" w:hAnsi="Helvetica" w:cs="Helvetica"/>
          <w:kern w:val="0"/>
          <w:sz w:val="24"/>
          <w:szCs w:val="24"/>
        </w:rPr>
        <w:t>中标通知书发出后，采购人不得违法改变中标结果，中标人无正当理由不得放弃中标。</w:t>
      </w:r>
    </w:p>
    <w:p>
      <w:pPr>
        <w:numPr>
          <w:ilvl w:val="0"/>
          <w:numId w:val="29"/>
        </w:numPr>
        <w:spacing w:line="360" w:lineRule="auto"/>
        <w:ind w:left="616" w:hanging="616"/>
        <w:rPr>
          <w:rFonts w:ascii="宋体" w:hAnsi="宋体" w:cs="Times New Roman"/>
          <w:sz w:val="24"/>
          <w:szCs w:val="20"/>
        </w:rPr>
      </w:pPr>
      <w:r>
        <w:rPr>
          <w:rFonts w:hint="eastAsia" w:ascii="宋体" w:hAnsi="宋体" w:cs="Times New Roman"/>
          <w:sz w:val="24"/>
          <w:szCs w:val="20"/>
        </w:rPr>
        <w:t>中标人拒绝与采购人签订合同的，采购人可以按照评标报告推荐的中标候选人名单排序，确定下一候选人为中标人，也可以重新开展政府采购活动。</w:t>
      </w:r>
    </w:p>
    <w:p>
      <w:pPr>
        <w:numPr>
          <w:ilvl w:val="0"/>
          <w:numId w:val="3"/>
        </w:numPr>
        <w:spacing w:line="360" w:lineRule="auto"/>
        <w:ind w:left="560" w:hanging="560"/>
        <w:rPr>
          <w:rFonts w:ascii="宋体" w:hAnsi="宋体" w:cs="Times New Roman"/>
          <w:b/>
          <w:sz w:val="24"/>
          <w:szCs w:val="20"/>
        </w:rPr>
      </w:pPr>
      <w:r>
        <w:rPr>
          <w:rFonts w:hint="eastAsia" w:ascii="宋体" w:hAnsi="宋体" w:cs="Times New Roman"/>
          <w:b/>
          <w:sz w:val="24"/>
          <w:szCs w:val="20"/>
        </w:rPr>
        <w:t>合同授予</w:t>
      </w:r>
    </w:p>
    <w:p>
      <w:pPr>
        <w:spacing w:line="360" w:lineRule="auto"/>
        <w:ind w:firstLine="480" w:firstLineChars="200"/>
        <w:rPr>
          <w:rFonts w:ascii="宋体" w:hAnsi="宋体" w:cs="Times New Roman"/>
          <w:sz w:val="24"/>
          <w:szCs w:val="20"/>
        </w:rPr>
      </w:pPr>
      <w:r>
        <w:rPr>
          <w:rFonts w:hint="eastAsia" w:ascii="宋体" w:hAnsi="宋体" w:cs="Times New Roman"/>
          <w:sz w:val="24"/>
          <w:szCs w:val="20"/>
        </w:rPr>
        <w:t>除本章“确定中标人”规定及其他法律规定的情形外，采购人把合同授予被确定为实质上响应招标文件要求且排名第一的中标人。</w:t>
      </w:r>
    </w:p>
    <w:p>
      <w:pPr>
        <w:numPr>
          <w:ilvl w:val="0"/>
          <w:numId w:val="3"/>
        </w:numPr>
        <w:spacing w:line="360" w:lineRule="auto"/>
        <w:ind w:left="560" w:hanging="560"/>
        <w:rPr>
          <w:rFonts w:ascii="宋体" w:hAnsi="宋体" w:cs="Times New Roman"/>
          <w:b/>
          <w:sz w:val="24"/>
          <w:szCs w:val="20"/>
        </w:rPr>
      </w:pPr>
      <w:r>
        <w:rPr>
          <w:rFonts w:hint="eastAsia" w:ascii="宋体" w:hAnsi="宋体" w:cs="Times New Roman"/>
          <w:b/>
          <w:sz w:val="24"/>
          <w:szCs w:val="20"/>
        </w:rPr>
        <w:t>合同签订</w:t>
      </w:r>
    </w:p>
    <w:p>
      <w:pPr>
        <w:numPr>
          <w:ilvl w:val="0"/>
          <w:numId w:val="31"/>
        </w:numPr>
        <w:spacing w:line="360" w:lineRule="auto"/>
        <w:ind w:left="616" w:hanging="616"/>
        <w:rPr>
          <w:rFonts w:ascii="宋体" w:hAnsi="宋体" w:cs="Times New Roman"/>
          <w:sz w:val="24"/>
          <w:szCs w:val="20"/>
        </w:rPr>
      </w:pPr>
      <w:bookmarkStart w:id="22" w:name="_Toc272247700"/>
      <w:bookmarkStart w:id="23" w:name="_Toc278891597"/>
      <w:r>
        <w:rPr>
          <w:rFonts w:ascii="宋体" w:hAnsi="宋体" w:cs="Times New Roman"/>
          <w:sz w:val="24"/>
          <w:szCs w:val="20"/>
        </w:rPr>
        <w:t>采购人应当自中标通知书发出之日起30日内，按照招标文件</w:t>
      </w:r>
      <w:r>
        <w:rPr>
          <w:rFonts w:hint="eastAsia" w:ascii="宋体" w:hAnsi="宋体" w:cs="Times New Roman"/>
          <w:sz w:val="24"/>
          <w:szCs w:val="20"/>
        </w:rPr>
        <w:t>规定</w:t>
      </w:r>
      <w:r>
        <w:rPr>
          <w:rFonts w:ascii="宋体" w:hAnsi="宋体" w:cs="Times New Roman"/>
          <w:sz w:val="24"/>
          <w:szCs w:val="20"/>
        </w:rPr>
        <w:t>和中标人投标文件的</w:t>
      </w:r>
      <w:r>
        <w:rPr>
          <w:rFonts w:hint="eastAsia" w:ascii="宋体" w:hAnsi="宋体" w:cs="Times New Roman"/>
          <w:sz w:val="24"/>
          <w:szCs w:val="20"/>
        </w:rPr>
        <w:t>承诺</w:t>
      </w:r>
      <w:r>
        <w:rPr>
          <w:rFonts w:ascii="宋体" w:hAnsi="宋体" w:cs="Times New Roman"/>
          <w:sz w:val="24"/>
          <w:szCs w:val="20"/>
        </w:rPr>
        <w:t>，与中标人签订书面合同。所签订的合同不得对招标文件确定的事项和中标人投标文件作实质性修改。</w:t>
      </w:r>
    </w:p>
    <w:p>
      <w:pPr>
        <w:numPr>
          <w:ilvl w:val="0"/>
          <w:numId w:val="31"/>
        </w:numPr>
        <w:tabs>
          <w:tab w:val="left" w:pos="616"/>
        </w:tabs>
        <w:spacing w:line="360" w:lineRule="auto"/>
        <w:ind w:left="616" w:hanging="616"/>
        <w:rPr>
          <w:rFonts w:ascii="宋体" w:hAnsi="宋体" w:cs="Times New Roman"/>
          <w:sz w:val="24"/>
          <w:szCs w:val="20"/>
        </w:rPr>
      </w:pPr>
      <w:r>
        <w:rPr>
          <w:rFonts w:ascii="Helvetica" w:hAnsi="Helvetica" w:cs="Helvetica"/>
          <w:kern w:val="0"/>
          <w:sz w:val="24"/>
          <w:szCs w:val="24"/>
        </w:rPr>
        <w:t>采购人不得向中标人提出任何不合理的要求作为签订合同的条件。</w:t>
      </w:r>
    </w:p>
    <w:p>
      <w:pPr>
        <w:numPr>
          <w:ilvl w:val="0"/>
          <w:numId w:val="31"/>
        </w:numPr>
        <w:tabs>
          <w:tab w:val="left" w:pos="616"/>
        </w:tabs>
        <w:spacing w:line="360" w:lineRule="auto"/>
        <w:ind w:left="616" w:hanging="616"/>
        <w:rPr>
          <w:rFonts w:ascii="宋体" w:hAnsi="宋体" w:cs="Times New Roman"/>
          <w:sz w:val="24"/>
          <w:szCs w:val="20"/>
        </w:rPr>
      </w:pPr>
      <w:r>
        <w:rPr>
          <w:rFonts w:ascii="宋体" w:hAnsi="宋体" w:cs="Times New Roman"/>
          <w:sz w:val="24"/>
          <w:szCs w:val="20"/>
        </w:rPr>
        <w:t>政府采购合同应当包括采购人与中标人的名称和住所、标的、数量、质量、价款或者报酬、履行期限及地点和方式、验收要求、违约责任、解决争议的方法等内容。</w:t>
      </w:r>
    </w:p>
    <w:p>
      <w:pPr>
        <w:numPr>
          <w:ilvl w:val="0"/>
          <w:numId w:val="31"/>
        </w:numPr>
        <w:tabs>
          <w:tab w:val="left" w:pos="616"/>
        </w:tabs>
        <w:spacing w:line="360" w:lineRule="auto"/>
        <w:ind w:left="616" w:hanging="616"/>
        <w:rPr>
          <w:rFonts w:ascii="宋体" w:hAnsi="宋体" w:cs="Times New Roman"/>
          <w:sz w:val="24"/>
          <w:szCs w:val="20"/>
        </w:rPr>
      </w:pPr>
      <w:r>
        <w:rPr>
          <w:rFonts w:ascii="Helvetica" w:hAnsi="Helvetica" w:cs="Helvetica"/>
          <w:kern w:val="0"/>
          <w:sz w:val="24"/>
          <w:szCs w:val="24"/>
        </w:rPr>
        <w:t>采购人与中标人应当根据合同的约定依法履行合同义务。政府采购合同的履行、违约责任和解决争议的方法等适用《中华人民共和国合同法》。</w:t>
      </w:r>
    </w:p>
    <w:p>
      <w:pPr>
        <w:numPr>
          <w:ilvl w:val="0"/>
          <w:numId w:val="31"/>
        </w:numPr>
        <w:tabs>
          <w:tab w:val="left" w:pos="616"/>
        </w:tabs>
        <w:spacing w:line="360" w:lineRule="auto"/>
        <w:ind w:left="616" w:hanging="616"/>
        <w:rPr>
          <w:rFonts w:ascii="宋体" w:hAnsi="宋体" w:cs="Times New Roman"/>
          <w:sz w:val="24"/>
          <w:szCs w:val="20"/>
        </w:rPr>
      </w:pPr>
      <w:r>
        <w:rPr>
          <w:rFonts w:hint="eastAsia" w:ascii="宋体" w:hAnsi="宋体" w:cs="Times New Roman"/>
          <w:sz w:val="24"/>
          <w:szCs w:val="20"/>
        </w:rPr>
        <w:t>采购人应当自政府采购合同签订之日起2个工作日内，将政府采购合同在省级以上人民政府财政部门指定的媒体上公告，但政府采购合同中涉及国家秘密、商业秘密的内容除外。</w:t>
      </w:r>
    </w:p>
    <w:p>
      <w:pPr>
        <w:numPr>
          <w:ilvl w:val="0"/>
          <w:numId w:val="31"/>
        </w:numPr>
        <w:tabs>
          <w:tab w:val="left" w:pos="616"/>
        </w:tabs>
        <w:spacing w:line="360" w:lineRule="auto"/>
        <w:ind w:left="616" w:hanging="616"/>
        <w:rPr>
          <w:rFonts w:ascii="宋体" w:hAnsi="宋体" w:cs="Times New Roman"/>
          <w:sz w:val="24"/>
          <w:szCs w:val="20"/>
        </w:rPr>
      </w:pPr>
      <w:r>
        <w:rPr>
          <w:rFonts w:ascii="Helvetica" w:hAnsi="Helvetica" w:cs="Helvetica"/>
          <w:kern w:val="0"/>
          <w:sz w:val="24"/>
          <w:szCs w:val="24"/>
        </w:rPr>
        <w:t>采购人应当加强对中标人的履约管理，并按照采购合同约定，及时向中标人支付采购资金。对于中标人违反采购合同约定的行为，采购人应当及时处理，依法追究其违约责任。</w:t>
      </w:r>
    </w:p>
    <w:p>
      <w:pPr>
        <w:pStyle w:val="3"/>
        <w:numPr>
          <w:ilvl w:val="0"/>
          <w:numId w:val="2"/>
        </w:numPr>
        <w:spacing w:before="40" w:after="40" w:line="360" w:lineRule="auto"/>
        <w:ind w:left="658" w:hanging="658"/>
        <w:jc w:val="left"/>
        <w:rPr>
          <w:rFonts w:ascii="宋体" w:hAnsi="宋体" w:cs="Times New Roman"/>
          <w:bCs w:val="0"/>
        </w:rPr>
      </w:pPr>
      <w:bookmarkStart w:id="24" w:name="_Toc497459177"/>
      <w:bookmarkStart w:id="25" w:name="_Toc494561945"/>
      <w:r>
        <w:rPr>
          <w:rFonts w:hint="eastAsia" w:ascii="宋体" w:hAnsi="宋体" w:cs="Times New Roman"/>
          <w:bCs w:val="0"/>
        </w:rPr>
        <w:t>采购信息公告</w:t>
      </w:r>
      <w:bookmarkEnd w:id="24"/>
      <w:bookmarkEnd w:id="25"/>
    </w:p>
    <w:p>
      <w:pPr>
        <w:numPr>
          <w:ilvl w:val="0"/>
          <w:numId w:val="3"/>
        </w:numPr>
        <w:spacing w:line="360" w:lineRule="auto"/>
        <w:ind w:left="560" w:hanging="560"/>
        <w:rPr>
          <w:rFonts w:ascii="宋体" w:hAnsi="宋体" w:cs="Helvetica"/>
          <w:b/>
          <w:color w:val="0D0D0D"/>
          <w:kern w:val="0"/>
          <w:sz w:val="24"/>
          <w:szCs w:val="24"/>
        </w:rPr>
      </w:pPr>
      <w:r>
        <w:rPr>
          <w:rFonts w:hint="eastAsia" w:ascii="宋体" w:hAnsi="宋体" w:cs="Helvetica"/>
          <w:b/>
          <w:color w:val="0D0D0D"/>
          <w:kern w:val="0"/>
          <w:sz w:val="24"/>
          <w:szCs w:val="24"/>
        </w:rPr>
        <w:t>公告的媒体及规定</w:t>
      </w:r>
    </w:p>
    <w:p>
      <w:pPr>
        <w:numPr>
          <w:ilvl w:val="0"/>
          <w:numId w:val="32"/>
        </w:numPr>
        <w:tabs>
          <w:tab w:val="left" w:pos="616"/>
        </w:tabs>
        <w:spacing w:line="360" w:lineRule="auto"/>
        <w:ind w:left="616" w:hanging="616"/>
        <w:rPr>
          <w:rFonts w:ascii="宋体" w:hAnsi="宋体" w:cs="Helvetica"/>
          <w:kern w:val="0"/>
          <w:sz w:val="24"/>
          <w:szCs w:val="24"/>
        </w:rPr>
      </w:pPr>
      <w:r>
        <w:rPr>
          <w:rFonts w:hint="eastAsia" w:ascii="宋体" w:hAnsi="宋体" w:cs="Helvetica"/>
          <w:kern w:val="0"/>
          <w:sz w:val="24"/>
          <w:szCs w:val="24"/>
        </w:rPr>
        <w:t>采购代理机构在招标活动中的公告、补充、更正、结果等采购信息均依法在政府采购监管部门指定媒体上（中国湖北政府采购网http://www.ccgp-hubei.gov.cn/）发布。</w:t>
      </w:r>
    </w:p>
    <w:p>
      <w:pPr>
        <w:numPr>
          <w:ilvl w:val="0"/>
          <w:numId w:val="32"/>
        </w:numPr>
        <w:tabs>
          <w:tab w:val="left" w:pos="616"/>
        </w:tabs>
        <w:spacing w:line="360" w:lineRule="auto"/>
        <w:ind w:left="616" w:hanging="616"/>
        <w:rPr>
          <w:rFonts w:ascii="宋体" w:hAnsi="宋体" w:cs="Helvetica"/>
          <w:kern w:val="0"/>
          <w:sz w:val="24"/>
          <w:szCs w:val="24"/>
        </w:rPr>
      </w:pPr>
      <w:r>
        <w:rPr>
          <w:rFonts w:hint="eastAsia" w:ascii="宋体" w:hAnsi="宋体" w:cs="Helvetica"/>
          <w:kern w:val="0"/>
          <w:sz w:val="24"/>
          <w:szCs w:val="24"/>
        </w:rPr>
        <w:t>采购代理机构在自</w:t>
      </w:r>
      <w:r>
        <w:rPr>
          <w:rFonts w:ascii="宋体" w:hAnsi="宋体" w:cs="Helvetica"/>
          <w:kern w:val="0"/>
          <w:sz w:val="24"/>
          <w:szCs w:val="24"/>
        </w:rPr>
        <w:t>中标人确定之日起2个工作日内，</w:t>
      </w:r>
      <w:r>
        <w:rPr>
          <w:rFonts w:hint="eastAsia" w:ascii="宋体" w:hAnsi="宋体" w:cs="Helvetica"/>
          <w:kern w:val="0"/>
          <w:sz w:val="24"/>
          <w:szCs w:val="24"/>
        </w:rPr>
        <w:t>在政府采购监管部门指定媒体上</w:t>
      </w:r>
      <w:r>
        <w:rPr>
          <w:rFonts w:ascii="宋体" w:hAnsi="宋体" w:cs="Helvetica"/>
          <w:kern w:val="0"/>
          <w:sz w:val="24"/>
          <w:szCs w:val="24"/>
        </w:rPr>
        <w:t>公告中标结果</w:t>
      </w:r>
      <w:r>
        <w:rPr>
          <w:rFonts w:hint="eastAsia" w:ascii="宋体" w:hAnsi="宋体" w:cs="Helvetica"/>
          <w:kern w:val="0"/>
          <w:sz w:val="24"/>
          <w:szCs w:val="24"/>
        </w:rPr>
        <w:t>，中标公告的公示期为1个工作日。</w:t>
      </w:r>
    </w:p>
    <w:p>
      <w:pPr>
        <w:numPr>
          <w:ilvl w:val="0"/>
          <w:numId w:val="32"/>
        </w:numPr>
        <w:tabs>
          <w:tab w:val="left" w:pos="616"/>
        </w:tabs>
        <w:spacing w:line="360" w:lineRule="auto"/>
        <w:ind w:left="616" w:hanging="616"/>
        <w:rPr>
          <w:rFonts w:ascii="宋体" w:hAnsi="宋体" w:cs="Helvetica"/>
          <w:kern w:val="0"/>
          <w:sz w:val="24"/>
          <w:szCs w:val="24"/>
        </w:rPr>
      </w:pPr>
      <w:r>
        <w:rPr>
          <w:rFonts w:hint="eastAsia" w:ascii="宋体" w:hAnsi="宋体" w:cs="Helvetica"/>
          <w:kern w:val="0"/>
          <w:sz w:val="24"/>
          <w:szCs w:val="24"/>
        </w:rPr>
        <w:t>资格审查未通过的投标人可在结果公告质疑有效期内按公告中的联系方式获知</w:t>
      </w:r>
      <w:r>
        <w:rPr>
          <w:rFonts w:ascii="宋体" w:hAnsi="宋体" w:cs="Helvetica"/>
          <w:kern w:val="0"/>
          <w:sz w:val="24"/>
          <w:szCs w:val="24"/>
        </w:rPr>
        <w:t>本</w:t>
      </w:r>
      <w:r>
        <w:rPr>
          <w:rFonts w:hint="eastAsia" w:ascii="宋体" w:hAnsi="宋体" w:cs="Helvetica"/>
          <w:kern w:val="0"/>
          <w:sz w:val="24"/>
          <w:szCs w:val="24"/>
        </w:rPr>
        <w:t>单位</w:t>
      </w:r>
      <w:r>
        <w:rPr>
          <w:rFonts w:ascii="宋体" w:hAnsi="宋体" w:cs="Helvetica"/>
          <w:kern w:val="0"/>
          <w:sz w:val="24"/>
          <w:szCs w:val="24"/>
        </w:rPr>
        <w:t>的</w:t>
      </w:r>
      <w:r>
        <w:rPr>
          <w:rFonts w:hint="eastAsia" w:ascii="宋体" w:hAnsi="宋体" w:cs="Helvetica"/>
          <w:kern w:val="0"/>
          <w:sz w:val="24"/>
          <w:szCs w:val="24"/>
        </w:rPr>
        <w:t>资格审查情况</w:t>
      </w:r>
      <w:r>
        <w:rPr>
          <w:rFonts w:ascii="宋体" w:hAnsi="宋体" w:cs="Helvetica"/>
          <w:kern w:val="0"/>
          <w:sz w:val="24"/>
          <w:szCs w:val="24"/>
        </w:rPr>
        <w:t>。</w:t>
      </w:r>
    </w:p>
    <w:p>
      <w:pPr>
        <w:numPr>
          <w:ilvl w:val="0"/>
          <w:numId w:val="32"/>
        </w:numPr>
        <w:tabs>
          <w:tab w:val="left" w:pos="616"/>
        </w:tabs>
        <w:spacing w:line="360" w:lineRule="auto"/>
        <w:ind w:left="616" w:hanging="616"/>
        <w:rPr>
          <w:rFonts w:ascii="宋体" w:hAnsi="宋体" w:cs="Helvetica"/>
          <w:kern w:val="0"/>
          <w:sz w:val="24"/>
          <w:szCs w:val="24"/>
        </w:rPr>
      </w:pPr>
      <w:r>
        <w:rPr>
          <w:rFonts w:ascii="宋体" w:hAnsi="宋体" w:cs="Helvetica"/>
          <w:kern w:val="0"/>
          <w:sz w:val="24"/>
          <w:szCs w:val="24"/>
        </w:rPr>
        <w:t>采用综合评分法评审的</w:t>
      </w:r>
      <w:r>
        <w:rPr>
          <w:rFonts w:hint="eastAsia" w:ascii="宋体" w:hAnsi="宋体" w:cs="Helvetica"/>
          <w:kern w:val="0"/>
          <w:sz w:val="24"/>
          <w:szCs w:val="24"/>
        </w:rPr>
        <w:t>项目</w:t>
      </w:r>
      <w:r>
        <w:rPr>
          <w:rFonts w:ascii="宋体" w:hAnsi="宋体" w:cs="Helvetica"/>
          <w:kern w:val="0"/>
          <w:sz w:val="24"/>
          <w:szCs w:val="24"/>
        </w:rPr>
        <w:t>，</w:t>
      </w:r>
      <w:r>
        <w:rPr>
          <w:rFonts w:hint="eastAsia" w:ascii="宋体" w:hAnsi="宋体" w:cs="Helvetica"/>
          <w:kern w:val="0"/>
          <w:sz w:val="24"/>
          <w:szCs w:val="24"/>
        </w:rPr>
        <w:t>未中标人可在结果公告质疑有效期内按公告中的联系方式获知</w:t>
      </w:r>
      <w:r>
        <w:rPr>
          <w:rFonts w:ascii="宋体" w:hAnsi="宋体" w:cs="Helvetica"/>
          <w:kern w:val="0"/>
          <w:sz w:val="24"/>
          <w:szCs w:val="24"/>
        </w:rPr>
        <w:t>本</w:t>
      </w:r>
      <w:r>
        <w:rPr>
          <w:rFonts w:hint="eastAsia" w:ascii="宋体" w:hAnsi="宋体" w:cs="Helvetica"/>
          <w:kern w:val="0"/>
          <w:sz w:val="24"/>
          <w:szCs w:val="24"/>
        </w:rPr>
        <w:t>单位</w:t>
      </w:r>
      <w:r>
        <w:rPr>
          <w:rFonts w:ascii="宋体" w:hAnsi="宋体" w:cs="Helvetica"/>
          <w:kern w:val="0"/>
          <w:sz w:val="24"/>
          <w:szCs w:val="24"/>
        </w:rPr>
        <w:t>的评审得分与排序。</w:t>
      </w:r>
    </w:p>
    <w:p>
      <w:pPr>
        <w:pStyle w:val="3"/>
        <w:numPr>
          <w:ilvl w:val="0"/>
          <w:numId w:val="2"/>
        </w:numPr>
        <w:spacing w:before="40" w:after="40" w:line="360" w:lineRule="auto"/>
        <w:ind w:left="658" w:hanging="658"/>
        <w:jc w:val="left"/>
        <w:rPr>
          <w:rFonts w:ascii="宋体" w:hAnsi="宋体" w:cs="Times New Roman"/>
          <w:bCs w:val="0"/>
        </w:rPr>
      </w:pPr>
      <w:bookmarkStart w:id="26" w:name="_Toc497459178"/>
      <w:bookmarkStart w:id="27" w:name="_Toc494561946"/>
      <w:r>
        <w:rPr>
          <w:rFonts w:hint="eastAsia" w:ascii="宋体" w:hAnsi="宋体" w:cs="Times New Roman"/>
          <w:bCs w:val="0"/>
        </w:rPr>
        <w:t>质疑</w:t>
      </w:r>
      <w:bookmarkEnd w:id="22"/>
      <w:bookmarkEnd w:id="23"/>
      <w:r>
        <w:rPr>
          <w:rFonts w:hint="eastAsia" w:ascii="宋体" w:hAnsi="宋体" w:cs="Times New Roman"/>
          <w:bCs w:val="0"/>
        </w:rPr>
        <w:t>及提交</w:t>
      </w:r>
      <w:bookmarkEnd w:id="26"/>
      <w:bookmarkEnd w:id="27"/>
    </w:p>
    <w:p>
      <w:pPr>
        <w:numPr>
          <w:ilvl w:val="0"/>
          <w:numId w:val="3"/>
        </w:numPr>
        <w:spacing w:line="360" w:lineRule="auto"/>
        <w:ind w:left="560" w:hanging="560"/>
        <w:rPr>
          <w:rFonts w:ascii="宋体" w:hAnsi="宋体" w:cs="Times New Roman"/>
          <w:b/>
          <w:sz w:val="24"/>
          <w:szCs w:val="20"/>
        </w:rPr>
      </w:pPr>
      <w:r>
        <w:rPr>
          <w:rFonts w:hint="eastAsia" w:ascii="宋体" w:hAnsi="宋体" w:cs="Times New Roman"/>
          <w:b/>
          <w:sz w:val="24"/>
          <w:szCs w:val="20"/>
        </w:rPr>
        <w:t>质疑提交</w:t>
      </w:r>
    </w:p>
    <w:p>
      <w:pPr>
        <w:spacing w:line="360" w:lineRule="auto"/>
        <w:ind w:firstLine="480" w:firstLineChars="200"/>
        <w:rPr>
          <w:rFonts w:ascii="宋体" w:hAnsi="宋体" w:cs="Times New Roman"/>
          <w:b/>
          <w:sz w:val="24"/>
          <w:szCs w:val="20"/>
        </w:rPr>
      </w:pPr>
      <w:r>
        <w:rPr>
          <w:rFonts w:hint="eastAsia" w:ascii="宋体" w:hAnsi="宋体" w:cs="Times New Roman"/>
          <w:sz w:val="24"/>
          <w:szCs w:val="20"/>
        </w:rPr>
        <w:t>投标人认为招标文件、招标过程和中标结果使自己的权益受到损害的，可以在知道或者应知其权益受到损害之日起7个工作日内，</w:t>
      </w:r>
      <w:r>
        <w:rPr>
          <w:rFonts w:hint="eastAsia" w:ascii="宋体" w:hAnsi="宋体" w:cs="Times New Roman"/>
          <w:color w:val="000000"/>
          <w:sz w:val="24"/>
          <w:szCs w:val="24"/>
        </w:rPr>
        <w:t>向采购代理机构或提出书面质疑，并附有关材料。</w:t>
      </w:r>
      <w:r>
        <w:rPr>
          <w:rFonts w:hint="eastAsia" w:ascii="宋体" w:hAnsi="宋体" w:cs="Times New Roman"/>
          <w:b/>
          <w:sz w:val="24"/>
          <w:szCs w:val="20"/>
        </w:rPr>
        <w:t>投标人</w:t>
      </w:r>
      <w:r>
        <w:rPr>
          <w:rFonts w:ascii="宋体" w:hAnsi="宋体" w:cs="Times New Roman"/>
          <w:b/>
          <w:sz w:val="24"/>
          <w:szCs w:val="20"/>
        </w:rPr>
        <w:t>应知其权益受到损害之日是指：</w:t>
      </w:r>
    </w:p>
    <w:p>
      <w:pPr>
        <w:numPr>
          <w:ilvl w:val="0"/>
          <w:numId w:val="33"/>
        </w:numPr>
        <w:spacing w:line="360" w:lineRule="auto"/>
        <w:ind w:left="616" w:hanging="616"/>
        <w:rPr>
          <w:rFonts w:ascii="宋体" w:hAnsi="宋体" w:cs="Times New Roman"/>
          <w:sz w:val="24"/>
          <w:szCs w:val="20"/>
        </w:rPr>
      </w:pPr>
      <w:r>
        <w:rPr>
          <w:rFonts w:ascii="宋体" w:hAnsi="宋体" w:cs="Times New Roman"/>
          <w:sz w:val="24"/>
          <w:szCs w:val="20"/>
        </w:rPr>
        <w:t>对可以质疑的</w:t>
      </w:r>
      <w:r>
        <w:rPr>
          <w:rFonts w:hint="eastAsia" w:ascii="宋体" w:hAnsi="宋体" w:cs="Times New Roman"/>
          <w:sz w:val="24"/>
          <w:szCs w:val="20"/>
        </w:rPr>
        <w:t>招标</w:t>
      </w:r>
      <w:r>
        <w:rPr>
          <w:rFonts w:ascii="宋体" w:hAnsi="宋体" w:cs="Times New Roman"/>
          <w:sz w:val="24"/>
          <w:szCs w:val="20"/>
        </w:rPr>
        <w:t>文件提出质疑的，为收到</w:t>
      </w:r>
      <w:r>
        <w:rPr>
          <w:rFonts w:hint="eastAsia" w:ascii="宋体" w:hAnsi="宋体" w:cs="Times New Roman"/>
          <w:sz w:val="24"/>
          <w:szCs w:val="20"/>
        </w:rPr>
        <w:t>招标</w:t>
      </w:r>
      <w:r>
        <w:rPr>
          <w:rFonts w:ascii="宋体" w:hAnsi="宋体" w:cs="Times New Roman"/>
          <w:sz w:val="24"/>
          <w:szCs w:val="20"/>
        </w:rPr>
        <w:t>文件之日或者</w:t>
      </w:r>
      <w:r>
        <w:rPr>
          <w:rFonts w:hint="eastAsia" w:ascii="宋体" w:hAnsi="宋体" w:cs="Times New Roman"/>
          <w:sz w:val="24"/>
          <w:szCs w:val="20"/>
        </w:rPr>
        <w:t>招标</w:t>
      </w:r>
      <w:r>
        <w:rPr>
          <w:rFonts w:ascii="宋体" w:hAnsi="宋体" w:cs="Times New Roman"/>
          <w:sz w:val="24"/>
          <w:szCs w:val="20"/>
        </w:rPr>
        <w:t>文件公告期限届满之日</w:t>
      </w:r>
      <w:r>
        <w:rPr>
          <w:rFonts w:hint="eastAsia" w:ascii="宋体" w:hAnsi="宋体" w:cs="Times New Roman"/>
          <w:sz w:val="24"/>
          <w:szCs w:val="20"/>
        </w:rPr>
        <w:t>；</w:t>
      </w:r>
    </w:p>
    <w:p>
      <w:pPr>
        <w:numPr>
          <w:ilvl w:val="0"/>
          <w:numId w:val="33"/>
        </w:numPr>
        <w:spacing w:line="360" w:lineRule="auto"/>
        <w:ind w:left="616" w:hanging="616"/>
        <w:rPr>
          <w:rFonts w:ascii="宋体" w:hAnsi="宋体" w:cs="Times New Roman"/>
          <w:sz w:val="24"/>
          <w:szCs w:val="20"/>
        </w:rPr>
      </w:pPr>
      <w:r>
        <w:rPr>
          <w:rFonts w:ascii="宋体" w:hAnsi="宋体" w:cs="Times New Roman"/>
          <w:sz w:val="24"/>
          <w:szCs w:val="20"/>
        </w:rPr>
        <w:t>对</w:t>
      </w:r>
      <w:r>
        <w:rPr>
          <w:rFonts w:hint="eastAsia" w:ascii="宋体" w:hAnsi="宋体" w:cs="Times New Roman"/>
          <w:sz w:val="24"/>
          <w:szCs w:val="20"/>
        </w:rPr>
        <w:t>招标</w:t>
      </w:r>
      <w:r>
        <w:rPr>
          <w:rFonts w:ascii="宋体" w:hAnsi="宋体" w:cs="Times New Roman"/>
          <w:sz w:val="24"/>
          <w:szCs w:val="20"/>
        </w:rPr>
        <w:t>过程提出质疑的，为各</w:t>
      </w:r>
      <w:r>
        <w:rPr>
          <w:rFonts w:hint="eastAsia" w:ascii="宋体" w:hAnsi="宋体" w:cs="Times New Roman"/>
          <w:sz w:val="24"/>
          <w:szCs w:val="20"/>
        </w:rPr>
        <w:t>招标</w:t>
      </w:r>
      <w:r>
        <w:rPr>
          <w:rFonts w:ascii="宋体" w:hAnsi="宋体" w:cs="Times New Roman"/>
          <w:sz w:val="24"/>
          <w:szCs w:val="20"/>
        </w:rPr>
        <w:t>程序环节结束之日</w:t>
      </w:r>
      <w:r>
        <w:rPr>
          <w:rFonts w:hint="eastAsia" w:ascii="宋体" w:hAnsi="宋体" w:cs="Times New Roman"/>
          <w:sz w:val="24"/>
          <w:szCs w:val="20"/>
        </w:rPr>
        <w:t>；</w:t>
      </w:r>
    </w:p>
    <w:p>
      <w:pPr>
        <w:numPr>
          <w:ilvl w:val="0"/>
          <w:numId w:val="33"/>
        </w:numPr>
        <w:spacing w:line="360" w:lineRule="auto"/>
        <w:ind w:left="616" w:hanging="616"/>
        <w:rPr>
          <w:rFonts w:ascii="宋体" w:hAnsi="宋体" w:cs="Times New Roman"/>
          <w:sz w:val="24"/>
          <w:szCs w:val="20"/>
        </w:rPr>
      </w:pPr>
      <w:r>
        <w:rPr>
          <w:rFonts w:ascii="宋体" w:hAnsi="宋体" w:cs="Times New Roman"/>
          <w:sz w:val="24"/>
          <w:szCs w:val="20"/>
        </w:rPr>
        <w:t>对中标结果提出质疑的，为中标公告期限届满之日。</w:t>
      </w:r>
    </w:p>
    <w:p>
      <w:pPr>
        <w:numPr>
          <w:ilvl w:val="0"/>
          <w:numId w:val="3"/>
        </w:numPr>
        <w:spacing w:line="360" w:lineRule="auto"/>
        <w:ind w:left="560" w:hanging="560"/>
        <w:rPr>
          <w:rFonts w:ascii="宋体" w:hAnsi="宋体" w:cs="Times New Roman"/>
          <w:b/>
          <w:sz w:val="24"/>
          <w:szCs w:val="20"/>
        </w:rPr>
      </w:pPr>
      <w:r>
        <w:rPr>
          <w:rFonts w:hint="eastAsia" w:ascii="宋体" w:hAnsi="宋体" w:cs="Times New Roman"/>
          <w:b/>
          <w:sz w:val="24"/>
          <w:szCs w:val="20"/>
        </w:rPr>
        <w:t>质疑书应当包括下列主要内容：</w:t>
      </w:r>
    </w:p>
    <w:p>
      <w:pPr>
        <w:numPr>
          <w:ilvl w:val="0"/>
          <w:numId w:val="34"/>
        </w:numPr>
        <w:spacing w:line="360" w:lineRule="auto"/>
        <w:ind w:left="616" w:hanging="616"/>
        <w:rPr>
          <w:rFonts w:ascii="宋体" w:hAnsi="宋体" w:cs="Times New Roman"/>
          <w:sz w:val="24"/>
          <w:szCs w:val="20"/>
        </w:rPr>
      </w:pPr>
      <w:r>
        <w:rPr>
          <w:rFonts w:hint="eastAsia" w:ascii="宋体" w:hAnsi="宋体" w:cs="Times New Roman"/>
          <w:sz w:val="24"/>
          <w:szCs w:val="20"/>
        </w:rPr>
        <w:t>质疑人的名称、地址、联系人及联系电话等；</w:t>
      </w:r>
    </w:p>
    <w:p>
      <w:pPr>
        <w:numPr>
          <w:ilvl w:val="0"/>
          <w:numId w:val="34"/>
        </w:numPr>
        <w:spacing w:line="360" w:lineRule="auto"/>
        <w:ind w:left="616" w:hanging="616"/>
        <w:rPr>
          <w:rFonts w:ascii="宋体" w:hAnsi="宋体" w:cs="Times New Roman"/>
          <w:sz w:val="24"/>
          <w:szCs w:val="20"/>
        </w:rPr>
      </w:pPr>
      <w:r>
        <w:rPr>
          <w:rFonts w:hint="eastAsia" w:ascii="宋体" w:hAnsi="宋体" w:cs="Times New Roman"/>
          <w:sz w:val="24"/>
          <w:szCs w:val="20"/>
        </w:rPr>
        <w:t>被质疑人的名称、地址、联系人及联系电话等；</w:t>
      </w:r>
    </w:p>
    <w:p>
      <w:pPr>
        <w:numPr>
          <w:ilvl w:val="0"/>
          <w:numId w:val="34"/>
        </w:numPr>
        <w:spacing w:line="360" w:lineRule="auto"/>
        <w:ind w:left="616" w:hanging="616"/>
        <w:rPr>
          <w:rFonts w:ascii="宋体" w:hAnsi="宋体" w:cs="Times New Roman"/>
          <w:sz w:val="24"/>
          <w:szCs w:val="20"/>
        </w:rPr>
      </w:pPr>
      <w:r>
        <w:rPr>
          <w:rFonts w:hint="eastAsia" w:ascii="宋体" w:hAnsi="宋体" w:cs="Times New Roman"/>
          <w:sz w:val="24"/>
          <w:szCs w:val="20"/>
        </w:rPr>
        <w:t>质疑项目名称及编号、质疑事项和明确的请求；</w:t>
      </w:r>
    </w:p>
    <w:p>
      <w:pPr>
        <w:numPr>
          <w:ilvl w:val="0"/>
          <w:numId w:val="34"/>
        </w:numPr>
        <w:spacing w:line="360" w:lineRule="auto"/>
        <w:ind w:left="616" w:hanging="616"/>
        <w:rPr>
          <w:rFonts w:ascii="宋体" w:hAnsi="宋体" w:cs="Times New Roman"/>
          <w:sz w:val="24"/>
          <w:szCs w:val="20"/>
        </w:rPr>
      </w:pPr>
      <w:r>
        <w:rPr>
          <w:rFonts w:hint="eastAsia" w:ascii="宋体" w:hAnsi="宋体" w:cs="Times New Roman"/>
          <w:sz w:val="24"/>
          <w:szCs w:val="20"/>
        </w:rPr>
        <w:t>质疑事项的事实根据、法律依据及其他必要的证明材料；</w:t>
      </w:r>
    </w:p>
    <w:p>
      <w:pPr>
        <w:numPr>
          <w:ilvl w:val="0"/>
          <w:numId w:val="34"/>
        </w:numPr>
        <w:spacing w:line="360" w:lineRule="auto"/>
        <w:ind w:left="616" w:hanging="616"/>
        <w:rPr>
          <w:rFonts w:ascii="宋体" w:hAnsi="宋体" w:cs="Times New Roman"/>
          <w:sz w:val="24"/>
          <w:szCs w:val="20"/>
        </w:rPr>
      </w:pPr>
      <w:r>
        <w:rPr>
          <w:rFonts w:hint="eastAsia" w:ascii="宋体" w:hAnsi="宋体" w:cs="Times New Roman"/>
          <w:sz w:val="24"/>
          <w:szCs w:val="20"/>
        </w:rPr>
        <w:t>提出质疑的日期；</w:t>
      </w:r>
    </w:p>
    <w:p>
      <w:pPr>
        <w:numPr>
          <w:ilvl w:val="0"/>
          <w:numId w:val="34"/>
        </w:numPr>
        <w:spacing w:line="360" w:lineRule="auto"/>
        <w:ind w:left="616" w:hanging="616"/>
        <w:rPr>
          <w:rFonts w:ascii="宋体" w:hAnsi="宋体" w:cs="Times New Roman"/>
          <w:sz w:val="24"/>
          <w:szCs w:val="20"/>
        </w:rPr>
      </w:pPr>
      <w:r>
        <w:rPr>
          <w:rFonts w:hint="eastAsia" w:ascii="宋体" w:hAnsi="宋体" w:cs="Times New Roman"/>
          <w:sz w:val="24"/>
          <w:szCs w:val="20"/>
        </w:rPr>
        <w:t>质疑人的署名及签章（质疑人为自然人的，应当由本人签字；质疑人为法人或者其他组织的，应当由法定代表人或者主要负责人签字盖章并加盖公章）；</w:t>
      </w:r>
    </w:p>
    <w:p>
      <w:pPr>
        <w:numPr>
          <w:ilvl w:val="0"/>
          <w:numId w:val="34"/>
        </w:numPr>
        <w:spacing w:line="360" w:lineRule="auto"/>
        <w:ind w:left="616" w:hanging="616"/>
        <w:rPr>
          <w:rFonts w:ascii="宋体" w:hAnsi="宋体" w:cs="Times New Roman"/>
          <w:sz w:val="24"/>
          <w:szCs w:val="20"/>
        </w:rPr>
      </w:pPr>
      <w:r>
        <w:rPr>
          <w:rFonts w:hint="eastAsia" w:ascii="宋体" w:hAnsi="宋体" w:cs="Times New Roman"/>
          <w:sz w:val="24"/>
          <w:szCs w:val="20"/>
        </w:rPr>
        <w:t>法人授权委托书（质疑人或法人委托代理人办理质疑事务的，应当提供授权委托书，授权委托书应当载明委托代理的具体权限和事项）。</w:t>
      </w:r>
    </w:p>
    <w:p>
      <w:pPr>
        <w:numPr>
          <w:ilvl w:val="0"/>
          <w:numId w:val="3"/>
        </w:numPr>
        <w:spacing w:line="360" w:lineRule="auto"/>
        <w:ind w:left="560" w:hanging="560"/>
        <w:rPr>
          <w:rFonts w:ascii="宋体" w:hAnsi="宋体" w:cs="Times New Roman"/>
          <w:b/>
          <w:sz w:val="24"/>
          <w:szCs w:val="20"/>
        </w:rPr>
      </w:pPr>
      <w:r>
        <w:rPr>
          <w:rFonts w:hint="eastAsia" w:ascii="宋体" w:hAnsi="宋体" w:cs="Times New Roman"/>
          <w:b/>
          <w:sz w:val="24"/>
          <w:szCs w:val="20"/>
        </w:rPr>
        <w:t>不予受理的情形</w:t>
      </w:r>
    </w:p>
    <w:p>
      <w:pPr>
        <w:spacing w:line="360" w:lineRule="auto"/>
        <w:ind w:firstLine="480" w:firstLineChars="200"/>
        <w:rPr>
          <w:rFonts w:ascii="宋体" w:hAnsi="宋体" w:cs="Times New Roman"/>
          <w:sz w:val="24"/>
          <w:szCs w:val="20"/>
        </w:rPr>
      </w:pPr>
      <w:r>
        <w:rPr>
          <w:rFonts w:hint="eastAsia" w:ascii="宋体" w:hAnsi="宋体" w:cs="Times New Roman"/>
          <w:sz w:val="24"/>
          <w:szCs w:val="20"/>
        </w:rPr>
        <w:t>投标人未按本章“质疑及提交”规定的时限、内容及方式进行质疑的，采购代理机构不予受理。</w:t>
      </w:r>
    </w:p>
    <w:p>
      <w:pPr>
        <w:pStyle w:val="3"/>
        <w:numPr>
          <w:ilvl w:val="0"/>
          <w:numId w:val="2"/>
        </w:numPr>
        <w:spacing w:before="40" w:after="40" w:line="360" w:lineRule="auto"/>
        <w:ind w:left="658" w:hanging="658"/>
        <w:jc w:val="left"/>
        <w:rPr>
          <w:rFonts w:ascii="宋体" w:hAnsi="宋体" w:cs="Times New Roman"/>
          <w:bCs w:val="0"/>
        </w:rPr>
      </w:pPr>
      <w:bookmarkStart w:id="28" w:name="_Toc497459179"/>
      <w:bookmarkStart w:id="29" w:name="_Toc494561947"/>
      <w:r>
        <w:rPr>
          <w:rFonts w:hint="eastAsia" w:ascii="宋体" w:hAnsi="宋体" w:cs="Times New Roman"/>
          <w:bCs w:val="0"/>
        </w:rPr>
        <w:t>相关条文解读</w:t>
      </w:r>
      <w:bookmarkEnd w:id="28"/>
      <w:bookmarkEnd w:id="29"/>
    </w:p>
    <w:p>
      <w:pPr>
        <w:numPr>
          <w:ilvl w:val="0"/>
          <w:numId w:val="3"/>
        </w:numPr>
        <w:spacing w:line="360" w:lineRule="auto"/>
        <w:ind w:left="560" w:hanging="560"/>
        <w:rPr>
          <w:rFonts w:ascii="宋体" w:hAnsi="宋体" w:cs="Times New Roman"/>
          <w:sz w:val="24"/>
          <w:szCs w:val="20"/>
        </w:rPr>
      </w:pPr>
      <w:r>
        <w:rPr>
          <w:rFonts w:hint="eastAsia" w:ascii="宋体" w:hAnsi="宋体" w:cs="Times New Roman"/>
          <w:sz w:val="24"/>
          <w:szCs w:val="20"/>
        </w:rPr>
        <w:t>政府采购法第二十二条第一款第五项所称重大违法记录，是指供应商因违法经营受到刑事处罚或者责令停产停业、吊销许可证或者执照、较大数额罚款等行政处罚。</w:t>
      </w:r>
    </w:p>
    <w:p>
      <w:pPr>
        <w:numPr>
          <w:ilvl w:val="0"/>
          <w:numId w:val="3"/>
        </w:numPr>
        <w:spacing w:line="360" w:lineRule="auto"/>
        <w:ind w:left="560" w:hanging="560"/>
        <w:rPr>
          <w:rFonts w:ascii="宋体" w:hAnsi="宋体" w:cs="Times New Roman"/>
          <w:sz w:val="24"/>
          <w:szCs w:val="20"/>
        </w:rPr>
      </w:pPr>
      <w:r>
        <w:rPr>
          <w:rFonts w:hint="eastAsia" w:ascii="宋体" w:hAnsi="宋体" w:cs="Times New Roman"/>
          <w:sz w:val="24"/>
          <w:szCs w:val="20"/>
        </w:rPr>
        <w:t>按照财政部《关于规范政府采购行政处罚有关问题的通知》的规定，</w:t>
      </w:r>
      <w:r>
        <w:rPr>
          <w:rFonts w:ascii="宋体" w:hAnsi="宋体" w:cs="Times New Roman"/>
          <w:sz w:val="24"/>
          <w:szCs w:val="20"/>
        </w:rPr>
        <w:t>各级人民政府财政部门依法对参加政府采购活动的供应商作出的禁止参加政府采购活动等行政处罚决定在全国范围内生效。</w:t>
      </w:r>
    </w:p>
    <w:p>
      <w:pPr>
        <w:numPr>
          <w:ilvl w:val="0"/>
          <w:numId w:val="3"/>
        </w:numPr>
        <w:spacing w:line="360" w:lineRule="auto"/>
        <w:ind w:left="560" w:hanging="560"/>
        <w:rPr>
          <w:rFonts w:ascii="宋体" w:hAnsi="宋体" w:cs="Times New Roman"/>
          <w:sz w:val="24"/>
          <w:szCs w:val="20"/>
        </w:rPr>
      </w:pPr>
      <w:r>
        <w:rPr>
          <w:rFonts w:hint="eastAsia" w:ascii="宋体" w:hAnsi="宋体" w:cs="Times New Roman"/>
          <w:sz w:val="24"/>
          <w:szCs w:val="20"/>
        </w:rPr>
        <w:t>供应商在参加政府采购活动前3年内因违法经营被禁止在一定期限内参加政府采购活动，期限届满的，可以参加政府采购活动。</w:t>
      </w:r>
    </w:p>
    <w:p>
      <w:pPr>
        <w:numPr>
          <w:ilvl w:val="0"/>
          <w:numId w:val="3"/>
        </w:numPr>
        <w:spacing w:line="360" w:lineRule="auto"/>
        <w:ind w:left="560" w:hanging="560"/>
        <w:rPr>
          <w:rFonts w:ascii="宋体" w:hAnsi="宋体" w:cs="Times New Roman"/>
          <w:sz w:val="24"/>
          <w:szCs w:val="20"/>
        </w:rPr>
      </w:pPr>
      <w:r>
        <w:rPr>
          <w:rFonts w:hint="eastAsia" w:ascii="宋体" w:hAnsi="宋体" w:cs="Times New Roman"/>
          <w:sz w:val="24"/>
          <w:szCs w:val="20"/>
        </w:rPr>
        <w:t>根据财政部《政府采购法实施条例》释义中关于供应商资格条件的解释，对于银行、保险、石油石化、电力、电信等有行业特殊情况的，采购人和采购代理机构允许其分支机构参与投标。</w:t>
      </w:r>
    </w:p>
    <w:p>
      <w:pPr>
        <w:pStyle w:val="3"/>
        <w:numPr>
          <w:ilvl w:val="0"/>
          <w:numId w:val="2"/>
        </w:numPr>
        <w:spacing w:before="40" w:after="40" w:line="360" w:lineRule="auto"/>
        <w:ind w:left="658" w:hanging="658"/>
        <w:jc w:val="left"/>
        <w:rPr>
          <w:rFonts w:ascii="宋体" w:hAnsi="宋体" w:cs="Times New Roman"/>
          <w:bCs w:val="0"/>
        </w:rPr>
      </w:pPr>
      <w:bookmarkStart w:id="30" w:name="_Toc497459180"/>
      <w:bookmarkStart w:id="31" w:name="_Toc494561948"/>
      <w:r>
        <w:rPr>
          <w:rFonts w:hint="eastAsia" w:ascii="宋体" w:hAnsi="宋体" w:cs="Times New Roman"/>
          <w:bCs w:val="0"/>
        </w:rPr>
        <w:t>其他注意事项</w:t>
      </w:r>
      <w:bookmarkEnd w:id="30"/>
      <w:bookmarkEnd w:id="31"/>
    </w:p>
    <w:p>
      <w:pPr>
        <w:numPr>
          <w:ilvl w:val="0"/>
          <w:numId w:val="3"/>
        </w:numPr>
        <w:spacing w:line="360" w:lineRule="auto"/>
        <w:ind w:left="560" w:hanging="560"/>
        <w:rPr>
          <w:rFonts w:ascii="宋体" w:hAnsi="宋体" w:cs="Times New Roman"/>
          <w:sz w:val="24"/>
          <w:szCs w:val="20"/>
        </w:rPr>
      </w:pPr>
      <w:r>
        <w:rPr>
          <w:rFonts w:hint="eastAsia" w:ascii="宋体" w:hAnsi="宋体" w:cs="Times New Roman"/>
          <w:sz w:val="24"/>
          <w:szCs w:val="20"/>
        </w:rPr>
        <w:t>单位负责人为同一人或者存在直接控股、管理关系的不同供应商，不得参加同一合同项下的政府采购活动。</w:t>
      </w:r>
    </w:p>
    <w:p>
      <w:pPr>
        <w:numPr>
          <w:ilvl w:val="0"/>
          <w:numId w:val="3"/>
        </w:numPr>
        <w:spacing w:line="360" w:lineRule="auto"/>
        <w:ind w:left="560" w:hanging="560"/>
        <w:rPr>
          <w:rFonts w:ascii="宋体" w:hAnsi="宋体" w:cs="Times New Roman"/>
          <w:sz w:val="24"/>
          <w:szCs w:val="20"/>
        </w:rPr>
      </w:pPr>
      <w:r>
        <w:rPr>
          <w:rFonts w:hint="eastAsia" w:ascii="宋体" w:hAnsi="宋体" w:cs="Times New Roman"/>
          <w:sz w:val="24"/>
          <w:szCs w:val="20"/>
        </w:rPr>
        <w:t>除单一来源采购项目外，为采购项目提供整体设计、规范编制或者项目管理、监理、检测等服务的供应商，不得再参加该采购项目的其他采购活动。</w:t>
      </w:r>
    </w:p>
    <w:p>
      <w:pPr>
        <w:pStyle w:val="3"/>
        <w:numPr>
          <w:ilvl w:val="0"/>
          <w:numId w:val="2"/>
        </w:numPr>
        <w:spacing w:before="40" w:after="40" w:line="360" w:lineRule="auto"/>
        <w:ind w:left="966" w:hanging="966"/>
        <w:jc w:val="left"/>
        <w:rPr>
          <w:rFonts w:ascii="宋体" w:hAnsi="宋体" w:cs="Times New Roman"/>
          <w:bCs w:val="0"/>
        </w:rPr>
      </w:pPr>
      <w:bookmarkStart w:id="32" w:name="_Toc497459181"/>
      <w:bookmarkStart w:id="33" w:name="_Toc494561949"/>
      <w:bookmarkStart w:id="34" w:name="_Toc278891598"/>
      <w:bookmarkStart w:id="35" w:name="_Toc272247701"/>
      <w:r>
        <w:rPr>
          <w:rFonts w:hint="eastAsia" w:ascii="宋体" w:hAnsi="宋体" w:cs="Times New Roman"/>
          <w:bCs w:val="0"/>
        </w:rPr>
        <w:t>适用法律</w:t>
      </w:r>
      <w:bookmarkEnd w:id="32"/>
      <w:bookmarkEnd w:id="33"/>
      <w:bookmarkEnd w:id="34"/>
      <w:bookmarkEnd w:id="35"/>
    </w:p>
    <w:p>
      <w:pPr>
        <w:numPr>
          <w:ilvl w:val="0"/>
          <w:numId w:val="3"/>
        </w:numPr>
        <w:spacing w:line="360" w:lineRule="auto"/>
        <w:ind w:left="560" w:hanging="560"/>
        <w:rPr>
          <w:rFonts w:ascii="宋体" w:hAnsi="宋体" w:cs="Times New Roman"/>
          <w:sz w:val="24"/>
          <w:szCs w:val="20"/>
        </w:rPr>
      </w:pPr>
      <w:r>
        <w:rPr>
          <w:rFonts w:hint="eastAsia" w:ascii="宋体" w:hAnsi="宋体" w:cs="Times New Roman"/>
          <w:sz w:val="24"/>
          <w:szCs w:val="20"/>
        </w:rPr>
        <w:t>采购人、采购代理机构及投标人的一切招标投标活动均适用《政府采购法》、《政府采购法实施条例》、</w:t>
      </w:r>
      <w:r>
        <w:rPr>
          <w:rFonts w:ascii="宋体" w:hAnsi="宋体" w:cs="Times New Roman"/>
          <w:sz w:val="24"/>
          <w:szCs w:val="20"/>
        </w:rPr>
        <w:t>《政府采购货物和服务招标投标管理办法》</w:t>
      </w:r>
      <w:r>
        <w:rPr>
          <w:rFonts w:hint="eastAsia" w:ascii="宋体" w:hAnsi="宋体" w:cs="Times New Roman"/>
          <w:sz w:val="24"/>
          <w:szCs w:val="20"/>
        </w:rPr>
        <w:t>及相关法律法规。</w:t>
      </w:r>
    </w:p>
    <w:p>
      <w:pPr>
        <w:numPr>
          <w:ilvl w:val="0"/>
          <w:numId w:val="3"/>
        </w:numPr>
        <w:spacing w:line="360" w:lineRule="auto"/>
        <w:ind w:left="560" w:hanging="560"/>
        <w:rPr>
          <w:rFonts w:ascii="宋体" w:hAnsi="宋体" w:cs="Times New Roman"/>
          <w:sz w:val="24"/>
          <w:szCs w:val="20"/>
        </w:rPr>
      </w:pPr>
      <w:r>
        <w:rPr>
          <w:rFonts w:ascii="Helvetica" w:hAnsi="Helvetica" w:cs="Helvetica"/>
          <w:kern w:val="0"/>
          <w:sz w:val="24"/>
          <w:szCs w:val="24"/>
        </w:rPr>
        <w:t>政府采购合同的履行、违约责任和解决争议的方法等适用《合同法》。</w:t>
      </w:r>
    </w:p>
    <w:p>
      <w:pPr>
        <w:pStyle w:val="3"/>
        <w:numPr>
          <w:ilvl w:val="0"/>
          <w:numId w:val="2"/>
        </w:numPr>
        <w:spacing w:before="40" w:after="40" w:line="360" w:lineRule="auto"/>
        <w:ind w:left="966" w:hanging="966"/>
        <w:jc w:val="left"/>
        <w:rPr>
          <w:rFonts w:ascii="宋体" w:hAnsi="宋体" w:cs="Times New Roman"/>
          <w:bCs w:val="0"/>
        </w:rPr>
      </w:pPr>
      <w:bookmarkStart w:id="36" w:name="_Toc278891599"/>
      <w:bookmarkStart w:id="37" w:name="_Toc497459182"/>
      <w:bookmarkStart w:id="38" w:name="_Toc494561950"/>
      <w:bookmarkStart w:id="39" w:name="_Toc272247702"/>
      <w:r>
        <w:rPr>
          <w:rFonts w:hint="eastAsia" w:ascii="宋体" w:hAnsi="宋体" w:cs="Times New Roman"/>
          <w:bCs w:val="0"/>
        </w:rPr>
        <w:t>招标文件的解释权</w:t>
      </w:r>
      <w:bookmarkEnd w:id="36"/>
      <w:bookmarkEnd w:id="37"/>
      <w:bookmarkEnd w:id="38"/>
      <w:bookmarkEnd w:id="39"/>
    </w:p>
    <w:p>
      <w:pPr>
        <w:tabs>
          <w:tab w:val="left" w:pos="476"/>
        </w:tabs>
        <w:spacing w:line="360" w:lineRule="auto"/>
        <w:ind w:left="476"/>
        <w:rPr>
          <w:rFonts w:ascii="黑体" w:hAnsi="黑体" w:eastAsia="黑体"/>
          <w:b/>
          <w:bCs/>
          <w:kern w:val="44"/>
          <w:sz w:val="44"/>
          <w:szCs w:val="44"/>
        </w:rPr>
      </w:pPr>
      <w:r>
        <w:rPr>
          <w:rFonts w:hint="eastAsia" w:ascii="宋体" w:hAnsi="宋体" w:cs="Times New Roman"/>
          <w:sz w:val="24"/>
          <w:szCs w:val="20"/>
        </w:rPr>
        <w:t>招标文件的最终解释权为采购人、采购代理机构所有。</w:t>
      </w:r>
      <w:r>
        <w:br w:type="page"/>
      </w:r>
      <w:r>
        <w:rPr>
          <w:rFonts w:hint="eastAsia"/>
        </w:rPr>
        <w:t xml:space="preserve">        </w:t>
      </w:r>
      <w:r>
        <w:rPr>
          <w:rFonts w:hint="eastAsia" w:ascii="黑体" w:hAnsi="黑体" w:eastAsia="黑体"/>
          <w:b/>
          <w:bCs/>
          <w:kern w:val="44"/>
          <w:sz w:val="44"/>
          <w:szCs w:val="44"/>
        </w:rPr>
        <w:t xml:space="preserve"> 第三章 项目技术、服务及商务要求</w:t>
      </w:r>
    </w:p>
    <w:p>
      <w:pPr>
        <w:rPr>
          <w:rFonts w:hint="eastAsia" w:ascii="黑体" w:hAnsi="黑体" w:eastAsia="黑体"/>
        </w:rPr>
      </w:pPr>
      <w:bookmarkStart w:id="40" w:name="_Toc497459189"/>
    </w:p>
    <w:p>
      <w:pPr>
        <w:pStyle w:val="13"/>
        <w:numPr>
          <w:ilvl w:val="0"/>
          <w:numId w:val="35"/>
        </w:numPr>
        <w:rPr>
          <w:b/>
        </w:rPr>
      </w:pPr>
      <w:r>
        <w:rPr>
          <w:rFonts w:hint="eastAsia"/>
          <w:b/>
        </w:rPr>
        <w:t>技术要求部分</w:t>
      </w:r>
    </w:p>
    <w:p>
      <w:pPr>
        <w:rPr>
          <w:rFonts w:ascii="宋体" w:hAnsi="宋体"/>
          <w:b/>
          <w:sz w:val="24"/>
          <w:szCs w:val="24"/>
        </w:rPr>
      </w:pPr>
      <w:r>
        <w:rPr>
          <w:rFonts w:hint="eastAsia" w:ascii="宋体" w:hAnsi="宋体"/>
          <w:b/>
          <w:sz w:val="24"/>
          <w:szCs w:val="24"/>
        </w:rPr>
        <w:t>1.项目总体目标</w:t>
      </w:r>
    </w:p>
    <w:p>
      <w:pPr>
        <w:spacing w:line="360" w:lineRule="auto"/>
        <w:ind w:firstLine="555"/>
        <w:rPr>
          <w:sz w:val="24"/>
          <w:szCs w:val="24"/>
        </w:rPr>
      </w:pPr>
      <w:r>
        <w:rPr>
          <w:rFonts w:hint="eastAsia"/>
          <w:sz w:val="24"/>
          <w:szCs w:val="24"/>
        </w:rPr>
        <w:t>湖北省烟草公司潜江市公司（下称“潜江烟草”）计算机房承载着国家局卷烟生产经营管理系统，综合业务平台、物流管控系统、省-市骨干网络系统，为市局提供生产经营管理提供重要支撑。按照烟草网络安全要围绕“ 两个加强、三个统一、四个提升”总体工作目标，即加强网络安全组织和监督管理、加强应用系统和数据安全建设；统一网络安全总体策略、统一网络安全标准规范、统一网络和应用安全技术架构；提升网络安全主动防御能力、提升网络安全风险管控能力、提升网络安全应急响应和灾难恢复能力，最终形成烟草统一的、全方位的烟草网络安全保障体系，保障烟草信息系统的保密性、完整性、可用性、可审计性和不可否认性，确保烟草网络和业务系统的安全稳定运行。为此潜江烟草拟采购第三方的信息安全咨询及评估服务，利用专业的安全技术力量，协助潜江烟草做好网络安全规划制定、网络安全管理、安全监控、安全策略、应急处置、重大时期信息安全保障等各方面工作，确保潜江烟草业务系统安全稳定运行。</w:t>
      </w:r>
    </w:p>
    <w:p>
      <w:pPr>
        <w:rPr>
          <w:rFonts w:ascii="宋体" w:hAnsi="宋体"/>
          <w:b/>
          <w:sz w:val="24"/>
          <w:szCs w:val="24"/>
        </w:rPr>
      </w:pPr>
      <w:r>
        <w:rPr>
          <w:rFonts w:hint="eastAsia" w:ascii="宋体" w:hAnsi="宋体"/>
          <w:b/>
          <w:sz w:val="24"/>
          <w:szCs w:val="24"/>
        </w:rPr>
        <w:t>2.服务内容</w:t>
      </w:r>
    </w:p>
    <w:p>
      <w:pPr>
        <w:rPr>
          <w:rFonts w:ascii="宋体" w:hAnsi="宋体"/>
          <w:b/>
          <w:sz w:val="24"/>
          <w:szCs w:val="24"/>
        </w:rPr>
      </w:pPr>
      <w:r>
        <w:rPr>
          <w:rFonts w:hint="eastAsia" w:ascii="宋体" w:hAnsi="宋体"/>
          <w:b/>
          <w:sz w:val="24"/>
          <w:szCs w:val="24"/>
        </w:rPr>
        <w:t>2</w:t>
      </w:r>
      <w:r>
        <w:rPr>
          <w:rFonts w:ascii="宋体" w:hAnsi="宋体"/>
          <w:b/>
          <w:sz w:val="24"/>
          <w:szCs w:val="24"/>
        </w:rPr>
        <w:t>.1</w:t>
      </w:r>
      <w:r>
        <w:rPr>
          <w:rFonts w:hint="eastAsia" w:ascii="宋体" w:hAnsi="宋体"/>
          <w:b/>
          <w:sz w:val="24"/>
          <w:szCs w:val="24"/>
        </w:rPr>
        <w:t>信息安全体系梳理</w:t>
      </w:r>
    </w:p>
    <w:p>
      <w:pPr>
        <w:spacing w:line="360" w:lineRule="auto"/>
        <w:ind w:firstLine="555"/>
        <w:rPr>
          <w:sz w:val="24"/>
          <w:szCs w:val="24"/>
        </w:rPr>
      </w:pPr>
      <w:r>
        <w:rPr>
          <w:rFonts w:hint="eastAsia"/>
          <w:sz w:val="24"/>
          <w:szCs w:val="24"/>
        </w:rPr>
        <w:t>收集摸清潜江市局信息安全体系建设现状，结合省局十三五信息安全规划，梳理潜江市局安全规划，完善制定、规范建设，编制湖北省烟草公司潜江市公司未来</w:t>
      </w:r>
      <w:r>
        <w:rPr>
          <w:sz w:val="24"/>
          <w:szCs w:val="24"/>
        </w:rPr>
        <w:t>3</w:t>
      </w:r>
      <w:r>
        <w:rPr>
          <w:rFonts w:hint="eastAsia"/>
          <w:sz w:val="24"/>
          <w:szCs w:val="24"/>
        </w:rPr>
        <w:t>年网络安全规划建设内容及模型，逐步提高和完善安全建设维度和力度。</w:t>
      </w:r>
    </w:p>
    <w:p>
      <w:pPr>
        <w:rPr>
          <w:rFonts w:ascii="宋体" w:hAnsi="宋体"/>
          <w:b/>
          <w:sz w:val="24"/>
          <w:szCs w:val="24"/>
        </w:rPr>
      </w:pPr>
      <w:r>
        <w:rPr>
          <w:rFonts w:hint="eastAsia" w:ascii="宋体" w:hAnsi="宋体"/>
          <w:b/>
          <w:sz w:val="24"/>
          <w:szCs w:val="24"/>
        </w:rPr>
        <w:t>2.</w:t>
      </w:r>
      <w:r>
        <w:rPr>
          <w:rFonts w:ascii="宋体" w:hAnsi="宋体"/>
          <w:b/>
          <w:sz w:val="24"/>
          <w:szCs w:val="24"/>
        </w:rPr>
        <w:t>2</w:t>
      </w:r>
      <w:r>
        <w:rPr>
          <w:rFonts w:hint="eastAsia" w:ascii="宋体" w:hAnsi="宋体"/>
          <w:b/>
          <w:sz w:val="24"/>
          <w:szCs w:val="24"/>
        </w:rPr>
        <w:t>信息安全运维服务</w:t>
      </w:r>
    </w:p>
    <w:p>
      <w:pPr>
        <w:rPr>
          <w:rFonts w:ascii="宋体" w:hAnsi="宋体"/>
          <w:b/>
          <w:sz w:val="24"/>
          <w:szCs w:val="24"/>
        </w:rPr>
      </w:pPr>
    </w:p>
    <w:p>
      <w:pPr>
        <w:rPr>
          <w:rFonts w:ascii="宋体" w:hAnsi="宋体"/>
          <w:b/>
          <w:sz w:val="24"/>
          <w:szCs w:val="24"/>
        </w:rPr>
      </w:pPr>
      <w:r>
        <w:rPr>
          <w:rFonts w:hint="eastAsia" w:ascii="宋体" w:hAnsi="宋体"/>
          <w:b/>
          <w:sz w:val="24"/>
          <w:szCs w:val="24"/>
        </w:rPr>
        <w:t>2.</w:t>
      </w:r>
      <w:r>
        <w:rPr>
          <w:rFonts w:ascii="宋体" w:hAnsi="宋体"/>
          <w:b/>
          <w:sz w:val="24"/>
          <w:szCs w:val="24"/>
        </w:rPr>
        <w:t>2</w:t>
      </w:r>
      <w:r>
        <w:rPr>
          <w:rFonts w:hint="eastAsia" w:ascii="宋体" w:hAnsi="宋体"/>
          <w:b/>
          <w:sz w:val="24"/>
          <w:szCs w:val="24"/>
        </w:rPr>
        <w:t>.1日常安全运维服务</w:t>
      </w:r>
    </w:p>
    <w:p>
      <w:pPr>
        <w:spacing w:line="360" w:lineRule="auto"/>
        <w:ind w:firstLine="645"/>
        <w:rPr>
          <w:rFonts w:ascii="宋体" w:hAnsi="宋体"/>
          <w:sz w:val="24"/>
          <w:szCs w:val="24"/>
        </w:rPr>
      </w:pPr>
      <w:r>
        <w:rPr>
          <w:rFonts w:hint="eastAsia" w:ascii="宋体" w:hAnsi="宋体"/>
          <w:sz w:val="24"/>
          <w:szCs w:val="24"/>
        </w:rPr>
        <w:t>指派1名有烟草行业网络安全运维经验且熟悉行业网络的工程师，在远程提供5*8小时安全服务（周末如有需要，需无条件按照市公司安排开展工作），负责按照等级保护要求对市公司信息系统基础设施、网络和安全防护设备日常运行情况进行检查、安全审计，分析安全状况。</w:t>
      </w:r>
    </w:p>
    <w:p>
      <w:pPr>
        <w:spacing w:line="360" w:lineRule="auto"/>
        <w:ind w:firstLine="645"/>
        <w:rPr>
          <w:rFonts w:ascii="宋体" w:hAnsi="宋体"/>
          <w:sz w:val="24"/>
          <w:szCs w:val="24"/>
        </w:rPr>
      </w:pPr>
      <w:r>
        <w:rPr>
          <w:rFonts w:hint="eastAsia" w:ascii="宋体" w:hAnsi="宋体"/>
          <w:sz w:val="24"/>
          <w:szCs w:val="24"/>
        </w:rPr>
        <w:t>日常工作内容主要应包括：</w:t>
      </w:r>
    </w:p>
    <w:p>
      <w:pPr>
        <w:spacing w:line="360" w:lineRule="auto"/>
        <w:ind w:firstLine="645"/>
        <w:rPr>
          <w:rFonts w:ascii="宋体" w:hAnsi="宋体"/>
          <w:sz w:val="24"/>
          <w:szCs w:val="24"/>
        </w:rPr>
      </w:pPr>
      <w:r>
        <w:rPr>
          <w:rFonts w:ascii="宋体" w:hAnsi="宋体"/>
          <w:sz w:val="24"/>
          <w:szCs w:val="24"/>
        </w:rPr>
        <w:t>1</w:t>
      </w:r>
      <w:r>
        <w:rPr>
          <w:rFonts w:hint="eastAsia" w:ascii="宋体" w:hAnsi="宋体"/>
          <w:sz w:val="24"/>
          <w:szCs w:val="24"/>
        </w:rPr>
        <w:t>、每日监测部署在全市系统的</w:t>
      </w:r>
      <w:r>
        <w:rPr>
          <w:rFonts w:ascii="宋体" w:hAnsi="宋体"/>
          <w:sz w:val="24"/>
          <w:szCs w:val="24"/>
        </w:rPr>
        <w:t>3</w:t>
      </w:r>
      <w:r>
        <w:rPr>
          <w:rFonts w:hint="eastAsia" w:ascii="宋体" w:hAnsi="宋体"/>
          <w:sz w:val="24"/>
          <w:szCs w:val="24"/>
        </w:rPr>
        <w:t>台防火墙、安全网关、VPN等设备以及市公司统一病毒防护软件、及时处置安全告警，并跟踪、报告处置情况，协助组织处置网络安全事件。</w:t>
      </w:r>
    </w:p>
    <w:p>
      <w:pPr>
        <w:spacing w:line="360" w:lineRule="auto"/>
        <w:ind w:firstLine="645"/>
        <w:rPr>
          <w:rFonts w:ascii="宋体" w:hAnsi="宋体"/>
          <w:sz w:val="24"/>
          <w:szCs w:val="24"/>
        </w:rPr>
      </w:pPr>
      <w:r>
        <w:rPr>
          <w:rFonts w:ascii="宋体" w:hAnsi="宋体"/>
          <w:sz w:val="24"/>
          <w:szCs w:val="24"/>
        </w:rPr>
        <w:t>2</w:t>
      </w:r>
      <w:r>
        <w:rPr>
          <w:rFonts w:hint="eastAsia" w:ascii="宋体" w:hAnsi="宋体"/>
          <w:sz w:val="24"/>
          <w:szCs w:val="24"/>
        </w:rPr>
        <w:t>、每周、每月、每季度汇总网络安全运行情况，编制运行分析报告。</w:t>
      </w:r>
    </w:p>
    <w:p>
      <w:pPr>
        <w:spacing w:line="360" w:lineRule="auto"/>
        <w:ind w:firstLine="645"/>
        <w:rPr>
          <w:rFonts w:ascii="宋体" w:hAnsi="宋体"/>
          <w:sz w:val="24"/>
          <w:szCs w:val="24"/>
        </w:rPr>
      </w:pPr>
      <w:r>
        <w:rPr>
          <w:rFonts w:ascii="宋体" w:hAnsi="宋体"/>
          <w:sz w:val="24"/>
          <w:szCs w:val="24"/>
        </w:rPr>
        <w:t>3</w:t>
      </w:r>
      <w:r>
        <w:rPr>
          <w:rFonts w:hint="eastAsia" w:ascii="宋体" w:hAnsi="宋体"/>
          <w:sz w:val="24"/>
          <w:szCs w:val="24"/>
        </w:rPr>
        <w:t>、提供涉及本行业的安全威胁预警。</w:t>
      </w:r>
    </w:p>
    <w:p>
      <w:pPr>
        <w:spacing w:line="360" w:lineRule="auto"/>
        <w:ind w:firstLine="645"/>
        <w:rPr>
          <w:rFonts w:ascii="宋体" w:hAnsi="宋体"/>
          <w:sz w:val="24"/>
          <w:szCs w:val="24"/>
        </w:rPr>
      </w:pPr>
      <w:r>
        <w:rPr>
          <w:rFonts w:ascii="宋体" w:hAnsi="宋体"/>
          <w:sz w:val="24"/>
          <w:szCs w:val="24"/>
        </w:rPr>
        <w:t>4</w:t>
      </w:r>
      <w:r>
        <w:rPr>
          <w:rFonts w:hint="eastAsia" w:ascii="宋体" w:hAnsi="宋体"/>
          <w:sz w:val="24"/>
          <w:szCs w:val="24"/>
        </w:rPr>
        <w:t>、负责跟踪处置互联网运行系统安全事件，协调有关单位进行应急处置，减少影响。</w:t>
      </w:r>
    </w:p>
    <w:p>
      <w:pPr>
        <w:spacing w:line="360" w:lineRule="auto"/>
        <w:ind w:firstLine="645"/>
        <w:rPr>
          <w:rFonts w:ascii="宋体" w:hAnsi="宋体"/>
          <w:sz w:val="24"/>
          <w:szCs w:val="24"/>
        </w:rPr>
      </w:pPr>
      <w:r>
        <w:rPr>
          <w:rFonts w:ascii="宋体" w:hAnsi="宋体"/>
          <w:sz w:val="24"/>
          <w:szCs w:val="24"/>
        </w:rPr>
        <w:t>5</w:t>
      </w:r>
      <w:r>
        <w:rPr>
          <w:rFonts w:hint="eastAsia" w:ascii="宋体" w:hAnsi="宋体"/>
          <w:sz w:val="24"/>
          <w:szCs w:val="24"/>
        </w:rPr>
        <w:t>、每季度汇总分析情况，编制简要分析报告。分析报告应于该季度结束后</w:t>
      </w:r>
      <w:r>
        <w:rPr>
          <w:rFonts w:ascii="宋体" w:hAnsi="宋体"/>
          <w:sz w:val="24"/>
          <w:szCs w:val="24"/>
        </w:rPr>
        <w:t>10日内提交。</w:t>
      </w:r>
    </w:p>
    <w:p>
      <w:pPr>
        <w:spacing w:line="360" w:lineRule="auto"/>
        <w:ind w:firstLine="645"/>
        <w:rPr>
          <w:rFonts w:ascii="宋体" w:hAnsi="宋体"/>
          <w:sz w:val="24"/>
          <w:szCs w:val="24"/>
        </w:rPr>
      </w:pPr>
      <w:r>
        <w:rPr>
          <w:rFonts w:hint="eastAsia" w:ascii="宋体" w:hAnsi="宋体"/>
          <w:sz w:val="24"/>
          <w:szCs w:val="24"/>
        </w:rPr>
        <w:t>6、协助完成行业网络安全检查相关工作，包括迎检资料的准备等。</w:t>
      </w:r>
    </w:p>
    <w:p>
      <w:pPr>
        <w:spacing w:line="360" w:lineRule="auto"/>
        <w:ind w:firstLine="645"/>
        <w:rPr>
          <w:rFonts w:ascii="宋体" w:hAnsi="宋体"/>
          <w:sz w:val="24"/>
          <w:szCs w:val="24"/>
        </w:rPr>
      </w:pPr>
      <w:r>
        <w:rPr>
          <w:rFonts w:ascii="宋体" w:hAnsi="宋体"/>
          <w:sz w:val="24"/>
          <w:szCs w:val="24"/>
        </w:rPr>
        <w:t>7</w:t>
      </w:r>
      <w:r>
        <w:rPr>
          <w:rFonts w:hint="eastAsia" w:ascii="宋体" w:hAnsi="宋体"/>
          <w:sz w:val="24"/>
          <w:szCs w:val="24"/>
        </w:rPr>
        <w:t>、协助开展全省系统网络安全检查，包括检查方案及表格的编制，实地检查等。</w:t>
      </w:r>
    </w:p>
    <w:p>
      <w:pPr>
        <w:spacing w:line="360" w:lineRule="auto"/>
        <w:ind w:firstLine="645"/>
        <w:rPr>
          <w:rFonts w:ascii="宋体" w:hAnsi="宋体"/>
          <w:sz w:val="24"/>
          <w:szCs w:val="24"/>
        </w:rPr>
      </w:pPr>
      <w:r>
        <w:rPr>
          <w:rFonts w:hint="eastAsia" w:ascii="宋体" w:hAnsi="宋体"/>
          <w:sz w:val="24"/>
          <w:szCs w:val="24"/>
        </w:rPr>
        <w:t>8、在地市局发现重大安全事件是提供现场的安全服务。</w:t>
      </w:r>
    </w:p>
    <w:p>
      <w:pPr>
        <w:rPr>
          <w:rFonts w:ascii="宋体" w:hAnsi="宋体"/>
          <w:b/>
          <w:sz w:val="24"/>
          <w:szCs w:val="24"/>
        </w:rPr>
      </w:pPr>
      <w:r>
        <w:rPr>
          <w:rFonts w:hint="eastAsia" w:ascii="宋体" w:hAnsi="宋体"/>
          <w:b/>
          <w:sz w:val="24"/>
          <w:szCs w:val="24"/>
        </w:rPr>
        <w:t>2</w:t>
      </w:r>
      <w:r>
        <w:rPr>
          <w:rFonts w:ascii="宋体" w:hAnsi="宋体"/>
          <w:b/>
          <w:sz w:val="24"/>
          <w:szCs w:val="24"/>
        </w:rPr>
        <w:t>.2.2</w:t>
      </w:r>
      <w:r>
        <w:rPr>
          <w:rFonts w:hint="eastAsia" w:ascii="宋体" w:hAnsi="宋体"/>
          <w:b/>
          <w:sz w:val="24"/>
          <w:szCs w:val="24"/>
        </w:rPr>
        <w:t>外网安全监测服务</w:t>
      </w:r>
    </w:p>
    <w:p>
      <w:pPr>
        <w:spacing w:line="360" w:lineRule="auto"/>
        <w:ind w:firstLine="645"/>
        <w:rPr>
          <w:rFonts w:ascii="宋体" w:hAnsi="宋体"/>
          <w:sz w:val="24"/>
          <w:szCs w:val="24"/>
        </w:rPr>
      </w:pPr>
      <w:r>
        <w:rPr>
          <w:rFonts w:hint="eastAsia" w:ascii="宋体" w:hAnsi="宋体"/>
          <w:sz w:val="24"/>
          <w:szCs w:val="24"/>
        </w:rPr>
        <w:t>对全省互联网运行系统进行7*24小时安全监测（负责对新增的互联网运行网站和系统进行安全监测，数量不超过10个</w:t>
      </w:r>
      <w:r>
        <w:rPr>
          <w:rFonts w:ascii="宋体" w:hAnsi="宋体"/>
          <w:sz w:val="24"/>
          <w:szCs w:val="24"/>
        </w:rPr>
        <w:t>）</w:t>
      </w:r>
      <w:r>
        <w:rPr>
          <w:rFonts w:hint="eastAsia" w:ascii="宋体" w:hAnsi="宋体"/>
          <w:sz w:val="24"/>
          <w:szCs w:val="24"/>
        </w:rPr>
        <w:t>，落实防入侵、防篡改、防窃密、防瘫痪、防病毒要求，发现问题或安全事件立即向通报情况并提出解决方案，协助进行处置降低影响。</w:t>
      </w:r>
    </w:p>
    <w:p>
      <w:pPr>
        <w:spacing w:line="360" w:lineRule="auto"/>
        <w:ind w:firstLine="645"/>
        <w:rPr>
          <w:rFonts w:ascii="宋体" w:hAnsi="宋体"/>
          <w:sz w:val="24"/>
          <w:szCs w:val="24"/>
        </w:rPr>
      </w:pPr>
      <w:r>
        <w:rPr>
          <w:rFonts w:hint="eastAsia" w:ascii="宋体" w:hAnsi="宋体"/>
          <w:sz w:val="24"/>
          <w:szCs w:val="24"/>
        </w:rPr>
        <w:t>每季度汇总分析情况，编制简要分析报告。分析报告应于该季度结束后10日内提交。</w:t>
      </w:r>
    </w:p>
    <w:p>
      <w:pPr>
        <w:spacing w:line="360" w:lineRule="auto"/>
        <w:ind w:firstLine="645"/>
        <w:rPr>
          <w:rFonts w:ascii="宋体" w:hAnsi="宋体"/>
          <w:sz w:val="24"/>
          <w:szCs w:val="24"/>
        </w:rPr>
      </w:pPr>
      <w:r>
        <w:rPr>
          <w:rFonts w:hint="eastAsia" w:ascii="宋体" w:hAnsi="宋体"/>
          <w:sz w:val="24"/>
          <w:szCs w:val="24"/>
        </w:rPr>
        <w:t>当信息系统发生网络安全事件（包括网站被篡改、被挂马，应用系统数据被篡改，以及网络、应用系统被入侵等情况）时，需按要求派1名专家到现场协助处理安全事件。</w:t>
      </w:r>
    </w:p>
    <w:p>
      <w:pPr>
        <w:spacing w:line="360" w:lineRule="auto"/>
        <w:ind w:firstLine="645"/>
        <w:rPr>
          <w:rFonts w:ascii="宋体" w:hAnsi="宋体"/>
          <w:sz w:val="24"/>
          <w:szCs w:val="24"/>
        </w:rPr>
      </w:pPr>
      <w:r>
        <w:rPr>
          <w:rFonts w:hint="eastAsia" w:ascii="宋体" w:hAnsi="宋体"/>
          <w:sz w:val="24"/>
          <w:szCs w:val="24"/>
        </w:rPr>
        <w:t>每年对全省互联网运行网站和系统进行1次漏洞检测，并对互联网运行的网站和系统进行渗透性安全检测。汇总检测情况，编制分析报告以及整改建议。</w:t>
      </w:r>
    </w:p>
    <w:p>
      <w:pPr>
        <w:rPr>
          <w:rFonts w:ascii="宋体" w:hAnsi="宋体"/>
          <w:b/>
          <w:sz w:val="24"/>
          <w:szCs w:val="24"/>
        </w:rPr>
      </w:pPr>
      <w:r>
        <w:rPr>
          <w:rFonts w:hint="eastAsia" w:ascii="宋体" w:hAnsi="宋体"/>
          <w:b/>
          <w:sz w:val="24"/>
          <w:szCs w:val="24"/>
        </w:rPr>
        <w:t>2</w:t>
      </w:r>
      <w:r>
        <w:rPr>
          <w:rFonts w:ascii="宋体" w:hAnsi="宋体"/>
          <w:b/>
          <w:sz w:val="24"/>
          <w:szCs w:val="24"/>
        </w:rPr>
        <w:t>.2.3</w:t>
      </w:r>
      <w:r>
        <w:rPr>
          <w:rFonts w:hint="eastAsia" w:ascii="宋体" w:hAnsi="宋体"/>
          <w:b/>
          <w:sz w:val="24"/>
          <w:szCs w:val="24"/>
        </w:rPr>
        <w:t>安全培训服务</w:t>
      </w:r>
    </w:p>
    <w:p>
      <w:pPr>
        <w:spacing w:line="360" w:lineRule="auto"/>
        <w:ind w:firstLine="645"/>
        <w:rPr>
          <w:rFonts w:ascii="宋体" w:hAnsi="宋体"/>
          <w:sz w:val="24"/>
          <w:szCs w:val="24"/>
        </w:rPr>
      </w:pPr>
      <w:r>
        <w:rPr>
          <w:rFonts w:hint="eastAsia" w:ascii="宋体" w:hAnsi="宋体"/>
          <w:sz w:val="24"/>
          <w:szCs w:val="24"/>
        </w:rPr>
        <w:t>1、定期对市局全体人员进行网络安全培训，提升全员网络安全意识，提高全员信息安全防范技巧。</w:t>
      </w:r>
    </w:p>
    <w:p>
      <w:pPr>
        <w:spacing w:line="360" w:lineRule="auto"/>
        <w:ind w:firstLine="645"/>
        <w:rPr>
          <w:rFonts w:ascii="宋体" w:hAnsi="宋体"/>
          <w:sz w:val="24"/>
          <w:szCs w:val="24"/>
        </w:rPr>
      </w:pPr>
      <w:r>
        <w:rPr>
          <w:rFonts w:ascii="宋体" w:hAnsi="宋体"/>
          <w:sz w:val="24"/>
          <w:szCs w:val="24"/>
        </w:rPr>
        <w:t>2</w:t>
      </w:r>
      <w:r>
        <w:rPr>
          <w:rFonts w:hint="eastAsia" w:ascii="宋体" w:hAnsi="宋体"/>
          <w:sz w:val="24"/>
          <w:szCs w:val="24"/>
        </w:rPr>
        <w:t>、针对信息安全从业人员进行专业技能培训，使信息化从业人员获得C</w:t>
      </w:r>
      <w:r>
        <w:rPr>
          <w:rFonts w:ascii="宋体" w:hAnsi="宋体"/>
          <w:sz w:val="24"/>
          <w:szCs w:val="24"/>
        </w:rPr>
        <w:t>ISP</w:t>
      </w:r>
      <w:r>
        <w:rPr>
          <w:rFonts w:hint="eastAsia" w:ascii="宋体" w:hAnsi="宋体"/>
          <w:sz w:val="24"/>
          <w:szCs w:val="24"/>
        </w:rPr>
        <w:t>专业信息安全认证。</w:t>
      </w:r>
    </w:p>
    <w:p>
      <w:pPr>
        <w:rPr>
          <w:rFonts w:ascii="宋体" w:hAnsi="宋体"/>
          <w:b/>
          <w:sz w:val="24"/>
          <w:szCs w:val="24"/>
        </w:rPr>
      </w:pPr>
      <w:r>
        <w:rPr>
          <w:rFonts w:hint="eastAsia" w:ascii="宋体" w:hAnsi="宋体"/>
          <w:b/>
          <w:sz w:val="24"/>
          <w:szCs w:val="24"/>
        </w:rPr>
        <w:t>2.</w:t>
      </w:r>
      <w:r>
        <w:rPr>
          <w:rFonts w:ascii="宋体" w:hAnsi="宋体"/>
          <w:b/>
          <w:sz w:val="24"/>
          <w:szCs w:val="24"/>
        </w:rPr>
        <w:t>3</w:t>
      </w:r>
      <w:r>
        <w:rPr>
          <w:rFonts w:hint="eastAsia" w:ascii="宋体" w:hAnsi="宋体"/>
          <w:b/>
          <w:sz w:val="24"/>
          <w:szCs w:val="24"/>
        </w:rPr>
        <w:t>新上线系统安全评估服务</w:t>
      </w:r>
    </w:p>
    <w:p>
      <w:pPr>
        <w:rPr>
          <w:rFonts w:ascii="宋体" w:hAnsi="宋体"/>
          <w:b/>
          <w:sz w:val="24"/>
          <w:szCs w:val="24"/>
        </w:rPr>
      </w:pPr>
      <w:r>
        <w:rPr>
          <w:rFonts w:hint="eastAsia" w:ascii="宋体" w:hAnsi="宋体"/>
          <w:b/>
          <w:sz w:val="24"/>
          <w:szCs w:val="24"/>
        </w:rPr>
        <w:t>2.</w:t>
      </w:r>
      <w:r>
        <w:rPr>
          <w:rFonts w:ascii="宋体" w:hAnsi="宋体"/>
          <w:b/>
          <w:sz w:val="24"/>
          <w:szCs w:val="24"/>
        </w:rPr>
        <w:t>3</w:t>
      </w:r>
      <w:r>
        <w:rPr>
          <w:rFonts w:hint="eastAsia" w:ascii="宋体" w:hAnsi="宋体"/>
          <w:b/>
          <w:sz w:val="24"/>
          <w:szCs w:val="24"/>
        </w:rPr>
        <w:t>.1源代码审计服务</w:t>
      </w:r>
    </w:p>
    <w:p>
      <w:pPr>
        <w:spacing w:line="360" w:lineRule="auto"/>
        <w:ind w:firstLine="645"/>
        <w:rPr>
          <w:rFonts w:ascii="宋体" w:hAnsi="宋体"/>
          <w:sz w:val="24"/>
          <w:szCs w:val="24"/>
        </w:rPr>
      </w:pPr>
      <w:r>
        <w:rPr>
          <w:rFonts w:hint="eastAsia" w:ascii="宋体" w:hAnsi="宋体"/>
          <w:sz w:val="24"/>
          <w:szCs w:val="24"/>
        </w:rPr>
        <w:t>针对新上线的信息系统源代码的输入输出部分进行审计，检查应用系统编码设计过程中是否存在国际主流安全漏洞库</w:t>
      </w:r>
      <w:r>
        <w:rPr>
          <w:rFonts w:ascii="宋体" w:hAnsi="宋体"/>
          <w:sz w:val="24"/>
          <w:szCs w:val="24"/>
        </w:rPr>
        <w:t>CWE、CVE和OWASP中关于应用系统软件安全的相关漏洞</w:t>
      </w:r>
      <w:r>
        <w:rPr>
          <w:rFonts w:hint="eastAsia" w:ascii="宋体" w:hAnsi="宋体"/>
          <w:sz w:val="24"/>
          <w:szCs w:val="24"/>
        </w:rPr>
        <w:t>。服务应使用专业的自动化代码扫描工具对软件代码进行检查，发现常见的编码规范及安全漏洞问题；人工对扫描结果进行分析和确认，以发现业务逻辑漏洞及工具扫描未发现的漏洞，对重要功能点的代码进地人工通读代码检查；在检查后整理代码检查结果，定位挖掘到的相应漏洞的利用点，对发现的缺陷进行验证测试，确定审计结果的准确性；在应用软件开发单位对漏洞代码进行改进后，对相应的问题代码进行测试，以确认其进行了正确的修改，指导正确处置发现的问题。</w:t>
      </w:r>
    </w:p>
    <w:p>
      <w:pPr>
        <w:spacing w:line="360" w:lineRule="auto"/>
        <w:ind w:firstLine="645"/>
        <w:rPr>
          <w:rFonts w:ascii="宋体" w:hAnsi="宋体"/>
          <w:sz w:val="24"/>
          <w:szCs w:val="24"/>
        </w:rPr>
      </w:pPr>
      <w:r>
        <w:rPr>
          <w:rFonts w:hint="eastAsia" w:ascii="宋体" w:hAnsi="宋体"/>
          <w:sz w:val="24"/>
          <w:szCs w:val="24"/>
        </w:rPr>
        <w:t>源代码审计内容应包括：</w:t>
      </w:r>
    </w:p>
    <w:p>
      <w:pPr>
        <w:spacing w:line="360" w:lineRule="auto"/>
        <w:ind w:firstLine="645"/>
        <w:rPr>
          <w:rFonts w:ascii="宋体" w:hAnsi="宋体"/>
          <w:sz w:val="24"/>
          <w:szCs w:val="24"/>
        </w:rPr>
      </w:pPr>
      <w:r>
        <w:rPr>
          <w:rFonts w:hint="eastAsia" w:ascii="宋体" w:hAnsi="宋体"/>
          <w:sz w:val="24"/>
          <w:szCs w:val="24"/>
        </w:rPr>
        <w:t>1、</w:t>
      </w:r>
      <w:r>
        <w:rPr>
          <w:rFonts w:ascii="宋体" w:hAnsi="宋体"/>
          <w:sz w:val="24"/>
          <w:szCs w:val="24"/>
        </w:rPr>
        <w:t>审查代码中是否存在LDAP注入漏洞、XPATH注入漏洞、SMTP注入漏洞、XSS漏洞、SQL注入漏洞、命令行注入漏洞、敏感信息泄露等。</w:t>
      </w:r>
    </w:p>
    <w:p>
      <w:pPr>
        <w:spacing w:line="360" w:lineRule="auto"/>
        <w:ind w:firstLine="645"/>
        <w:rPr>
          <w:rFonts w:ascii="宋体" w:hAnsi="宋体"/>
          <w:sz w:val="24"/>
          <w:szCs w:val="24"/>
        </w:rPr>
      </w:pPr>
      <w:r>
        <w:rPr>
          <w:rFonts w:hint="eastAsia" w:ascii="宋体" w:hAnsi="宋体"/>
          <w:sz w:val="24"/>
          <w:szCs w:val="24"/>
        </w:rPr>
        <w:t>2、</w:t>
      </w:r>
      <w:r>
        <w:rPr>
          <w:rFonts w:ascii="宋体" w:hAnsi="宋体"/>
          <w:sz w:val="24"/>
          <w:szCs w:val="24"/>
        </w:rPr>
        <w:t>审查下载代码中是否存在路径遍历漏洞下载敏感信息。</w:t>
      </w:r>
    </w:p>
    <w:p>
      <w:pPr>
        <w:spacing w:line="360" w:lineRule="auto"/>
        <w:ind w:firstLine="645"/>
        <w:rPr>
          <w:rFonts w:ascii="宋体" w:hAnsi="宋体"/>
          <w:sz w:val="24"/>
          <w:szCs w:val="24"/>
        </w:rPr>
      </w:pPr>
      <w:r>
        <w:rPr>
          <w:rFonts w:hint="eastAsia" w:ascii="宋体" w:hAnsi="宋体"/>
          <w:sz w:val="24"/>
          <w:szCs w:val="24"/>
        </w:rPr>
        <w:t>3、</w:t>
      </w:r>
      <w:r>
        <w:rPr>
          <w:rFonts w:ascii="宋体" w:hAnsi="宋体"/>
          <w:sz w:val="24"/>
          <w:szCs w:val="24"/>
        </w:rPr>
        <w:t>审查上传代码中是否对后门脚本进行检测。</w:t>
      </w:r>
    </w:p>
    <w:p>
      <w:pPr>
        <w:spacing w:line="360" w:lineRule="auto"/>
        <w:ind w:firstLine="645"/>
        <w:rPr>
          <w:rFonts w:ascii="宋体" w:hAnsi="宋体"/>
          <w:sz w:val="24"/>
          <w:szCs w:val="24"/>
        </w:rPr>
      </w:pPr>
      <w:r>
        <w:rPr>
          <w:rFonts w:hint="eastAsia" w:ascii="宋体" w:hAnsi="宋体"/>
          <w:sz w:val="24"/>
          <w:szCs w:val="24"/>
        </w:rPr>
        <w:t>4、</w:t>
      </w:r>
      <w:r>
        <w:rPr>
          <w:rFonts w:ascii="宋体" w:hAnsi="宋体"/>
          <w:sz w:val="24"/>
          <w:szCs w:val="24"/>
        </w:rPr>
        <w:t>检测代码中是否能正确的释放不必要的资源。</w:t>
      </w:r>
    </w:p>
    <w:p>
      <w:pPr>
        <w:spacing w:line="360" w:lineRule="auto"/>
        <w:ind w:firstLine="645"/>
        <w:rPr>
          <w:rFonts w:ascii="宋体" w:hAnsi="宋体"/>
          <w:sz w:val="24"/>
          <w:szCs w:val="24"/>
        </w:rPr>
      </w:pPr>
      <w:r>
        <w:rPr>
          <w:rFonts w:hint="eastAsia" w:ascii="宋体" w:hAnsi="宋体"/>
          <w:sz w:val="24"/>
          <w:szCs w:val="24"/>
        </w:rPr>
        <w:t>5、</w:t>
      </w:r>
      <w:r>
        <w:rPr>
          <w:rFonts w:ascii="宋体" w:hAnsi="宋体"/>
          <w:sz w:val="24"/>
          <w:szCs w:val="24"/>
        </w:rPr>
        <w:t>检测代码中是否留有后门。</w:t>
      </w:r>
    </w:p>
    <w:p>
      <w:pPr>
        <w:spacing w:line="360" w:lineRule="auto"/>
        <w:rPr>
          <w:rFonts w:ascii="宋体" w:hAnsi="宋体"/>
          <w:sz w:val="24"/>
          <w:szCs w:val="24"/>
        </w:rPr>
      </w:pPr>
      <w:r>
        <w:rPr>
          <w:rFonts w:hint="eastAsia" w:ascii="宋体" w:hAnsi="宋体"/>
          <w:b/>
          <w:sz w:val="24"/>
          <w:szCs w:val="24"/>
        </w:rPr>
        <w:t>2.</w:t>
      </w:r>
      <w:r>
        <w:rPr>
          <w:rFonts w:ascii="宋体" w:hAnsi="宋体"/>
          <w:b/>
          <w:sz w:val="24"/>
          <w:szCs w:val="24"/>
        </w:rPr>
        <w:t>3</w:t>
      </w:r>
      <w:r>
        <w:rPr>
          <w:rFonts w:hint="eastAsia" w:ascii="宋体" w:hAnsi="宋体"/>
          <w:b/>
          <w:sz w:val="24"/>
          <w:szCs w:val="24"/>
        </w:rPr>
        <w:t>.2渗透测试服务</w:t>
      </w:r>
    </w:p>
    <w:p>
      <w:pPr>
        <w:spacing w:line="360" w:lineRule="auto"/>
        <w:ind w:firstLine="645"/>
        <w:rPr>
          <w:rFonts w:ascii="宋体" w:hAnsi="宋体"/>
          <w:sz w:val="24"/>
          <w:szCs w:val="24"/>
        </w:rPr>
      </w:pPr>
      <w:r>
        <w:rPr>
          <w:rFonts w:hint="eastAsia" w:ascii="宋体" w:hAnsi="宋体"/>
          <w:sz w:val="24"/>
          <w:szCs w:val="24"/>
        </w:rPr>
        <w:t>针对新上线的信息系统进行渗透测试，测试应采用手工方式和安全检测工具，模拟黑客的攻击方法对目标系统的技术弱点、缺陷或漏洞进行可控的非破坏性攻击测试，并提供渗透测试报告，通过该项测试可以清晰知晓目标系统中存在的安全隐患，并指导应用开发单位进行安全修复整改。</w:t>
      </w:r>
    </w:p>
    <w:p>
      <w:pPr>
        <w:spacing w:line="360" w:lineRule="auto"/>
        <w:ind w:firstLine="645"/>
        <w:rPr>
          <w:rFonts w:ascii="宋体" w:hAnsi="宋体"/>
          <w:sz w:val="24"/>
          <w:szCs w:val="24"/>
        </w:rPr>
      </w:pPr>
      <w:r>
        <w:rPr>
          <w:rFonts w:hint="eastAsia" w:ascii="宋体" w:hAnsi="宋体"/>
          <w:sz w:val="24"/>
          <w:szCs w:val="24"/>
        </w:rPr>
        <w:t>渗透测试主要内容应包括：</w:t>
      </w:r>
    </w:p>
    <w:p>
      <w:pPr>
        <w:spacing w:line="360" w:lineRule="auto"/>
        <w:ind w:firstLine="645"/>
        <w:rPr>
          <w:rFonts w:ascii="宋体" w:hAnsi="宋体"/>
          <w:sz w:val="24"/>
          <w:szCs w:val="24"/>
        </w:rPr>
      </w:pPr>
      <w:r>
        <w:rPr>
          <w:rFonts w:hint="eastAsia" w:ascii="宋体" w:hAnsi="宋体"/>
          <w:sz w:val="24"/>
          <w:szCs w:val="24"/>
        </w:rPr>
        <w:t>1、信息收集，通过</w:t>
      </w:r>
      <w:r>
        <w:rPr>
          <w:rFonts w:ascii="宋体" w:hAnsi="宋体"/>
          <w:sz w:val="24"/>
          <w:szCs w:val="24"/>
        </w:rPr>
        <w:t>主机网络扫描、操作类型判别、应用判别、账号扫描、配置判别等</w:t>
      </w:r>
      <w:r>
        <w:rPr>
          <w:rFonts w:hint="eastAsia" w:ascii="宋体" w:hAnsi="宋体"/>
          <w:sz w:val="24"/>
          <w:szCs w:val="24"/>
        </w:rPr>
        <w:t>方式尽可能收集信息。</w:t>
      </w:r>
    </w:p>
    <w:p>
      <w:pPr>
        <w:spacing w:line="360" w:lineRule="auto"/>
        <w:ind w:firstLine="645"/>
        <w:rPr>
          <w:rFonts w:ascii="宋体" w:hAnsi="宋体"/>
          <w:sz w:val="24"/>
          <w:szCs w:val="24"/>
        </w:rPr>
      </w:pPr>
      <w:r>
        <w:rPr>
          <w:rFonts w:hint="eastAsia" w:ascii="宋体" w:hAnsi="宋体"/>
          <w:sz w:val="24"/>
          <w:szCs w:val="24"/>
        </w:rPr>
        <w:t>2、端口扫描，通过端口扫描方式，确定所开放的服务数量与类型。</w:t>
      </w:r>
    </w:p>
    <w:p>
      <w:pPr>
        <w:spacing w:line="360" w:lineRule="auto"/>
        <w:ind w:firstLine="645"/>
        <w:rPr>
          <w:rFonts w:ascii="宋体" w:hAnsi="宋体"/>
          <w:sz w:val="24"/>
          <w:szCs w:val="24"/>
        </w:rPr>
      </w:pPr>
      <w:r>
        <w:rPr>
          <w:rFonts w:hint="eastAsia" w:ascii="宋体" w:hAnsi="宋体"/>
          <w:sz w:val="24"/>
          <w:szCs w:val="24"/>
        </w:rPr>
        <w:t>3、权限提升，探测并尝试权限提升的可能性。</w:t>
      </w:r>
    </w:p>
    <w:p>
      <w:pPr>
        <w:spacing w:line="360" w:lineRule="auto"/>
        <w:ind w:firstLine="645"/>
        <w:rPr>
          <w:rFonts w:ascii="宋体" w:hAnsi="宋体"/>
          <w:sz w:val="24"/>
          <w:szCs w:val="24"/>
        </w:rPr>
      </w:pPr>
      <w:r>
        <w:rPr>
          <w:rFonts w:ascii="宋体" w:hAnsi="宋体"/>
          <w:sz w:val="24"/>
          <w:szCs w:val="24"/>
        </w:rPr>
        <w:t>4</w:t>
      </w:r>
      <w:r>
        <w:rPr>
          <w:rFonts w:hint="eastAsia" w:ascii="宋体" w:hAnsi="宋体"/>
          <w:sz w:val="24"/>
          <w:szCs w:val="24"/>
        </w:rPr>
        <w:t>、Web应用测试，检查应用系统架构、身份认证模块、数据库接口模块、文件接口模块等Web系统基础框架及模块安全性。</w:t>
      </w:r>
    </w:p>
    <w:p>
      <w:pPr>
        <w:spacing w:line="360" w:lineRule="auto"/>
        <w:ind w:firstLine="645"/>
        <w:rPr>
          <w:rFonts w:ascii="宋体" w:hAnsi="宋体"/>
          <w:sz w:val="24"/>
          <w:szCs w:val="24"/>
        </w:rPr>
      </w:pPr>
      <w:r>
        <w:rPr>
          <w:rFonts w:ascii="宋体" w:hAnsi="宋体"/>
          <w:sz w:val="24"/>
          <w:szCs w:val="24"/>
        </w:rPr>
        <w:t>5</w:t>
      </w:r>
      <w:r>
        <w:rPr>
          <w:rFonts w:hint="eastAsia" w:ascii="宋体" w:hAnsi="宋体"/>
          <w:sz w:val="24"/>
          <w:szCs w:val="24"/>
        </w:rPr>
        <w:t>、安全漏洞测试，如SQL注入、XSS、文件上传漏洞、远程执行等常见或热点安全漏洞进行测试。</w:t>
      </w:r>
    </w:p>
    <w:p>
      <w:pPr>
        <w:spacing w:line="360" w:lineRule="auto"/>
        <w:ind w:firstLine="645"/>
        <w:rPr>
          <w:rFonts w:ascii="宋体" w:hAnsi="宋体"/>
          <w:sz w:val="24"/>
          <w:szCs w:val="24"/>
        </w:rPr>
      </w:pPr>
      <w:r>
        <w:rPr>
          <w:rFonts w:ascii="宋体" w:hAnsi="宋体"/>
          <w:sz w:val="24"/>
          <w:szCs w:val="24"/>
        </w:rPr>
        <w:t>6</w:t>
      </w:r>
      <w:r>
        <w:rPr>
          <w:rFonts w:hint="eastAsia" w:ascii="宋体" w:hAnsi="宋体"/>
          <w:sz w:val="24"/>
          <w:szCs w:val="24"/>
        </w:rPr>
        <w:t>、业务逻辑安全测试，测试业务逻辑是否与系统设计逻辑相符，尝试绕过设计逻辑。</w:t>
      </w:r>
    </w:p>
    <w:p>
      <w:pPr>
        <w:rPr>
          <w:rFonts w:ascii="宋体" w:hAnsi="宋体"/>
          <w:b/>
          <w:sz w:val="24"/>
          <w:szCs w:val="24"/>
        </w:rPr>
      </w:pPr>
      <w:r>
        <w:rPr>
          <w:rFonts w:hint="eastAsia" w:ascii="宋体" w:hAnsi="宋体"/>
          <w:b/>
          <w:sz w:val="24"/>
          <w:szCs w:val="24"/>
        </w:rPr>
        <w:t>2.</w:t>
      </w:r>
      <w:r>
        <w:rPr>
          <w:rFonts w:ascii="宋体" w:hAnsi="宋体"/>
          <w:b/>
          <w:sz w:val="24"/>
          <w:szCs w:val="24"/>
        </w:rPr>
        <w:t>4</w:t>
      </w:r>
      <w:r>
        <w:rPr>
          <w:rFonts w:hint="eastAsia" w:ascii="宋体" w:hAnsi="宋体"/>
          <w:b/>
          <w:sz w:val="24"/>
          <w:szCs w:val="24"/>
        </w:rPr>
        <w:t>主机漏洞检测服务</w:t>
      </w:r>
    </w:p>
    <w:p>
      <w:pPr>
        <w:spacing w:line="360" w:lineRule="auto"/>
        <w:ind w:firstLine="645"/>
        <w:rPr>
          <w:rFonts w:ascii="宋体" w:hAnsi="宋体"/>
          <w:sz w:val="24"/>
          <w:szCs w:val="24"/>
        </w:rPr>
      </w:pPr>
      <w:r>
        <w:rPr>
          <w:rFonts w:hint="eastAsia" w:ascii="宋体" w:hAnsi="宋体"/>
          <w:sz w:val="24"/>
          <w:szCs w:val="24"/>
        </w:rPr>
        <w:t>通过专业工具对新上线系统中所使用的主机、数据库、中间件等进行漏洞检测扫描，并对扫描结果进行人工分析验证，提供主机漏洞检测报告及漏洞修复建议和方案。</w:t>
      </w:r>
    </w:p>
    <w:p>
      <w:pPr>
        <w:rPr>
          <w:rFonts w:ascii="宋体" w:hAnsi="宋体"/>
          <w:b/>
          <w:sz w:val="24"/>
          <w:szCs w:val="24"/>
        </w:rPr>
      </w:pPr>
      <w:r>
        <w:rPr>
          <w:rFonts w:hint="eastAsia" w:ascii="宋体" w:hAnsi="宋体"/>
          <w:b/>
          <w:sz w:val="24"/>
          <w:szCs w:val="24"/>
        </w:rPr>
        <w:t>2</w:t>
      </w:r>
      <w:r>
        <w:rPr>
          <w:rFonts w:ascii="宋体" w:hAnsi="宋体"/>
          <w:b/>
          <w:sz w:val="24"/>
          <w:szCs w:val="24"/>
        </w:rPr>
        <w:t>.5</w:t>
      </w:r>
      <w:r>
        <w:rPr>
          <w:rFonts w:hint="eastAsia" w:ascii="宋体" w:hAnsi="宋体"/>
          <w:b/>
          <w:sz w:val="24"/>
          <w:szCs w:val="24"/>
        </w:rPr>
        <w:t>行业安全基线检测服务</w:t>
      </w:r>
    </w:p>
    <w:p>
      <w:pPr>
        <w:spacing w:line="360" w:lineRule="auto"/>
        <w:ind w:firstLine="645"/>
        <w:rPr>
          <w:rFonts w:ascii="宋体" w:hAnsi="宋体"/>
          <w:sz w:val="24"/>
          <w:szCs w:val="24"/>
        </w:rPr>
      </w:pPr>
      <w:r>
        <w:rPr>
          <w:rFonts w:hint="eastAsia" w:ascii="宋体" w:hAnsi="宋体"/>
          <w:sz w:val="24"/>
          <w:szCs w:val="24"/>
        </w:rPr>
        <w:t>对照行业基线要求对新上线系统进行安全评估并提供上线前的安全建议。</w:t>
      </w:r>
    </w:p>
    <w:p>
      <w:pPr>
        <w:rPr>
          <w:rFonts w:ascii="宋体" w:hAnsi="宋体"/>
          <w:b/>
          <w:sz w:val="24"/>
          <w:szCs w:val="24"/>
        </w:rPr>
      </w:pPr>
      <w:r>
        <w:rPr>
          <w:rFonts w:hint="eastAsia" w:ascii="宋体" w:hAnsi="宋体"/>
          <w:b/>
          <w:sz w:val="24"/>
          <w:szCs w:val="24"/>
        </w:rPr>
        <w:t>3.服务标准</w:t>
      </w:r>
    </w:p>
    <w:p>
      <w:pPr>
        <w:rPr>
          <w:rFonts w:ascii="宋体" w:hAnsi="宋体"/>
          <w:b/>
          <w:sz w:val="24"/>
          <w:szCs w:val="24"/>
        </w:rPr>
      </w:pPr>
      <w:r>
        <w:rPr>
          <w:rFonts w:hint="eastAsia" w:ascii="宋体" w:hAnsi="宋体"/>
          <w:b/>
          <w:sz w:val="24"/>
          <w:szCs w:val="24"/>
        </w:rPr>
        <w:t>3.1人员要求</w:t>
      </w:r>
    </w:p>
    <w:p>
      <w:pPr>
        <w:spacing w:line="360" w:lineRule="auto"/>
        <w:ind w:firstLine="645"/>
        <w:rPr>
          <w:rFonts w:ascii="宋体" w:hAnsi="宋体"/>
          <w:sz w:val="24"/>
          <w:szCs w:val="24"/>
        </w:rPr>
      </w:pPr>
      <w:r>
        <w:rPr>
          <w:rFonts w:hint="eastAsia" w:ascii="宋体" w:hAnsi="宋体"/>
          <w:sz w:val="24"/>
          <w:szCs w:val="24"/>
        </w:rPr>
        <w:t>日常安全专员要求：1名熟悉烟草行业网络的安全运维工程师，提供5*8小时远程值守服务（周末如有需要，需无条件按照市公司安排开展工作），需要持有注册信息安全工程师证书。</w:t>
      </w:r>
    </w:p>
    <w:p>
      <w:pPr>
        <w:spacing w:line="360" w:lineRule="auto"/>
        <w:ind w:firstLine="645"/>
        <w:rPr>
          <w:rFonts w:ascii="宋体" w:hAnsi="宋体"/>
          <w:sz w:val="24"/>
          <w:szCs w:val="24"/>
        </w:rPr>
      </w:pPr>
      <w:r>
        <w:rPr>
          <w:rFonts w:hint="eastAsia" w:ascii="宋体" w:hAnsi="宋体"/>
          <w:sz w:val="24"/>
          <w:szCs w:val="24"/>
        </w:rPr>
        <w:t>项目技术负责人应具备丰富的安全服务经验，能够满足项目交付过程中出现的各类网络、系统、数据库及应用问题，并可独立开展渗透测试、源代码审计、</w:t>
      </w:r>
      <w:r>
        <w:rPr>
          <w:rFonts w:ascii="宋体" w:hAnsi="宋体"/>
          <w:sz w:val="24"/>
          <w:szCs w:val="24"/>
        </w:rPr>
        <w:t>APP安全测试、安全分析、安全响应、IT安全审计、安全管理咨询的能力。</w:t>
      </w:r>
      <w:r>
        <w:rPr>
          <w:rFonts w:hint="eastAsia" w:ascii="宋体" w:hAnsi="宋体"/>
          <w:sz w:val="24"/>
          <w:szCs w:val="24"/>
        </w:rPr>
        <w:t>除具备CISP或CISSP证书基础之上，在网络方面，应具备CCIE或HCIE证书；在数据库方面，应具备OCP或</w:t>
      </w:r>
      <w:r>
        <w:rPr>
          <w:rFonts w:ascii="宋体" w:hAnsi="宋体"/>
          <w:sz w:val="24"/>
          <w:szCs w:val="24"/>
        </w:rPr>
        <w:t>OCM</w:t>
      </w:r>
      <w:r>
        <w:rPr>
          <w:rFonts w:hint="eastAsia" w:ascii="宋体" w:hAnsi="宋体"/>
          <w:sz w:val="24"/>
          <w:szCs w:val="24"/>
        </w:rPr>
        <w:t>证书；在操作系统方面，应具备RHCE或RHCA证书。</w:t>
      </w:r>
    </w:p>
    <w:p>
      <w:pPr>
        <w:spacing w:line="360" w:lineRule="auto"/>
        <w:ind w:firstLine="645"/>
        <w:rPr>
          <w:rFonts w:ascii="宋体" w:hAnsi="宋体"/>
          <w:sz w:val="24"/>
          <w:szCs w:val="24"/>
        </w:rPr>
      </w:pPr>
      <w:r>
        <w:rPr>
          <w:rFonts w:hint="eastAsia" w:ascii="宋体" w:hAnsi="宋体"/>
          <w:sz w:val="24"/>
          <w:szCs w:val="24"/>
        </w:rPr>
        <w:t>服务支撑人员应至少</w:t>
      </w:r>
      <w:r>
        <w:rPr>
          <w:rFonts w:ascii="宋体" w:hAnsi="宋体"/>
          <w:sz w:val="24"/>
          <w:szCs w:val="24"/>
        </w:rPr>
        <w:t>1名具备安全管理咨询能力，具备国家注册信息安全人员（CISP）资格证书，并拥有ISACA颁发的CISA证书</w:t>
      </w:r>
      <w:r>
        <w:rPr>
          <w:rFonts w:hint="eastAsia" w:ascii="宋体" w:hAnsi="宋体"/>
          <w:sz w:val="24"/>
          <w:szCs w:val="24"/>
        </w:rPr>
        <w:t>。</w:t>
      </w:r>
    </w:p>
    <w:p>
      <w:pPr>
        <w:spacing w:line="360" w:lineRule="auto"/>
        <w:ind w:firstLine="645"/>
        <w:rPr>
          <w:rFonts w:ascii="宋体" w:hAnsi="宋体"/>
          <w:sz w:val="24"/>
          <w:szCs w:val="24"/>
        </w:rPr>
      </w:pPr>
      <w:r>
        <w:rPr>
          <w:rFonts w:hint="eastAsia" w:ascii="宋体" w:hAnsi="宋体"/>
          <w:sz w:val="24"/>
          <w:szCs w:val="24"/>
        </w:rPr>
        <w:t>服务支撑人员应至少</w:t>
      </w:r>
      <w:r>
        <w:rPr>
          <w:rFonts w:ascii="宋体" w:hAnsi="宋体"/>
          <w:sz w:val="24"/>
          <w:szCs w:val="24"/>
        </w:rPr>
        <w:t>1名具备渗透测试能力，获得各大SRC颁发的荣誉证书，如阿里巴巴SRC、腾讯SRC、百度SRC，具备OCP或OCM证书</w:t>
      </w:r>
      <w:r>
        <w:rPr>
          <w:rFonts w:hint="eastAsia" w:ascii="宋体" w:hAnsi="宋体"/>
          <w:sz w:val="24"/>
          <w:szCs w:val="24"/>
        </w:rPr>
        <w:t>。</w:t>
      </w:r>
    </w:p>
    <w:p>
      <w:pPr>
        <w:rPr>
          <w:rFonts w:ascii="宋体" w:hAnsi="宋体"/>
          <w:b/>
          <w:sz w:val="24"/>
          <w:szCs w:val="24"/>
        </w:rPr>
      </w:pPr>
      <w:r>
        <w:rPr>
          <w:rFonts w:hint="eastAsia" w:ascii="宋体" w:hAnsi="宋体"/>
          <w:b/>
          <w:sz w:val="24"/>
          <w:szCs w:val="24"/>
        </w:rPr>
        <w:t>3.2服务方式</w:t>
      </w:r>
    </w:p>
    <w:p>
      <w:pPr>
        <w:spacing w:line="360" w:lineRule="auto"/>
        <w:ind w:firstLine="645"/>
        <w:rPr>
          <w:rFonts w:ascii="宋体" w:hAnsi="宋体"/>
          <w:sz w:val="24"/>
          <w:szCs w:val="24"/>
        </w:rPr>
      </w:pPr>
      <w:r>
        <w:rPr>
          <w:rFonts w:hint="eastAsia" w:ascii="宋体" w:hAnsi="宋体"/>
          <w:sz w:val="24"/>
          <w:szCs w:val="24"/>
        </w:rPr>
        <w:t>安全服务工作需要远程人员工作日每天对全市的安全设备进行监测，每月对全市安全设备日志进行分析，每季度对市公司本部信息系统通过工具进行扫描，提供对市局（公司）系统进行现场应急安全服务、分析全市网络安全运行情况。安全检查期间配合市公司准备迎检材料、配合市公司制定和开展全市网络安全检查工作、重大活动和病毒爆发期间提供安全预警和保障服务。</w:t>
      </w:r>
    </w:p>
    <w:p>
      <w:pPr>
        <w:spacing w:line="360" w:lineRule="auto"/>
        <w:ind w:firstLine="645"/>
        <w:rPr>
          <w:rFonts w:ascii="宋体" w:hAnsi="宋体"/>
          <w:sz w:val="24"/>
          <w:szCs w:val="24"/>
        </w:rPr>
      </w:pPr>
      <w:r>
        <w:rPr>
          <w:rFonts w:hint="eastAsia" w:ascii="宋体" w:hAnsi="宋体"/>
          <w:sz w:val="24"/>
          <w:szCs w:val="24"/>
        </w:rPr>
        <w:t>安全服务团队需要在市公司有新上线系统的时候提供源代码审计、渗透测试、漏洞扫描服务，并对现场安全运维工程师提供技术支撑。</w:t>
      </w:r>
    </w:p>
    <w:p>
      <w:pPr>
        <w:spacing w:line="360" w:lineRule="auto"/>
        <w:ind w:firstLine="645"/>
        <w:rPr>
          <w:rFonts w:ascii="宋体" w:hAnsi="宋体"/>
          <w:sz w:val="24"/>
          <w:szCs w:val="24"/>
        </w:rPr>
      </w:pPr>
      <w:r>
        <w:rPr>
          <w:rFonts w:hint="eastAsia" w:ascii="宋体" w:hAnsi="宋体"/>
          <w:sz w:val="24"/>
          <w:szCs w:val="24"/>
        </w:rPr>
        <w:t>每年9-10月需安排一名信息安全专家到市公司现场进行安全培训。</w:t>
      </w:r>
    </w:p>
    <w:p>
      <w:pPr>
        <w:rPr>
          <w:rFonts w:ascii="宋体" w:hAnsi="宋体"/>
          <w:b/>
          <w:sz w:val="24"/>
          <w:szCs w:val="24"/>
        </w:rPr>
      </w:pPr>
      <w:r>
        <w:rPr>
          <w:rFonts w:hint="eastAsia" w:ascii="宋体" w:hAnsi="宋体"/>
          <w:b/>
          <w:sz w:val="24"/>
          <w:szCs w:val="24"/>
        </w:rPr>
        <w:t>3.3安全服务输出-服务报告</w:t>
      </w:r>
    </w:p>
    <w:p>
      <w:pPr>
        <w:spacing w:line="360" w:lineRule="auto"/>
        <w:ind w:firstLine="645"/>
        <w:rPr>
          <w:rFonts w:ascii="宋体" w:hAnsi="宋体"/>
          <w:sz w:val="24"/>
          <w:szCs w:val="24"/>
        </w:rPr>
      </w:pPr>
      <w:r>
        <w:rPr>
          <w:rFonts w:hint="eastAsia" w:ascii="宋体" w:hAnsi="宋体"/>
          <w:sz w:val="24"/>
          <w:szCs w:val="24"/>
        </w:rPr>
        <w:t>安全驻场运维服务</w:t>
      </w:r>
    </w:p>
    <w:p>
      <w:pPr>
        <w:spacing w:line="360" w:lineRule="auto"/>
        <w:ind w:firstLine="645"/>
        <w:rPr>
          <w:rFonts w:ascii="宋体" w:hAnsi="宋体"/>
          <w:sz w:val="24"/>
          <w:szCs w:val="24"/>
        </w:rPr>
      </w:pPr>
      <w:r>
        <w:rPr>
          <w:rFonts w:hint="eastAsia" w:ascii="宋体" w:hAnsi="宋体"/>
          <w:sz w:val="24"/>
          <w:szCs w:val="24"/>
        </w:rPr>
        <w:t>每周提交《潜江市烟草公司安全周报》，每月提交《系统运行月维护报告》，每季度提交《潜江市烟草公司信息系统漏洞扫描报告》、每年提交《中潜江市烟草公司信息系统年度网络安全运行情况报告》。</w:t>
      </w:r>
    </w:p>
    <w:p>
      <w:pPr>
        <w:spacing w:line="360" w:lineRule="auto"/>
        <w:ind w:firstLine="645"/>
        <w:rPr>
          <w:rFonts w:ascii="宋体" w:hAnsi="宋体"/>
          <w:sz w:val="24"/>
          <w:szCs w:val="24"/>
        </w:rPr>
      </w:pPr>
      <w:r>
        <w:rPr>
          <w:rFonts w:hint="eastAsia" w:ascii="宋体" w:hAnsi="宋体"/>
          <w:sz w:val="24"/>
          <w:szCs w:val="24"/>
        </w:rPr>
        <w:t>外网监测服务</w:t>
      </w:r>
    </w:p>
    <w:p>
      <w:pPr>
        <w:spacing w:line="360" w:lineRule="auto"/>
        <w:ind w:firstLine="645"/>
        <w:rPr>
          <w:rFonts w:ascii="宋体" w:hAnsi="宋体"/>
          <w:sz w:val="24"/>
          <w:szCs w:val="24"/>
        </w:rPr>
      </w:pPr>
      <w:r>
        <w:rPr>
          <w:rFonts w:hint="eastAsia" w:ascii="宋体" w:hAnsi="宋体"/>
          <w:sz w:val="24"/>
          <w:szCs w:val="24"/>
        </w:rPr>
        <w:t>每月提交《潜江市烟草公司信息系统外网系统监测月报》。</w:t>
      </w:r>
    </w:p>
    <w:p>
      <w:pPr>
        <w:spacing w:line="360" w:lineRule="auto"/>
        <w:ind w:firstLine="645"/>
        <w:rPr>
          <w:rFonts w:ascii="宋体" w:hAnsi="宋体"/>
          <w:sz w:val="24"/>
          <w:szCs w:val="24"/>
        </w:rPr>
      </w:pPr>
      <w:r>
        <w:rPr>
          <w:rFonts w:hint="eastAsia" w:ascii="宋体" w:hAnsi="宋体"/>
          <w:sz w:val="24"/>
          <w:szCs w:val="24"/>
        </w:rPr>
        <w:t>新上线系统安全评估服务</w:t>
      </w:r>
    </w:p>
    <w:p>
      <w:pPr>
        <w:spacing w:line="360" w:lineRule="auto"/>
        <w:ind w:firstLine="645"/>
        <w:rPr>
          <w:rFonts w:ascii="宋体" w:hAnsi="宋体"/>
          <w:sz w:val="24"/>
          <w:szCs w:val="24"/>
        </w:rPr>
      </w:pPr>
      <w:r>
        <w:rPr>
          <w:rFonts w:hint="eastAsia" w:ascii="宋体" w:hAnsi="宋体"/>
          <w:sz w:val="24"/>
          <w:szCs w:val="24"/>
        </w:rPr>
        <w:t>在新系统上线前提供《X</w:t>
      </w:r>
      <w:r>
        <w:rPr>
          <w:rFonts w:ascii="宋体" w:hAnsi="宋体"/>
          <w:sz w:val="24"/>
          <w:szCs w:val="24"/>
        </w:rPr>
        <w:t>X</w:t>
      </w:r>
      <w:r>
        <w:rPr>
          <w:rFonts w:hint="eastAsia" w:ascii="宋体" w:hAnsi="宋体"/>
          <w:sz w:val="24"/>
          <w:szCs w:val="24"/>
        </w:rPr>
        <w:t>系统源代码审计报告》、《X</w:t>
      </w:r>
      <w:r>
        <w:rPr>
          <w:rFonts w:ascii="宋体" w:hAnsi="宋体"/>
          <w:sz w:val="24"/>
          <w:szCs w:val="24"/>
        </w:rPr>
        <w:t>X</w:t>
      </w:r>
      <w:r>
        <w:rPr>
          <w:rFonts w:hint="eastAsia" w:ascii="宋体" w:hAnsi="宋体"/>
          <w:sz w:val="24"/>
          <w:szCs w:val="24"/>
        </w:rPr>
        <w:t>系统渗透测试报告》、《X</w:t>
      </w:r>
      <w:r>
        <w:rPr>
          <w:rFonts w:ascii="宋体" w:hAnsi="宋体"/>
          <w:sz w:val="24"/>
          <w:szCs w:val="24"/>
        </w:rPr>
        <w:t>X</w:t>
      </w:r>
      <w:r>
        <w:rPr>
          <w:rFonts w:hint="eastAsia" w:ascii="宋体" w:hAnsi="宋体"/>
          <w:sz w:val="24"/>
          <w:szCs w:val="24"/>
        </w:rPr>
        <w:t>系统漏洞检测报告》、《X</w:t>
      </w:r>
      <w:r>
        <w:rPr>
          <w:rFonts w:ascii="宋体" w:hAnsi="宋体"/>
          <w:sz w:val="24"/>
          <w:szCs w:val="24"/>
        </w:rPr>
        <w:t>X</w:t>
      </w:r>
      <w:r>
        <w:rPr>
          <w:rFonts w:hint="eastAsia" w:ascii="宋体" w:hAnsi="宋体"/>
          <w:sz w:val="24"/>
          <w:szCs w:val="24"/>
        </w:rPr>
        <w:t>系统安全基线检查报告》。</w:t>
      </w: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b/>
          <w:bCs/>
          <w:sz w:val="24"/>
          <w:szCs w:val="24"/>
        </w:rPr>
      </w:pPr>
      <w:r>
        <w:rPr>
          <w:rFonts w:hint="eastAsia" w:ascii="宋体" w:hAnsi="宋体"/>
          <w:b/>
          <w:bCs/>
          <w:sz w:val="24"/>
          <w:szCs w:val="24"/>
        </w:rPr>
        <w:t>等级保护安全服务计划表</w:t>
      </w:r>
    </w:p>
    <w:p>
      <w:pPr>
        <w:jc w:val="center"/>
        <w:rPr>
          <w:rFonts w:hint="eastAsia" w:ascii="宋体" w:hAnsi="宋体"/>
          <w:sz w:val="24"/>
          <w:szCs w:val="24"/>
        </w:rPr>
      </w:pPr>
    </w:p>
    <w:tbl>
      <w:tblPr>
        <w:tblStyle w:val="14"/>
        <w:tblW w:w="94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2622"/>
        <w:gridCol w:w="1731"/>
        <w:gridCol w:w="1256"/>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服务类型</w:t>
            </w: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服务内容</w:t>
            </w:r>
          </w:p>
        </w:tc>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计划时间</w:t>
            </w:r>
          </w:p>
        </w:tc>
        <w:tc>
          <w:tcPr>
            <w:tcW w:w="1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服务方式</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提交内容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安全服务</w:t>
            </w: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安全设备运行监测</w:t>
            </w:r>
          </w:p>
        </w:tc>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每天</w:t>
            </w:r>
          </w:p>
        </w:tc>
        <w:tc>
          <w:tcPr>
            <w:tcW w:w="1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远程</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安全设备日志分析周报、月报、年度报告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主机安全漏洞扫描</w:t>
            </w:r>
          </w:p>
        </w:tc>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每季度</w:t>
            </w:r>
          </w:p>
        </w:tc>
        <w:tc>
          <w:tcPr>
            <w:tcW w:w="1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现场</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季度漏洞扫描报告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协助安全整改</w:t>
            </w:r>
          </w:p>
        </w:tc>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测评之后</w:t>
            </w:r>
          </w:p>
        </w:tc>
        <w:tc>
          <w:tcPr>
            <w:tcW w:w="125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现场</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安全保障</w:t>
            </w:r>
          </w:p>
        </w:tc>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不定期</w:t>
            </w:r>
          </w:p>
        </w:tc>
        <w:tc>
          <w:tcPr>
            <w:tcW w:w="1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现场</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安全检查迎检</w:t>
            </w:r>
          </w:p>
        </w:tc>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不定期</w:t>
            </w:r>
          </w:p>
        </w:tc>
        <w:tc>
          <w:tcPr>
            <w:tcW w:w="1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现场</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地市安全检查</w:t>
            </w:r>
          </w:p>
        </w:tc>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不定期</w:t>
            </w:r>
          </w:p>
        </w:tc>
        <w:tc>
          <w:tcPr>
            <w:tcW w:w="1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现场</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安全检查方案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防火墙安全监测服务</w:t>
            </w:r>
          </w:p>
        </w:tc>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每天</w:t>
            </w:r>
          </w:p>
        </w:tc>
        <w:tc>
          <w:tcPr>
            <w:tcW w:w="1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远程</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安全预警</w:t>
            </w:r>
          </w:p>
        </w:tc>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不定期</w:t>
            </w:r>
          </w:p>
        </w:tc>
        <w:tc>
          <w:tcPr>
            <w:tcW w:w="1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现场</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现场安全咨询服务</w:t>
            </w:r>
          </w:p>
        </w:tc>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每年1次</w:t>
            </w:r>
          </w:p>
        </w:tc>
        <w:tc>
          <w:tcPr>
            <w:tcW w:w="1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现场</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jc w:val="center"/>
        </w:trPr>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终端木马病毒防护</w:t>
            </w:r>
          </w:p>
        </w:tc>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每天</w:t>
            </w:r>
          </w:p>
        </w:tc>
        <w:tc>
          <w:tcPr>
            <w:tcW w:w="1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远程</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木马病毒处理反馈情况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信息安全培训</w:t>
            </w:r>
          </w:p>
        </w:tc>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每年9-10月</w:t>
            </w:r>
          </w:p>
        </w:tc>
        <w:tc>
          <w:tcPr>
            <w:tcW w:w="1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现场</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外网监测</w:t>
            </w: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外网应用监测</w:t>
            </w:r>
          </w:p>
        </w:tc>
        <w:tc>
          <w:tcPr>
            <w:tcW w:w="17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每月</w:t>
            </w:r>
          </w:p>
        </w:tc>
        <w:tc>
          <w:tcPr>
            <w:tcW w:w="1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远程</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外网监测月报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272" w:type="dxa"/>
            <w:vMerge w:val="restart"/>
            <w:tcBorders>
              <w:top w:val="single" w:color="auto" w:sz="4" w:space="0"/>
              <w:left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新上线系统安全评估</w:t>
            </w: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源代码审计</w:t>
            </w:r>
          </w:p>
        </w:tc>
        <w:tc>
          <w:tcPr>
            <w:tcW w:w="1731" w:type="dxa"/>
            <w:vMerge w:val="restart"/>
            <w:tcBorders>
              <w:top w:val="single" w:color="auto" w:sz="4" w:space="0"/>
              <w:left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新系统上线前</w:t>
            </w:r>
          </w:p>
        </w:tc>
        <w:tc>
          <w:tcPr>
            <w:tcW w:w="1256" w:type="dxa"/>
            <w:vMerge w:val="restart"/>
            <w:tcBorders>
              <w:top w:val="single" w:color="auto" w:sz="4" w:space="0"/>
              <w:left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现场</w:t>
            </w: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源代码审计报告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272" w:type="dxa"/>
            <w:vMerge w:val="continue"/>
            <w:tcBorders>
              <w:left w:val="single" w:color="auto" w:sz="4" w:space="0"/>
              <w:right w:val="single" w:color="auto" w:sz="4" w:space="0"/>
            </w:tcBorders>
            <w:vAlign w:val="center"/>
          </w:tcPr>
          <w:p>
            <w:pPr>
              <w:jc w:val="center"/>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渗透测试</w:t>
            </w:r>
          </w:p>
        </w:tc>
        <w:tc>
          <w:tcPr>
            <w:tcW w:w="1731" w:type="dxa"/>
            <w:vMerge w:val="continue"/>
            <w:tcBorders>
              <w:left w:val="single" w:color="auto" w:sz="4" w:space="0"/>
              <w:right w:val="single" w:color="auto" w:sz="4" w:space="0"/>
            </w:tcBorders>
            <w:vAlign w:val="center"/>
          </w:tcPr>
          <w:p>
            <w:pPr>
              <w:jc w:val="center"/>
              <w:rPr>
                <w:rFonts w:ascii="宋体" w:hAnsi="宋体"/>
                <w:sz w:val="24"/>
                <w:szCs w:val="24"/>
              </w:rPr>
            </w:pPr>
          </w:p>
        </w:tc>
        <w:tc>
          <w:tcPr>
            <w:tcW w:w="1256" w:type="dxa"/>
            <w:vMerge w:val="continue"/>
            <w:tcBorders>
              <w:left w:val="single" w:color="auto" w:sz="4" w:space="0"/>
              <w:right w:val="single" w:color="auto" w:sz="4" w:space="0"/>
            </w:tcBorders>
            <w:vAlign w:val="center"/>
          </w:tcPr>
          <w:p>
            <w:pPr>
              <w:jc w:val="center"/>
              <w:rPr>
                <w:rFonts w:ascii="宋体" w:hAnsi="宋体"/>
                <w:sz w:val="24"/>
                <w:szCs w:val="24"/>
              </w:rPr>
            </w:pP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渗透测试报告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272" w:type="dxa"/>
            <w:vMerge w:val="continue"/>
            <w:tcBorders>
              <w:left w:val="single" w:color="auto" w:sz="4" w:space="0"/>
              <w:right w:val="single" w:color="auto" w:sz="4" w:space="0"/>
            </w:tcBorders>
            <w:vAlign w:val="center"/>
          </w:tcPr>
          <w:p>
            <w:pPr>
              <w:jc w:val="center"/>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漏洞检测</w:t>
            </w:r>
          </w:p>
        </w:tc>
        <w:tc>
          <w:tcPr>
            <w:tcW w:w="1731" w:type="dxa"/>
            <w:vMerge w:val="continue"/>
            <w:tcBorders>
              <w:left w:val="single" w:color="auto" w:sz="4" w:space="0"/>
              <w:right w:val="single" w:color="auto" w:sz="4" w:space="0"/>
            </w:tcBorders>
            <w:vAlign w:val="center"/>
          </w:tcPr>
          <w:p>
            <w:pPr>
              <w:jc w:val="center"/>
              <w:rPr>
                <w:rFonts w:ascii="宋体" w:hAnsi="宋体"/>
                <w:sz w:val="24"/>
                <w:szCs w:val="24"/>
              </w:rPr>
            </w:pPr>
          </w:p>
        </w:tc>
        <w:tc>
          <w:tcPr>
            <w:tcW w:w="1256" w:type="dxa"/>
            <w:vMerge w:val="continue"/>
            <w:tcBorders>
              <w:left w:val="single" w:color="auto" w:sz="4" w:space="0"/>
              <w:right w:val="single" w:color="auto" w:sz="4" w:space="0"/>
            </w:tcBorders>
            <w:vAlign w:val="center"/>
          </w:tcPr>
          <w:p>
            <w:pPr>
              <w:jc w:val="center"/>
              <w:rPr>
                <w:rFonts w:ascii="宋体" w:hAnsi="宋体"/>
                <w:sz w:val="24"/>
                <w:szCs w:val="24"/>
              </w:rPr>
            </w:pP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漏洞检测报告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1272" w:type="dxa"/>
            <w:vMerge w:val="continue"/>
            <w:tcBorders>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安全基线检测</w:t>
            </w:r>
          </w:p>
        </w:tc>
        <w:tc>
          <w:tcPr>
            <w:tcW w:w="1731" w:type="dxa"/>
            <w:vMerge w:val="continue"/>
            <w:tcBorders>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256" w:type="dxa"/>
            <w:vMerge w:val="continue"/>
            <w:tcBorders>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25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安全基线检测报告</w:t>
            </w:r>
          </w:p>
        </w:tc>
      </w:tr>
    </w:tbl>
    <w:p/>
    <w:p>
      <w:pPr>
        <w:pStyle w:val="2"/>
        <w:jc w:val="center"/>
        <w:rPr>
          <w:rFonts w:ascii="黑体" w:hAnsi="黑体" w:eastAsia="黑体"/>
        </w:rPr>
      </w:pPr>
      <w:r>
        <w:rPr>
          <w:rFonts w:hint="eastAsia" w:ascii="黑体" w:hAnsi="黑体" w:eastAsia="黑体"/>
        </w:rPr>
        <w:t>第四章    资格审查方法及标准</w:t>
      </w:r>
      <w:bookmarkEnd w:id="40"/>
    </w:p>
    <w:p>
      <w:pPr>
        <w:spacing w:line="360" w:lineRule="auto"/>
        <w:ind w:firstLine="420"/>
        <w:rPr>
          <w:rFonts w:ascii="宋体" w:hAnsi="宋体" w:cs="Times New Roman"/>
          <w:bCs/>
          <w:color w:val="0D0D0D"/>
          <w:sz w:val="24"/>
          <w:szCs w:val="20"/>
        </w:rPr>
      </w:pPr>
      <w:r>
        <w:rPr>
          <w:rFonts w:hint="eastAsia" w:ascii="宋体" w:hAnsi="宋体" w:cs="Times New Roman"/>
          <w:bCs/>
          <w:color w:val="0D0D0D"/>
          <w:sz w:val="24"/>
          <w:szCs w:val="20"/>
        </w:rPr>
        <w:t>根据《政府采购法》、《政府采购法实施条例》、《政府采购货物和服务招标投标管理办法》等相关法律法规确定以下资格审查方法及标准。</w:t>
      </w:r>
    </w:p>
    <w:p>
      <w:pPr>
        <w:pStyle w:val="3"/>
        <w:numPr>
          <w:ilvl w:val="0"/>
          <w:numId w:val="36"/>
        </w:numPr>
        <w:spacing w:before="0" w:after="0" w:line="360" w:lineRule="auto"/>
        <w:ind w:left="616" w:hanging="616"/>
        <w:jc w:val="left"/>
        <w:rPr>
          <w:rFonts w:ascii="宋体" w:hAnsi="宋体" w:cs="Times New Roman"/>
          <w:bCs w:val="0"/>
          <w:sz w:val="30"/>
          <w:szCs w:val="30"/>
        </w:rPr>
      </w:pPr>
      <w:bookmarkStart w:id="41" w:name="_Toc497459190"/>
      <w:bookmarkStart w:id="42" w:name="_Toc494561958"/>
      <w:r>
        <w:rPr>
          <w:rFonts w:hint="eastAsia" w:ascii="宋体" w:hAnsi="宋体" w:cs="Times New Roman"/>
          <w:bCs w:val="0"/>
          <w:sz w:val="30"/>
          <w:szCs w:val="30"/>
        </w:rPr>
        <w:t>资格审查方法</w:t>
      </w:r>
      <w:bookmarkEnd w:id="41"/>
      <w:bookmarkEnd w:id="42"/>
    </w:p>
    <w:p>
      <w:pPr>
        <w:spacing w:line="360" w:lineRule="auto"/>
        <w:ind w:firstLine="420"/>
        <w:rPr>
          <w:rFonts w:ascii="宋体" w:hAnsi="宋体" w:cs="Times New Roman"/>
          <w:bCs/>
          <w:color w:val="0D0D0D"/>
          <w:sz w:val="24"/>
          <w:szCs w:val="20"/>
        </w:rPr>
      </w:pPr>
      <w:r>
        <w:rPr>
          <w:rFonts w:hint="eastAsia" w:ascii="宋体" w:hAnsi="宋体" w:cs="Times New Roman"/>
          <w:bCs/>
          <w:color w:val="0D0D0D"/>
          <w:sz w:val="24"/>
          <w:szCs w:val="20"/>
        </w:rPr>
        <w:t>公开招标采购项目开标结束后，采购人与代理采购机构成立资格审查小组，依据法律、法规及招标文件的规定，对投标人的资格进行审查，以确定投标人资格是否合格。</w:t>
      </w:r>
    </w:p>
    <w:p>
      <w:pPr>
        <w:pStyle w:val="3"/>
        <w:numPr>
          <w:ilvl w:val="0"/>
          <w:numId w:val="36"/>
        </w:numPr>
        <w:spacing w:before="0" w:after="0" w:line="360" w:lineRule="auto"/>
        <w:ind w:left="616" w:hanging="616"/>
        <w:jc w:val="left"/>
        <w:rPr>
          <w:rFonts w:ascii="宋体" w:hAnsi="宋体" w:cs="Times New Roman"/>
          <w:bCs w:val="0"/>
          <w:sz w:val="30"/>
          <w:szCs w:val="30"/>
        </w:rPr>
      </w:pPr>
      <w:bookmarkStart w:id="43" w:name="_Toc494561959"/>
      <w:bookmarkStart w:id="44" w:name="_Toc497459191"/>
      <w:r>
        <w:rPr>
          <w:rFonts w:hint="eastAsia" w:ascii="宋体" w:hAnsi="宋体" w:cs="Times New Roman"/>
          <w:bCs w:val="0"/>
          <w:sz w:val="30"/>
          <w:szCs w:val="30"/>
        </w:rPr>
        <w:t>资格审查标准</w:t>
      </w:r>
      <w:bookmarkEnd w:id="43"/>
      <w:bookmarkEnd w:id="44"/>
    </w:p>
    <w:p>
      <w:pPr>
        <w:numPr>
          <w:ilvl w:val="0"/>
          <w:numId w:val="37"/>
        </w:numPr>
        <w:tabs>
          <w:tab w:val="left" w:pos="616"/>
        </w:tabs>
        <w:spacing w:line="360" w:lineRule="auto"/>
        <w:ind w:left="14" w:firstLine="238"/>
        <w:rPr>
          <w:rFonts w:ascii="宋体" w:hAnsi="宋体" w:cs="Times New Roman"/>
          <w:b/>
          <w:sz w:val="24"/>
          <w:szCs w:val="24"/>
        </w:rPr>
      </w:pPr>
      <w:r>
        <w:rPr>
          <w:rFonts w:hint="eastAsia" w:ascii="宋体" w:hAnsi="宋体" w:cs="Times New Roman"/>
          <w:b/>
          <w:sz w:val="24"/>
          <w:szCs w:val="24"/>
        </w:rPr>
        <w:t>资格证明文件审查</w:t>
      </w:r>
    </w:p>
    <w:p>
      <w:pPr>
        <w:tabs>
          <w:tab w:val="left" w:pos="616"/>
        </w:tabs>
        <w:spacing w:line="360" w:lineRule="auto"/>
        <w:ind w:firstLine="420"/>
        <w:rPr>
          <w:rFonts w:ascii="Helvetica" w:hAnsi="Helvetica" w:cs="Helvetica"/>
          <w:b/>
          <w:color w:val="0D0D0D"/>
          <w:kern w:val="0"/>
          <w:sz w:val="24"/>
          <w:szCs w:val="24"/>
        </w:rPr>
      </w:pPr>
      <w:r>
        <w:rPr>
          <w:rFonts w:hint="eastAsia" w:ascii="Helvetica" w:hAnsi="Helvetica" w:cs="Helvetica"/>
          <w:color w:val="0D0D0D"/>
          <w:kern w:val="0"/>
          <w:sz w:val="24"/>
          <w:szCs w:val="24"/>
        </w:rPr>
        <w:t>所递交的资格证明文件出现不符合下列情形之一或不足以证明其符合下列情形之一的，应视为资格审查不合格，并按照</w:t>
      </w:r>
      <w:r>
        <w:rPr>
          <w:rFonts w:hint="eastAsia" w:ascii="Helvetica" w:hAnsi="Helvetica" w:cs="Helvetica"/>
          <w:b/>
          <w:color w:val="0D0D0D"/>
          <w:kern w:val="0"/>
          <w:sz w:val="24"/>
          <w:szCs w:val="24"/>
        </w:rPr>
        <w:t>无效投标处理：</w:t>
      </w:r>
    </w:p>
    <w:p>
      <w:pPr>
        <w:widowControl/>
        <w:spacing w:line="360" w:lineRule="auto"/>
        <w:rPr>
          <w:rFonts w:hint="eastAsia" w:ascii="宋体" w:hAnsi="宋体"/>
          <w:color w:val="000000"/>
          <w:sz w:val="24"/>
        </w:rPr>
      </w:pPr>
      <w:r>
        <w:rPr>
          <w:rFonts w:hint="eastAsia" w:ascii="宋体" w:hAnsi="宋体"/>
          <w:sz w:val="24"/>
          <w:lang w:val="en-US" w:eastAsia="zh-CN"/>
        </w:rPr>
        <w:t xml:space="preserve">   1</w:t>
      </w:r>
      <w:r>
        <w:rPr>
          <w:rFonts w:hint="eastAsia" w:ascii="宋体" w:hAnsi="宋体"/>
          <w:sz w:val="24"/>
        </w:rPr>
        <w:t>、</w:t>
      </w:r>
      <w:r>
        <w:rPr>
          <w:rFonts w:hint="eastAsia" w:ascii="宋体" w:hAnsi="宋体"/>
          <w:color w:val="000000"/>
          <w:sz w:val="24"/>
        </w:rPr>
        <w:t>投标人必须是在中国境内依法注册的法人、其他组织或者自然人</w:t>
      </w:r>
      <w:r>
        <w:rPr>
          <w:rFonts w:hint="eastAsia" w:ascii="宋体" w:hAnsi="宋体"/>
          <w:color w:val="000000"/>
          <w:sz w:val="24"/>
          <w:lang w:eastAsia="zh-CN"/>
        </w:rPr>
        <w:t>，依法成立五年（含）以上</w:t>
      </w:r>
      <w:r>
        <w:rPr>
          <w:rFonts w:hint="eastAsia" w:ascii="宋体" w:hAnsi="宋体"/>
          <w:color w:val="000000"/>
          <w:sz w:val="24"/>
        </w:rPr>
        <w:t>；</w:t>
      </w:r>
    </w:p>
    <w:p>
      <w:pPr>
        <w:widowControl/>
        <w:spacing w:line="360" w:lineRule="auto"/>
        <w:ind w:firstLine="482"/>
        <w:rPr>
          <w:rFonts w:ascii="宋体" w:hAnsi="宋体"/>
          <w:kern w:val="0"/>
          <w:sz w:val="24"/>
        </w:rPr>
      </w:pPr>
      <w:r>
        <w:rPr>
          <w:rFonts w:hint="eastAsia" w:ascii="宋体" w:hAnsi="宋体"/>
          <w:kern w:val="0"/>
          <w:sz w:val="24"/>
          <w:lang w:val="en-US" w:eastAsia="zh-CN"/>
        </w:rPr>
        <w:t>2</w:t>
      </w:r>
      <w:r>
        <w:rPr>
          <w:rFonts w:hint="eastAsia" w:ascii="宋体" w:hAnsi="宋体"/>
          <w:kern w:val="0"/>
          <w:sz w:val="24"/>
        </w:rPr>
        <w:t>、</w:t>
      </w:r>
      <w:r>
        <w:rPr>
          <w:rFonts w:ascii="宋体" w:hAnsi="宋体"/>
          <w:kern w:val="0"/>
          <w:sz w:val="24"/>
        </w:rPr>
        <w:t>应具备《中华人民共和国政府采购法》第二十二条规定的条件；</w:t>
      </w:r>
    </w:p>
    <w:p>
      <w:pPr>
        <w:widowControl/>
        <w:spacing w:line="360" w:lineRule="auto"/>
        <w:ind w:firstLine="480" w:firstLineChars="200"/>
        <w:rPr>
          <w:rFonts w:hint="eastAsia"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(1）具有独立承担民事责任的能力；</w:t>
      </w:r>
    </w:p>
    <w:p>
      <w:pPr>
        <w:widowControl/>
        <w:spacing w:line="360" w:lineRule="auto"/>
        <w:ind w:firstLine="720" w:firstLineChars="300"/>
        <w:rPr>
          <w:rFonts w:hint="eastAsia" w:ascii="宋体" w:hAnsi="宋体"/>
          <w:color w:val="000000"/>
          <w:sz w:val="24"/>
        </w:rPr>
      </w:pPr>
      <w:r>
        <w:rPr>
          <w:rFonts w:hint="eastAsia" w:ascii="宋体" w:hAnsi="宋体"/>
          <w:color w:val="000000"/>
          <w:sz w:val="24"/>
        </w:rPr>
        <w:t>(2）具有良好的商业信誉和健全的财务会计制度；</w:t>
      </w:r>
    </w:p>
    <w:p>
      <w:pPr>
        <w:widowControl/>
        <w:spacing w:line="360" w:lineRule="auto"/>
        <w:ind w:firstLine="720" w:firstLineChars="300"/>
        <w:rPr>
          <w:rFonts w:hint="eastAsia" w:ascii="宋体" w:hAnsi="宋体"/>
          <w:color w:val="000000"/>
          <w:sz w:val="24"/>
        </w:rPr>
      </w:pPr>
      <w:r>
        <w:rPr>
          <w:rFonts w:hint="eastAsia" w:ascii="宋体" w:hAnsi="宋体"/>
          <w:color w:val="000000"/>
          <w:sz w:val="24"/>
        </w:rPr>
        <w:t>(3）具有履行合同所必需的设备和专业技术能力；</w:t>
      </w:r>
    </w:p>
    <w:p>
      <w:pPr>
        <w:widowControl/>
        <w:spacing w:line="360" w:lineRule="auto"/>
        <w:ind w:firstLine="720" w:firstLineChars="300"/>
        <w:rPr>
          <w:rFonts w:hint="eastAsia" w:ascii="宋体" w:hAnsi="宋体"/>
          <w:color w:val="000000"/>
          <w:sz w:val="24"/>
        </w:rPr>
      </w:pPr>
      <w:r>
        <w:rPr>
          <w:rFonts w:hint="eastAsia" w:ascii="宋体" w:hAnsi="宋体"/>
          <w:color w:val="000000"/>
          <w:sz w:val="24"/>
        </w:rPr>
        <w:t>(4）有依法交纳税收和社会保障资金的良好记录；</w:t>
      </w:r>
    </w:p>
    <w:p>
      <w:pPr>
        <w:widowControl/>
        <w:spacing w:line="360" w:lineRule="auto"/>
        <w:ind w:firstLine="720" w:firstLineChars="300"/>
        <w:rPr>
          <w:rFonts w:hint="eastAsia" w:ascii="宋体" w:hAnsi="宋体"/>
          <w:color w:val="000000"/>
          <w:sz w:val="24"/>
        </w:rPr>
      </w:pPr>
      <w:r>
        <w:rPr>
          <w:rFonts w:hint="eastAsia" w:ascii="宋体" w:hAnsi="宋体"/>
          <w:color w:val="000000"/>
          <w:kern w:val="10"/>
          <w:sz w:val="24"/>
          <w:szCs w:val="24"/>
        </w:rPr>
        <w:t>(5）</w:t>
      </w:r>
      <w:r>
        <w:rPr>
          <w:rFonts w:hint="eastAsia" w:ascii="宋体" w:hAnsi="宋体"/>
          <w:color w:val="000000"/>
          <w:sz w:val="24"/>
        </w:rPr>
        <w:t>参加政府采购活动前三年内，在经营活动中没有重大违法记录；</w:t>
      </w:r>
    </w:p>
    <w:p>
      <w:pPr>
        <w:widowControl/>
        <w:spacing w:line="360" w:lineRule="auto"/>
        <w:ind w:firstLine="720" w:firstLineChars="300"/>
        <w:rPr>
          <w:rFonts w:hint="eastAsia" w:ascii="宋体" w:hAnsi="宋体"/>
          <w:color w:val="000000"/>
          <w:sz w:val="24"/>
        </w:rPr>
      </w:pPr>
      <w:r>
        <w:rPr>
          <w:rFonts w:hint="eastAsia" w:ascii="宋体" w:hAnsi="宋体"/>
          <w:color w:val="000000"/>
          <w:sz w:val="24"/>
        </w:rPr>
        <w:t>(6）法律、行政法规规定的其他条件。</w:t>
      </w:r>
    </w:p>
    <w:p>
      <w:pPr>
        <w:numPr>
          <w:ilvl w:val="0"/>
          <w:numId w:val="0"/>
        </w:numPr>
        <w:tabs>
          <w:tab w:val="left" w:pos="896"/>
        </w:tabs>
        <w:spacing w:line="360" w:lineRule="auto"/>
        <w:ind w:left="482" w:leftChars="0"/>
        <w:rPr>
          <w:rFonts w:hint="eastAsia" w:ascii="宋体" w:hAnsi="宋体" w:cs="仿宋"/>
          <w:sz w:val="24"/>
          <w:lang w:eastAsia="zh-CN"/>
        </w:rPr>
      </w:pPr>
      <w:r>
        <w:rPr>
          <w:rFonts w:hint="eastAsia" w:ascii="宋体" w:hAnsi="宋体"/>
          <w:color w:val="000000"/>
          <w:sz w:val="24"/>
          <w:lang w:val="en-US" w:eastAsia="zh-CN"/>
        </w:rPr>
        <w:t>3、</w:t>
      </w:r>
      <w:r>
        <w:rPr>
          <w:rFonts w:hint="eastAsia" w:ascii="宋体" w:hAnsi="宋体"/>
          <w:color w:val="000000"/>
          <w:sz w:val="24"/>
        </w:rPr>
        <w:t>投标人须具备《</w:t>
      </w:r>
      <w:r>
        <w:rPr>
          <w:rFonts w:hint="eastAsia" w:ascii="宋体" w:hAnsi="宋体"/>
          <w:color w:val="000000"/>
          <w:sz w:val="24"/>
          <w:lang w:eastAsia="zh-CN"/>
        </w:rPr>
        <w:t>中国信息安全认证中心颁发的《信息安全服务资质》（一级应急处理服务）、《信息安全服务资质》（风险评估二级）《信息安全服务资质》（一级信息系统安全集成服务），具备中国国家信息安全漏洞库（</w:t>
      </w:r>
      <w:r>
        <w:rPr>
          <w:rFonts w:hint="eastAsia" w:ascii="宋体" w:hAnsi="宋体"/>
          <w:color w:val="000000"/>
          <w:sz w:val="24"/>
          <w:lang w:val="en-US" w:eastAsia="zh-CN"/>
        </w:rPr>
        <w:t>CNNVD）的技术支撑单位（一级）</w:t>
      </w:r>
      <w:r>
        <w:rPr>
          <w:rFonts w:hint="eastAsia" w:ascii="宋体" w:hAnsi="宋体" w:cs="仿宋"/>
          <w:sz w:val="24"/>
          <w:lang w:eastAsia="zh-CN"/>
        </w:rPr>
        <w:t>。</w:t>
      </w:r>
    </w:p>
    <w:p>
      <w:pPr>
        <w:numPr>
          <w:ilvl w:val="0"/>
          <w:numId w:val="0"/>
        </w:numPr>
        <w:tabs>
          <w:tab w:val="left" w:pos="896"/>
        </w:tabs>
        <w:spacing w:line="360" w:lineRule="auto"/>
        <w:ind w:left="482" w:leftChars="0"/>
        <w:rPr>
          <w:rFonts w:hint="eastAsia" w:ascii="宋体" w:hAnsi="宋体"/>
          <w:sz w:val="30"/>
          <w:szCs w:val="30"/>
        </w:rPr>
      </w:pPr>
      <w:r>
        <w:rPr>
          <w:rFonts w:hint="eastAsia" w:ascii="宋体" w:hAnsi="宋体" w:cs="仿宋"/>
          <w:sz w:val="24"/>
          <w:lang w:val="en-US" w:eastAsia="zh-CN"/>
        </w:rPr>
        <w:t>4、</w:t>
      </w:r>
      <w:r>
        <w:rPr>
          <w:rFonts w:hint="eastAsia" w:ascii="宋体" w:hAnsi="宋体"/>
          <w:color w:val="000000"/>
          <w:sz w:val="24"/>
        </w:rPr>
        <w:t>投标人</w:t>
      </w:r>
      <w:r>
        <w:rPr>
          <w:rFonts w:hint="eastAsia" w:ascii="宋体" w:hAnsi="宋体"/>
          <w:color w:val="000000"/>
          <w:sz w:val="24"/>
          <w:lang w:eastAsia="zh-CN"/>
        </w:rPr>
        <w:t>在近三年（</w:t>
      </w:r>
      <w:r>
        <w:rPr>
          <w:rFonts w:hint="eastAsia" w:ascii="宋体" w:hAnsi="宋体"/>
          <w:color w:val="000000"/>
          <w:sz w:val="24"/>
          <w:lang w:val="en-US" w:eastAsia="zh-CN"/>
        </w:rPr>
        <w:t>2015年、2016年、2017年）至少有1项类似项目的服务业绩（类似业绩不与评分标准中的业绩重复）</w:t>
      </w:r>
      <w:r>
        <w:rPr>
          <w:rFonts w:hint="eastAsia" w:ascii="宋体" w:hAnsi="宋体"/>
          <w:sz w:val="30"/>
          <w:szCs w:val="30"/>
        </w:rPr>
        <w:t>。</w:t>
      </w:r>
    </w:p>
    <w:p>
      <w:pPr>
        <w:numPr>
          <w:ilvl w:val="0"/>
          <w:numId w:val="0"/>
        </w:numPr>
        <w:tabs>
          <w:tab w:val="left" w:pos="896"/>
        </w:tabs>
        <w:spacing w:line="360" w:lineRule="auto"/>
        <w:ind w:left="482" w:leftChars="0"/>
        <w:rPr>
          <w:rFonts w:hint="eastAsia" w:ascii="宋体" w:hAnsi="宋体" w:cs="仿宋"/>
          <w:sz w:val="24"/>
          <w:lang w:val="en-US" w:eastAsia="zh-CN"/>
        </w:rPr>
      </w:pPr>
      <w:r>
        <w:rPr>
          <w:rFonts w:hint="eastAsia" w:ascii="宋体" w:hAnsi="宋体" w:cs="仿宋"/>
          <w:sz w:val="24"/>
          <w:lang w:val="en-US" w:eastAsia="zh-CN"/>
        </w:rPr>
        <w:t>5、投标人应具备自主漏洞挖掘能力，提供CVE漏洞挖掘列表、CNNVD漏洞挖掘列表，以及在国家信息安全漏洞共享平台（CNVD)上“企业单位原创积分排名”情况。</w:t>
      </w:r>
    </w:p>
    <w:p>
      <w:pPr>
        <w:numPr>
          <w:ilvl w:val="0"/>
          <w:numId w:val="0"/>
        </w:numPr>
        <w:tabs>
          <w:tab w:val="left" w:pos="896"/>
        </w:tabs>
        <w:spacing w:line="360" w:lineRule="auto"/>
        <w:ind w:left="482" w:leftChars="0"/>
        <w:rPr>
          <w:rFonts w:hint="eastAsia" w:ascii="宋体" w:hAnsi="宋体" w:cs="仿宋"/>
          <w:sz w:val="24"/>
          <w:lang w:val="en-US" w:eastAsia="zh-CN"/>
        </w:rPr>
      </w:pPr>
      <w:r>
        <w:rPr>
          <w:rFonts w:hint="eastAsia" w:ascii="宋体" w:hAnsi="宋体" w:cs="仿宋"/>
          <w:sz w:val="24"/>
          <w:lang w:val="en-US" w:eastAsia="zh-CN"/>
        </w:rPr>
        <w:t>6.投标人近三年经营状况须良好，提供2015、2016、2017年度财务报表。</w:t>
      </w:r>
    </w:p>
    <w:p>
      <w:pPr>
        <w:numPr>
          <w:ilvl w:val="0"/>
          <w:numId w:val="0"/>
        </w:numPr>
        <w:tabs>
          <w:tab w:val="left" w:pos="896"/>
        </w:tabs>
        <w:spacing w:line="360" w:lineRule="auto"/>
        <w:ind w:left="482" w:leftChars="0"/>
        <w:rPr>
          <w:rFonts w:hint="default" w:ascii="宋体" w:hAnsi="宋体" w:cs="仿宋"/>
          <w:sz w:val="24"/>
          <w:lang w:val="en-US" w:eastAsia="zh-CN"/>
        </w:rPr>
      </w:pPr>
      <w:r>
        <w:rPr>
          <w:rFonts w:hint="eastAsia" w:ascii="宋体" w:hAnsi="宋体" w:cs="仿宋"/>
          <w:sz w:val="24"/>
          <w:lang w:val="en-US" w:eastAsia="zh-CN"/>
        </w:rPr>
        <w:t>7.投标人在近三年（2015年、2016年、2017年）的经营活动中信誉良好，无违法经营和不正当竞争行为，没有重大违法记录，在国内无任何不良记录，提供加盖公章的书面承诺函。</w:t>
      </w:r>
    </w:p>
    <w:p>
      <w:pPr>
        <w:widowControl/>
        <w:spacing w:line="360" w:lineRule="auto"/>
        <w:rPr>
          <w:rFonts w:hint="eastAsia" w:ascii="宋体" w:hAnsi="宋体" w:eastAsia="宋体"/>
          <w:kern w:val="0"/>
          <w:sz w:val="24"/>
          <w:lang w:eastAsia="zh-CN"/>
        </w:rPr>
      </w:pPr>
      <w:r>
        <w:rPr>
          <w:rFonts w:hint="eastAsia" w:ascii="宋体" w:hAnsi="宋体"/>
          <w:color w:val="000000"/>
          <w:sz w:val="24"/>
          <w:lang w:val="en-US" w:eastAsia="zh-CN"/>
        </w:rPr>
        <w:t xml:space="preserve">   8</w:t>
      </w:r>
      <w:r>
        <w:rPr>
          <w:rFonts w:hint="eastAsia" w:ascii="宋体" w:hAnsi="宋体"/>
          <w:color w:val="000000"/>
          <w:sz w:val="24"/>
        </w:rPr>
        <w:t>、</w:t>
      </w:r>
      <w:r>
        <w:rPr>
          <w:rFonts w:ascii="宋体" w:hAnsi="宋体"/>
          <w:kern w:val="0"/>
          <w:sz w:val="24"/>
        </w:rPr>
        <w:t>未被列入“信用中国”网站（www.creditchina.gov.cn）失信被执行人、重大税收违法案件当事人名单、政府采购严重违法失信行为记录名单</w:t>
      </w:r>
      <w:r>
        <w:rPr>
          <w:rFonts w:hint="eastAsia" w:ascii="宋体" w:hAnsi="宋体"/>
          <w:kern w:val="0"/>
          <w:sz w:val="24"/>
          <w:lang w:eastAsia="zh-CN"/>
        </w:rPr>
        <w:t>。</w:t>
      </w:r>
      <w:r>
        <w:rPr>
          <w:rFonts w:hint="eastAsia" w:ascii="宋体" w:hAnsi="宋体"/>
          <w:kern w:val="0"/>
          <w:sz w:val="24"/>
        </w:rPr>
        <w:t>（</w:t>
      </w:r>
      <w:r>
        <w:rPr>
          <w:rFonts w:hint="eastAsia" w:ascii="宋体" w:hAnsi="宋体"/>
          <w:kern w:val="0"/>
          <w:sz w:val="24"/>
          <w:lang w:eastAsia="zh-CN"/>
        </w:rPr>
        <w:t>须</w:t>
      </w:r>
      <w:r>
        <w:rPr>
          <w:rFonts w:hint="eastAsia" w:ascii="宋体" w:hAnsi="宋体"/>
          <w:kern w:val="0"/>
          <w:sz w:val="24"/>
        </w:rPr>
        <w:t>提供加盖单位</w:t>
      </w:r>
      <w:r>
        <w:rPr>
          <w:rFonts w:hint="eastAsia" w:ascii="宋体" w:hAnsi="宋体"/>
          <w:kern w:val="0"/>
          <w:sz w:val="24"/>
          <w:lang w:eastAsia="zh-CN"/>
        </w:rPr>
        <w:t>公</w:t>
      </w:r>
      <w:r>
        <w:rPr>
          <w:rFonts w:hint="eastAsia" w:ascii="宋体" w:hAnsi="宋体"/>
          <w:kern w:val="0"/>
          <w:sz w:val="24"/>
        </w:rPr>
        <w:t>章的网页查询结果，以本公告发布后的查询结果为准）</w:t>
      </w:r>
      <w:r>
        <w:rPr>
          <w:rFonts w:hint="eastAsia" w:ascii="宋体" w:hAnsi="宋体"/>
          <w:kern w:val="0"/>
          <w:sz w:val="24"/>
          <w:lang w:eastAsia="zh-CN"/>
        </w:rPr>
        <w:t>。</w:t>
      </w:r>
    </w:p>
    <w:p>
      <w:pPr>
        <w:spacing w:line="440" w:lineRule="exact"/>
        <w:ind w:firstLine="480" w:firstLineChars="200"/>
        <w:outlineLvl w:val="0"/>
        <w:rPr>
          <w:rFonts w:hint="eastAsia" w:eastAsia="宋体"/>
          <w:sz w:val="24"/>
          <w:lang w:eastAsia="zh-CN"/>
        </w:rPr>
      </w:pPr>
      <w:r>
        <w:rPr>
          <w:rFonts w:hint="eastAsia"/>
          <w:sz w:val="24"/>
          <w:lang w:val="en-US" w:eastAsia="zh-CN"/>
        </w:rPr>
        <w:t>9</w:t>
      </w:r>
      <w:r>
        <w:rPr>
          <w:sz w:val="24"/>
        </w:rPr>
        <w:t>、</w:t>
      </w:r>
      <w:r>
        <w:rPr>
          <w:rFonts w:hint="eastAsia"/>
          <w:sz w:val="24"/>
        </w:rPr>
        <w:t>是否专门面向中小企业</w:t>
      </w:r>
      <w:r>
        <w:rPr>
          <w:rFonts w:hint="eastAsia"/>
          <w:color w:val="000000"/>
          <w:sz w:val="24"/>
        </w:rPr>
        <w:t>、监狱企业、残疾人福利性单位</w:t>
      </w:r>
      <w:r>
        <w:rPr>
          <w:rFonts w:hint="eastAsia"/>
          <w:sz w:val="24"/>
        </w:rPr>
        <w:t>：否</w:t>
      </w:r>
      <w:r>
        <w:rPr>
          <w:rFonts w:hint="eastAsia"/>
          <w:sz w:val="24"/>
          <w:lang w:eastAsia="zh-CN"/>
        </w:rPr>
        <w:t>。</w:t>
      </w:r>
    </w:p>
    <w:p>
      <w:pPr>
        <w:spacing w:line="440" w:lineRule="exact"/>
        <w:ind w:firstLine="480" w:firstLineChars="200"/>
        <w:outlineLvl w:val="0"/>
        <w:rPr>
          <w:rFonts w:hint="eastAsia" w:eastAsia="宋体"/>
          <w:sz w:val="24"/>
          <w:lang w:val="en-US" w:eastAsia="zh-CN"/>
        </w:rPr>
      </w:pPr>
      <w:r>
        <w:rPr>
          <w:rFonts w:hint="eastAsia"/>
          <w:sz w:val="24"/>
          <w:lang w:val="en-US" w:eastAsia="zh-CN"/>
        </w:rPr>
        <w:t>10、本项目不接受联合体招标；不允许转包、分包。</w:t>
      </w:r>
    </w:p>
    <w:p>
      <w:pPr>
        <w:numPr>
          <w:ilvl w:val="0"/>
          <w:numId w:val="0"/>
        </w:numPr>
        <w:tabs>
          <w:tab w:val="left" w:pos="616"/>
        </w:tabs>
        <w:spacing w:line="360" w:lineRule="auto"/>
        <w:ind w:left="252" w:leftChars="0" w:firstLine="240" w:firstLineChars="100"/>
        <w:rPr>
          <w:rFonts w:ascii="宋体" w:hAnsi="宋体" w:cs="Times New Roman"/>
          <w:b/>
          <w:sz w:val="24"/>
          <w:szCs w:val="24"/>
        </w:rPr>
      </w:pPr>
    </w:p>
    <w:p>
      <w:pPr>
        <w:numPr>
          <w:ilvl w:val="0"/>
          <w:numId w:val="37"/>
        </w:numPr>
        <w:tabs>
          <w:tab w:val="left" w:pos="616"/>
        </w:tabs>
        <w:spacing w:line="360" w:lineRule="auto"/>
        <w:ind w:left="14" w:firstLine="238"/>
        <w:rPr>
          <w:rFonts w:ascii="宋体" w:hAnsi="宋体" w:cs="Times New Roman"/>
          <w:b/>
          <w:sz w:val="24"/>
          <w:szCs w:val="24"/>
        </w:rPr>
      </w:pPr>
      <w:r>
        <w:rPr>
          <w:rFonts w:hint="eastAsia" w:ascii="宋体" w:hAnsi="宋体" w:cs="Times New Roman"/>
          <w:b/>
          <w:sz w:val="24"/>
          <w:szCs w:val="24"/>
        </w:rPr>
        <w:t>确定资格审查合格投标人</w:t>
      </w:r>
    </w:p>
    <w:p>
      <w:pPr>
        <w:pStyle w:val="30"/>
        <w:numPr>
          <w:ilvl w:val="0"/>
          <w:numId w:val="38"/>
        </w:numPr>
        <w:tabs>
          <w:tab w:val="left" w:pos="840"/>
        </w:tabs>
        <w:spacing w:line="360" w:lineRule="auto"/>
        <w:ind w:hanging="602" w:firstLineChars="0"/>
        <w:rPr>
          <w:rFonts w:ascii="宋体" w:hAnsi="宋体" w:cs="Times New Roman"/>
          <w:sz w:val="24"/>
          <w:szCs w:val="24"/>
        </w:rPr>
      </w:pPr>
      <w:r>
        <w:rPr>
          <w:rFonts w:hint="eastAsia" w:ascii="宋体" w:hAnsi="宋体" w:cs="Times New Roman"/>
          <w:sz w:val="24"/>
          <w:szCs w:val="24"/>
        </w:rPr>
        <w:t>资格审查小组按照本章“资格审查方法及标准”，对各投标人资格证明文件进行审查。资格审查小组依据对各投标人资格证明文件的审查结果，确定资格审查合格的投标人，并形成书面的资格审查报告。</w:t>
      </w:r>
    </w:p>
    <w:p>
      <w:pPr>
        <w:pStyle w:val="30"/>
        <w:numPr>
          <w:ilvl w:val="0"/>
          <w:numId w:val="38"/>
        </w:numPr>
        <w:tabs>
          <w:tab w:val="left" w:pos="840"/>
        </w:tabs>
        <w:spacing w:line="360" w:lineRule="auto"/>
        <w:ind w:hanging="602" w:firstLineChars="0"/>
        <w:rPr>
          <w:rFonts w:ascii="宋体" w:hAnsi="宋体" w:cs="Times New Roman"/>
          <w:sz w:val="24"/>
          <w:szCs w:val="24"/>
        </w:rPr>
      </w:pPr>
      <w:r>
        <w:rPr>
          <w:rFonts w:hint="eastAsia" w:ascii="宋体" w:hAnsi="宋体" w:cs="Times New Roman"/>
          <w:sz w:val="24"/>
          <w:szCs w:val="24"/>
        </w:rPr>
        <w:t>资格审查合格投标人不足3家的，不进行评标。</w:t>
      </w:r>
    </w:p>
    <w:p>
      <w:pPr>
        <w:pStyle w:val="30"/>
        <w:numPr>
          <w:ilvl w:val="0"/>
          <w:numId w:val="38"/>
        </w:numPr>
        <w:tabs>
          <w:tab w:val="left" w:pos="840"/>
        </w:tabs>
        <w:spacing w:line="360" w:lineRule="auto"/>
        <w:ind w:hanging="602" w:firstLineChars="0"/>
        <w:rPr>
          <w:rFonts w:ascii="宋体" w:hAnsi="宋体" w:cs="Times New Roman"/>
          <w:sz w:val="24"/>
          <w:szCs w:val="24"/>
        </w:rPr>
      </w:pPr>
      <w:r>
        <w:rPr>
          <w:rFonts w:hint="eastAsia" w:ascii="宋体" w:hAnsi="宋体" w:cs="Times New Roman"/>
          <w:sz w:val="24"/>
          <w:szCs w:val="24"/>
        </w:rPr>
        <w:t>资格审查未通过的投标人可在结果公告质疑有效期内按公告中的联系方式获知</w:t>
      </w:r>
      <w:r>
        <w:rPr>
          <w:rFonts w:ascii="宋体" w:hAnsi="宋体" w:cs="Times New Roman"/>
          <w:sz w:val="24"/>
          <w:szCs w:val="24"/>
        </w:rPr>
        <w:t>本</w:t>
      </w:r>
      <w:r>
        <w:rPr>
          <w:rFonts w:hint="eastAsia" w:ascii="宋体" w:hAnsi="宋体" w:cs="Times New Roman"/>
          <w:sz w:val="24"/>
          <w:szCs w:val="24"/>
        </w:rPr>
        <w:t>单位</w:t>
      </w:r>
      <w:r>
        <w:rPr>
          <w:rFonts w:ascii="宋体" w:hAnsi="宋体" w:cs="Times New Roman"/>
          <w:sz w:val="24"/>
          <w:szCs w:val="24"/>
        </w:rPr>
        <w:t>的</w:t>
      </w:r>
      <w:r>
        <w:rPr>
          <w:rFonts w:hint="eastAsia" w:ascii="宋体" w:hAnsi="宋体" w:cs="Times New Roman"/>
          <w:sz w:val="24"/>
          <w:szCs w:val="24"/>
        </w:rPr>
        <w:t>资格审查情况。</w:t>
      </w:r>
    </w:p>
    <w:p>
      <w:pPr>
        <w:pStyle w:val="30"/>
        <w:numPr>
          <w:ilvl w:val="0"/>
          <w:numId w:val="38"/>
        </w:numPr>
        <w:tabs>
          <w:tab w:val="left" w:pos="840"/>
        </w:tabs>
        <w:spacing w:line="360" w:lineRule="auto"/>
        <w:ind w:hanging="602" w:firstLineChars="0"/>
        <w:rPr>
          <w:rFonts w:ascii="宋体" w:hAnsi="宋体" w:cs="Times New Roman"/>
          <w:sz w:val="24"/>
          <w:szCs w:val="24"/>
        </w:rPr>
      </w:pPr>
      <w:r>
        <w:rPr>
          <w:rFonts w:hint="eastAsia" w:ascii="宋体" w:hAnsi="宋体" w:cs="Times New Roman"/>
          <w:sz w:val="24"/>
          <w:szCs w:val="24"/>
        </w:rPr>
        <w:t>采购人已进行资格预审的，不再进行资格审查。未通过资格预审的投标人采购代理机构</w:t>
      </w:r>
      <w:r>
        <w:rPr>
          <w:rFonts w:hint="eastAsia" w:ascii="宋体" w:hAnsi="宋体" w:cs="Times New Roman"/>
          <w:b/>
          <w:sz w:val="24"/>
          <w:szCs w:val="24"/>
        </w:rPr>
        <w:t>拒绝</w:t>
      </w:r>
      <w:r>
        <w:rPr>
          <w:rFonts w:hint="eastAsia" w:ascii="宋体" w:hAnsi="宋体" w:cs="Times New Roman"/>
          <w:sz w:val="24"/>
          <w:szCs w:val="24"/>
        </w:rPr>
        <w:t>其投标。</w:t>
      </w:r>
    </w:p>
    <w:p/>
    <w:p/>
    <w:p>
      <w:pPr>
        <w:pStyle w:val="2"/>
        <w:ind w:left="1135"/>
        <w:rPr>
          <w:rFonts w:hint="eastAsia" w:ascii="黑体" w:hAnsi="黑体" w:eastAsia="黑体"/>
        </w:rPr>
      </w:pPr>
      <w:bookmarkStart w:id="45" w:name="_Toc497459192"/>
    </w:p>
    <w:p>
      <w:pPr>
        <w:pStyle w:val="2"/>
        <w:rPr>
          <w:rFonts w:hint="eastAsia" w:ascii="黑体" w:hAnsi="黑体" w:eastAsia="黑体"/>
        </w:rPr>
      </w:pPr>
    </w:p>
    <w:p>
      <w:pPr>
        <w:pStyle w:val="2"/>
        <w:rPr>
          <w:rFonts w:hint="eastAsia" w:ascii="黑体" w:hAnsi="黑体" w:eastAsia="黑体"/>
        </w:rPr>
      </w:pPr>
    </w:p>
    <w:p>
      <w:pPr>
        <w:pStyle w:val="2"/>
        <w:rPr>
          <w:rFonts w:hint="eastAsia" w:ascii="黑体" w:hAnsi="黑体" w:eastAsia="黑体"/>
        </w:rPr>
      </w:pPr>
    </w:p>
    <w:p>
      <w:pPr>
        <w:rPr>
          <w:rFonts w:hint="eastAsia"/>
        </w:rPr>
      </w:pPr>
    </w:p>
    <w:p>
      <w:pPr>
        <w:pStyle w:val="2"/>
        <w:jc w:val="center"/>
        <w:rPr>
          <w:rFonts w:ascii="黑体" w:hAnsi="黑体" w:eastAsia="黑体"/>
        </w:rPr>
      </w:pPr>
      <w:r>
        <w:rPr>
          <w:rFonts w:hint="eastAsia" w:ascii="黑体" w:hAnsi="黑体" w:eastAsia="黑体"/>
        </w:rPr>
        <w:t>第五章   评标方法、程序及标准</w:t>
      </w:r>
      <w:bookmarkEnd w:id="45"/>
    </w:p>
    <w:p>
      <w:pPr>
        <w:spacing w:line="360" w:lineRule="auto"/>
        <w:ind w:firstLine="480" w:firstLineChars="200"/>
        <w:rPr>
          <w:rFonts w:ascii="宋体" w:hAnsi="宋体" w:cs="Times New Roman"/>
          <w:bCs/>
          <w:sz w:val="24"/>
          <w:szCs w:val="20"/>
        </w:rPr>
      </w:pPr>
      <w:r>
        <w:rPr>
          <w:rFonts w:hint="eastAsia" w:ascii="宋体" w:hAnsi="宋体" w:cs="Times New Roman"/>
          <w:bCs/>
          <w:sz w:val="24"/>
          <w:szCs w:val="20"/>
        </w:rPr>
        <w:t>根据《政府采购法》、《政府采购法实施条例》、《政府采购货物和服务招标投标管理办法》等相关法律法规确定以下评标办法、程序及标准。</w:t>
      </w:r>
    </w:p>
    <w:p>
      <w:pPr>
        <w:pStyle w:val="3"/>
        <w:numPr>
          <w:ilvl w:val="0"/>
          <w:numId w:val="39"/>
        </w:numPr>
        <w:spacing w:before="0" w:after="0" w:line="360" w:lineRule="auto"/>
        <w:ind w:left="616" w:hanging="616"/>
        <w:jc w:val="left"/>
        <w:rPr>
          <w:rFonts w:ascii="宋体" w:hAnsi="宋体" w:cs="Times New Roman"/>
          <w:bCs w:val="0"/>
          <w:sz w:val="30"/>
          <w:szCs w:val="30"/>
        </w:rPr>
      </w:pPr>
      <w:bookmarkStart w:id="46" w:name="_Toc272247708"/>
      <w:bookmarkStart w:id="47" w:name="_Toc278891605"/>
      <w:bookmarkStart w:id="48" w:name="_Toc497459193"/>
      <w:bookmarkStart w:id="49" w:name="_Toc494561961"/>
      <w:r>
        <w:rPr>
          <w:rFonts w:hint="eastAsia" w:ascii="宋体" w:hAnsi="宋体" w:cs="Times New Roman"/>
          <w:bCs w:val="0"/>
          <w:sz w:val="30"/>
          <w:szCs w:val="30"/>
        </w:rPr>
        <w:t>评标</w:t>
      </w:r>
      <w:bookmarkEnd w:id="46"/>
      <w:bookmarkEnd w:id="47"/>
      <w:r>
        <w:rPr>
          <w:rFonts w:hint="eastAsia" w:ascii="宋体" w:hAnsi="宋体" w:cs="Times New Roman"/>
          <w:bCs w:val="0"/>
          <w:sz w:val="30"/>
          <w:szCs w:val="30"/>
        </w:rPr>
        <w:t>方法</w:t>
      </w:r>
      <w:bookmarkEnd w:id="48"/>
      <w:bookmarkEnd w:id="49"/>
    </w:p>
    <w:p>
      <w:pPr>
        <w:spacing w:line="360" w:lineRule="auto"/>
        <w:ind w:firstLine="480" w:firstLineChars="200"/>
        <w:rPr>
          <w:rFonts w:ascii="宋体" w:hAnsi="宋体" w:cs="Times New Roman"/>
          <w:bCs/>
          <w:sz w:val="24"/>
          <w:szCs w:val="20"/>
        </w:rPr>
      </w:pPr>
      <w:r>
        <w:rPr>
          <w:rFonts w:hint="eastAsia" w:ascii="宋体" w:hAnsi="宋体" w:cs="Times New Roman"/>
          <w:bCs/>
          <w:sz w:val="24"/>
          <w:szCs w:val="20"/>
        </w:rPr>
        <w:t>本项目评标采用综合评分法，</w:t>
      </w:r>
      <w:r>
        <w:rPr>
          <w:rFonts w:ascii="宋体" w:hAnsi="宋体" w:cs="Times New Roman"/>
          <w:bCs/>
          <w:sz w:val="24"/>
          <w:szCs w:val="20"/>
        </w:rPr>
        <w:t>是指投标文件满足招标文件全部实质性要求，且按照评审因素的量化指标评审得分最高的投标人为中标候选人的评标方法。</w:t>
      </w:r>
    </w:p>
    <w:p>
      <w:pPr>
        <w:pStyle w:val="3"/>
        <w:numPr>
          <w:ilvl w:val="0"/>
          <w:numId w:val="39"/>
        </w:numPr>
        <w:spacing w:before="0" w:after="0" w:line="360" w:lineRule="auto"/>
        <w:ind w:left="616" w:hanging="616"/>
        <w:jc w:val="left"/>
        <w:rPr>
          <w:rFonts w:ascii="宋体" w:hAnsi="宋体" w:cs="Times New Roman"/>
          <w:bCs w:val="0"/>
          <w:sz w:val="30"/>
          <w:szCs w:val="30"/>
        </w:rPr>
      </w:pPr>
      <w:bookmarkStart w:id="50" w:name="_Toc272247709"/>
      <w:bookmarkStart w:id="51" w:name="_Toc278891606"/>
      <w:bookmarkStart w:id="52" w:name="_Toc497459194"/>
      <w:bookmarkStart w:id="53" w:name="_Toc494561962"/>
      <w:r>
        <w:rPr>
          <w:rFonts w:hint="eastAsia" w:ascii="宋体" w:hAnsi="宋体" w:cs="Times New Roman"/>
          <w:bCs w:val="0"/>
          <w:sz w:val="30"/>
          <w:szCs w:val="30"/>
        </w:rPr>
        <w:t>评标程序</w:t>
      </w:r>
      <w:bookmarkEnd w:id="50"/>
      <w:bookmarkEnd w:id="51"/>
      <w:r>
        <w:rPr>
          <w:rFonts w:hint="eastAsia" w:ascii="宋体" w:hAnsi="宋体" w:cs="Times New Roman"/>
          <w:bCs w:val="0"/>
          <w:sz w:val="30"/>
          <w:szCs w:val="30"/>
        </w:rPr>
        <w:t>及标准</w:t>
      </w:r>
      <w:bookmarkEnd w:id="52"/>
      <w:bookmarkEnd w:id="53"/>
    </w:p>
    <w:p>
      <w:pPr>
        <w:spacing w:line="360" w:lineRule="auto"/>
        <w:ind w:firstLine="480" w:firstLineChars="200"/>
        <w:rPr>
          <w:rFonts w:ascii="宋体" w:hAnsi="宋体" w:cs="Times New Roman"/>
          <w:bCs/>
          <w:sz w:val="24"/>
          <w:szCs w:val="20"/>
        </w:rPr>
      </w:pPr>
      <w:r>
        <w:rPr>
          <w:rFonts w:hint="eastAsia" w:ascii="宋体" w:hAnsi="宋体" w:cs="Times New Roman"/>
          <w:bCs/>
          <w:sz w:val="24"/>
          <w:szCs w:val="20"/>
        </w:rPr>
        <w:t>评标委员会按以下工作程序进行评标：</w:t>
      </w:r>
      <w:r>
        <w:rPr>
          <w:rFonts w:hint="eastAsia" w:ascii="宋体" w:hAnsi="宋体" w:cs="Times New Roman"/>
          <w:sz w:val="24"/>
          <w:szCs w:val="20"/>
        </w:rPr>
        <w:t>符合性审查、澄清有关问题、综合比较和评价、确定中标候选人名单。</w:t>
      </w:r>
    </w:p>
    <w:p>
      <w:pPr>
        <w:numPr>
          <w:ilvl w:val="0"/>
          <w:numId w:val="40"/>
        </w:numPr>
        <w:ind w:left="1311" w:leftChars="154" w:hanging="988" w:hangingChars="353"/>
        <w:rPr>
          <w:rFonts w:ascii="宋体" w:hAnsi="宋体" w:cs="Times New Roman"/>
          <w:strike/>
          <w:sz w:val="28"/>
          <w:szCs w:val="28"/>
        </w:rPr>
      </w:pPr>
      <w:r>
        <w:rPr>
          <w:rFonts w:hint="eastAsia" w:ascii="宋体" w:hAnsi="宋体" w:cs="Times New Roman"/>
          <w:b/>
          <w:sz w:val="28"/>
          <w:szCs w:val="28"/>
        </w:rPr>
        <w:t>符合性审查</w:t>
      </w:r>
    </w:p>
    <w:p>
      <w:pPr>
        <w:spacing w:line="360" w:lineRule="auto"/>
        <w:ind w:firstLine="470" w:firstLineChars="196"/>
        <w:rPr>
          <w:rFonts w:ascii="宋体" w:hAnsi="宋体" w:cs="Times New Roman"/>
          <w:bCs/>
          <w:sz w:val="24"/>
          <w:szCs w:val="20"/>
        </w:rPr>
      </w:pPr>
      <w:r>
        <w:rPr>
          <w:rFonts w:ascii="Helvetica" w:hAnsi="Helvetica" w:cs="Helvetica"/>
          <w:kern w:val="0"/>
          <w:sz w:val="24"/>
          <w:szCs w:val="24"/>
        </w:rPr>
        <w:t>评标委员会应当对符合资格的投标人的投标文件进行符合性审查，以确定其是否满足招标文件的实质性要求。</w:t>
      </w:r>
      <w:r>
        <w:rPr>
          <w:rFonts w:hint="eastAsia" w:ascii="宋体" w:hAnsi="宋体" w:cs="Times New Roman"/>
          <w:bCs/>
          <w:sz w:val="24"/>
          <w:szCs w:val="20"/>
        </w:rPr>
        <w:t>符合性审查出现下列情形之一的投标按照</w:t>
      </w:r>
      <w:r>
        <w:rPr>
          <w:rFonts w:hint="eastAsia" w:ascii="宋体" w:hAnsi="宋体" w:cs="Times New Roman"/>
          <w:b/>
          <w:bCs/>
          <w:sz w:val="24"/>
          <w:szCs w:val="20"/>
        </w:rPr>
        <w:t>无效投标处理</w:t>
      </w:r>
      <w:r>
        <w:rPr>
          <w:rFonts w:hint="eastAsia" w:ascii="宋体" w:hAnsi="宋体" w:cs="Times New Roman"/>
          <w:bCs/>
          <w:sz w:val="24"/>
          <w:szCs w:val="20"/>
        </w:rPr>
        <w:t>：</w:t>
      </w:r>
    </w:p>
    <w:p>
      <w:pPr>
        <w:numPr>
          <w:ilvl w:val="0"/>
          <w:numId w:val="41"/>
        </w:numPr>
        <w:tabs>
          <w:tab w:val="left" w:pos="616"/>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投标总报价超过项目（分包）预算金额或最高限价的；</w:t>
      </w:r>
    </w:p>
    <w:p>
      <w:pPr>
        <w:numPr>
          <w:ilvl w:val="0"/>
          <w:numId w:val="41"/>
        </w:numPr>
        <w:tabs>
          <w:tab w:val="left" w:pos="616"/>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《投标书》、《法定代表人授权书》、《开标一览表》、《投标报价明细表》未提供或不符合招标文件要求的；</w:t>
      </w:r>
    </w:p>
    <w:p>
      <w:pPr>
        <w:numPr>
          <w:ilvl w:val="0"/>
          <w:numId w:val="41"/>
        </w:numPr>
        <w:tabs>
          <w:tab w:val="left" w:pos="616"/>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工期（服务期限）、质保期不符合招标文件要求的；</w:t>
      </w:r>
    </w:p>
    <w:p>
      <w:pPr>
        <w:numPr>
          <w:ilvl w:val="0"/>
          <w:numId w:val="41"/>
        </w:numPr>
        <w:tabs>
          <w:tab w:val="left" w:pos="616"/>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投标保证金的交纳不符合招标文件要求的；</w:t>
      </w:r>
    </w:p>
    <w:p>
      <w:pPr>
        <w:numPr>
          <w:ilvl w:val="0"/>
          <w:numId w:val="41"/>
        </w:numPr>
        <w:tabs>
          <w:tab w:val="left" w:pos="616"/>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出现两个或两个以上不同报价的；</w:t>
      </w:r>
    </w:p>
    <w:p>
      <w:pPr>
        <w:numPr>
          <w:ilvl w:val="0"/>
          <w:numId w:val="41"/>
        </w:numPr>
        <w:tabs>
          <w:tab w:val="left" w:pos="616"/>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出现两个或两个以上投标方案的（招标文件中要求提供备选方案的除外）；</w:t>
      </w:r>
    </w:p>
    <w:p>
      <w:pPr>
        <w:numPr>
          <w:ilvl w:val="0"/>
          <w:numId w:val="41"/>
        </w:numPr>
        <w:tabs>
          <w:tab w:val="left" w:pos="616"/>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投标报价存在缺项、漏项的；</w:t>
      </w:r>
    </w:p>
    <w:p>
      <w:pPr>
        <w:numPr>
          <w:ilvl w:val="0"/>
          <w:numId w:val="41"/>
        </w:numPr>
        <w:tabs>
          <w:tab w:val="left" w:pos="616"/>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投标有效期不足的；</w:t>
      </w:r>
    </w:p>
    <w:p>
      <w:pPr>
        <w:numPr>
          <w:ilvl w:val="0"/>
          <w:numId w:val="41"/>
        </w:numPr>
        <w:tabs>
          <w:tab w:val="left" w:pos="616"/>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无法定代表人签字（签章）或签字（签章）人无法定代表人有效授权的；</w:t>
      </w:r>
    </w:p>
    <w:p>
      <w:pPr>
        <w:numPr>
          <w:ilvl w:val="0"/>
          <w:numId w:val="41"/>
        </w:numPr>
        <w:tabs>
          <w:tab w:val="left" w:pos="756"/>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正本未按要求提供加盖公章及签字（签章）原件的；</w:t>
      </w:r>
    </w:p>
    <w:p>
      <w:pPr>
        <w:numPr>
          <w:ilvl w:val="0"/>
          <w:numId w:val="41"/>
        </w:numPr>
        <w:tabs>
          <w:tab w:val="left" w:pos="742"/>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符合招标文件第二章“投标人须知”中40条中规定情形，以分公司形式参与投标的，法定代表人授权书未由总公司法定代表人签字（盖章）并加盖公章的；</w:t>
      </w:r>
    </w:p>
    <w:p>
      <w:pPr>
        <w:numPr>
          <w:ilvl w:val="0"/>
          <w:numId w:val="41"/>
        </w:numPr>
        <w:tabs>
          <w:tab w:val="left" w:pos="742"/>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未按要求提供招标文件第二章“十一其他注意事项”中规定的书面声明的；</w:t>
      </w:r>
    </w:p>
    <w:p>
      <w:pPr>
        <w:numPr>
          <w:ilvl w:val="0"/>
          <w:numId w:val="41"/>
        </w:numPr>
        <w:tabs>
          <w:tab w:val="left" w:pos="742"/>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招标文件中有节能产品强制要求的，投标人未按要求提供最新一期《节能产品政府采购清单》（正式稿）中的产品型号且未附该产品清单所在完整页面；若节能产品中有台式计算机的，未按要求提供最新一期《节能产品政府采购清单台式计算机性能参数》中产品性能参数的所在完整页面且所投型号和所列性能参数不一致的；</w:t>
      </w:r>
    </w:p>
    <w:p>
      <w:pPr>
        <w:numPr>
          <w:ilvl w:val="0"/>
          <w:numId w:val="41"/>
        </w:numPr>
        <w:tabs>
          <w:tab w:val="left" w:pos="742"/>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所投货物是通过中国海关报关验放进入中国境内且产自关境外的（招标文件中注明已办理进口产品核准的除外）；</w:t>
      </w:r>
    </w:p>
    <w:p>
      <w:pPr>
        <w:numPr>
          <w:ilvl w:val="0"/>
          <w:numId w:val="41"/>
        </w:numPr>
        <w:tabs>
          <w:tab w:val="left" w:pos="742"/>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未提供所投货物（工程或服务）的具体参数值或功能表述，或原文复制招标文件的技术规格相关部分内容作为其投标文件的一部分的；</w:t>
      </w:r>
    </w:p>
    <w:p>
      <w:pPr>
        <w:numPr>
          <w:ilvl w:val="0"/>
          <w:numId w:val="41"/>
        </w:numPr>
        <w:tabs>
          <w:tab w:val="left" w:pos="742"/>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不满足招标文件第三章“项目技术、服务和商务要求”中“★”号条款要求的；</w:t>
      </w:r>
    </w:p>
    <w:p>
      <w:pPr>
        <w:numPr>
          <w:ilvl w:val="0"/>
          <w:numId w:val="41"/>
        </w:numPr>
        <w:tabs>
          <w:tab w:val="left" w:pos="742"/>
        </w:tabs>
        <w:spacing w:line="360" w:lineRule="auto"/>
        <w:ind w:left="10" w:leftChars="5" w:firstLine="237" w:firstLineChars="99"/>
        <w:rPr>
          <w:rFonts w:ascii="Times New Roman" w:hAnsi="宋体" w:cs="Times New Roman"/>
          <w:sz w:val="24"/>
          <w:szCs w:val="24"/>
        </w:rPr>
      </w:pPr>
      <w:r>
        <w:rPr>
          <w:rFonts w:ascii="Times New Roman" w:hAnsi="宋体" w:cs="Times New Roman"/>
          <w:sz w:val="24"/>
          <w:szCs w:val="24"/>
        </w:rPr>
        <w:t>含有采购人不能接受的附加条件的</w:t>
      </w:r>
      <w:r>
        <w:rPr>
          <w:rFonts w:hint="eastAsia" w:ascii="Times New Roman" w:hAnsi="宋体" w:cs="Times New Roman"/>
          <w:sz w:val="24"/>
          <w:szCs w:val="24"/>
        </w:rPr>
        <w:t>；</w:t>
      </w:r>
    </w:p>
    <w:p>
      <w:pPr>
        <w:numPr>
          <w:ilvl w:val="0"/>
          <w:numId w:val="41"/>
        </w:numPr>
        <w:tabs>
          <w:tab w:val="left" w:pos="742"/>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未按要求提供《符合性审查对照表》、《商务要求响应、偏离说明表》、《商务要求“★”号条款响应、偏离说明表》、《商务评议对照表》和《技术、服务要求响应、偏离说明表》、《技术、服务要求“★”号条款响应、偏离说明表》、《技术、服务评议对照表》的；</w:t>
      </w:r>
    </w:p>
    <w:p>
      <w:pPr>
        <w:numPr>
          <w:ilvl w:val="0"/>
          <w:numId w:val="41"/>
        </w:numPr>
        <w:tabs>
          <w:tab w:val="left" w:pos="742"/>
        </w:tabs>
        <w:spacing w:line="360" w:lineRule="auto"/>
        <w:ind w:left="10" w:leftChars="5" w:firstLine="237" w:firstLineChars="99"/>
        <w:rPr>
          <w:rFonts w:ascii="Times New Roman" w:hAnsi="宋体" w:cs="Times New Roman"/>
          <w:sz w:val="24"/>
          <w:szCs w:val="24"/>
        </w:rPr>
      </w:pPr>
      <w:r>
        <w:rPr>
          <w:rFonts w:ascii="Times New Roman" w:hAnsi="宋体" w:cs="Times New Roman"/>
          <w:sz w:val="24"/>
          <w:szCs w:val="24"/>
        </w:rPr>
        <w:t>法律、法规</w:t>
      </w:r>
      <w:r>
        <w:rPr>
          <w:rFonts w:hint="eastAsia" w:ascii="Times New Roman" w:hAnsi="宋体" w:cs="Times New Roman"/>
          <w:sz w:val="24"/>
          <w:szCs w:val="24"/>
        </w:rPr>
        <w:t>和招标文件</w:t>
      </w:r>
      <w:r>
        <w:rPr>
          <w:rFonts w:ascii="Times New Roman" w:hAnsi="宋体" w:cs="Times New Roman"/>
          <w:sz w:val="24"/>
          <w:szCs w:val="24"/>
        </w:rPr>
        <w:t>规定的其他</w:t>
      </w:r>
      <w:r>
        <w:rPr>
          <w:rFonts w:hint="eastAsia" w:ascii="Times New Roman" w:hAnsi="宋体" w:cs="Times New Roman"/>
          <w:sz w:val="24"/>
          <w:szCs w:val="24"/>
        </w:rPr>
        <w:t>无效投标</w:t>
      </w:r>
      <w:r>
        <w:rPr>
          <w:rFonts w:ascii="Times New Roman" w:hAnsi="宋体" w:cs="Times New Roman"/>
          <w:sz w:val="24"/>
          <w:szCs w:val="24"/>
        </w:rPr>
        <w:t>情形。</w:t>
      </w:r>
    </w:p>
    <w:p>
      <w:pPr>
        <w:numPr>
          <w:ilvl w:val="0"/>
          <w:numId w:val="40"/>
        </w:numPr>
        <w:ind w:left="1311" w:leftChars="154" w:hanging="988" w:hangingChars="353"/>
        <w:rPr>
          <w:rFonts w:ascii="宋体" w:hAnsi="宋体" w:cs="Times New Roman"/>
          <w:b/>
          <w:sz w:val="28"/>
          <w:szCs w:val="28"/>
        </w:rPr>
      </w:pPr>
      <w:r>
        <w:rPr>
          <w:rFonts w:hint="eastAsia" w:ascii="宋体" w:hAnsi="宋体" w:cs="Times New Roman"/>
          <w:b/>
          <w:sz w:val="28"/>
          <w:szCs w:val="28"/>
        </w:rPr>
        <w:t>澄清有关问题</w:t>
      </w:r>
    </w:p>
    <w:p>
      <w:pPr>
        <w:numPr>
          <w:ilvl w:val="0"/>
          <w:numId w:val="42"/>
        </w:numPr>
        <w:tabs>
          <w:tab w:val="left" w:pos="616"/>
        </w:tabs>
        <w:spacing w:line="360" w:lineRule="auto"/>
        <w:ind w:left="10" w:leftChars="5" w:firstLine="237" w:firstLineChars="99"/>
        <w:rPr>
          <w:rFonts w:ascii="Helvetica" w:hAnsi="Helvetica" w:cs="Helvetica"/>
          <w:kern w:val="0"/>
          <w:sz w:val="24"/>
          <w:szCs w:val="24"/>
        </w:rPr>
      </w:pPr>
      <w:r>
        <w:rPr>
          <w:rFonts w:hint="eastAsia" w:ascii="Helvetica" w:hAnsi="Helvetica" w:cs="Helvetica"/>
          <w:kern w:val="0"/>
          <w:sz w:val="24"/>
          <w:szCs w:val="24"/>
        </w:rPr>
        <w:t>评标期间，</w:t>
      </w:r>
      <w:r>
        <w:rPr>
          <w:rFonts w:ascii="Helvetica" w:hAnsi="Helvetica" w:cs="Helvetica"/>
          <w:kern w:val="0"/>
          <w:sz w:val="24"/>
          <w:szCs w:val="24"/>
        </w:rPr>
        <w:t>对于投标文件中含义不明确、同类问题表述不一致或者有明显文字和计算错误的内容，评标委员会应当以书面形式要求投标人作出必要的澄清、说明或者补正。</w:t>
      </w:r>
    </w:p>
    <w:p>
      <w:pPr>
        <w:numPr>
          <w:ilvl w:val="0"/>
          <w:numId w:val="42"/>
        </w:numPr>
        <w:tabs>
          <w:tab w:val="left" w:pos="616"/>
        </w:tabs>
        <w:spacing w:line="360" w:lineRule="auto"/>
        <w:ind w:left="10" w:leftChars="5" w:firstLine="237" w:firstLineChars="99"/>
        <w:rPr>
          <w:rFonts w:ascii="宋体" w:hAnsi="宋体" w:cs="Times New Roman"/>
          <w:bCs/>
          <w:strike/>
          <w:sz w:val="24"/>
          <w:szCs w:val="20"/>
        </w:rPr>
      </w:pPr>
      <w:r>
        <w:rPr>
          <w:rFonts w:hint="eastAsia" w:ascii="宋体" w:hAnsi="宋体" w:cs="Times New Roman"/>
          <w:bCs/>
          <w:sz w:val="24"/>
          <w:szCs w:val="20"/>
        </w:rPr>
        <w:t>投标人应按照评标委员会要求的澄清内容在规定时间内做出澄清。</w:t>
      </w:r>
      <w:r>
        <w:rPr>
          <w:rFonts w:ascii="宋体" w:hAnsi="宋体" w:cs="Times New Roman"/>
          <w:sz w:val="24"/>
          <w:szCs w:val="20"/>
        </w:rPr>
        <w:t>投标文件报价出现前后不一致的</w:t>
      </w:r>
      <w:r>
        <w:rPr>
          <w:rFonts w:hint="eastAsia" w:ascii="宋体" w:hAnsi="宋体" w:cs="Times New Roman"/>
          <w:sz w:val="24"/>
          <w:szCs w:val="20"/>
        </w:rPr>
        <w:t>，按照本节第3</w:t>
      </w:r>
      <w:r>
        <w:rPr>
          <w:rFonts w:hint="eastAsia" w:ascii="宋体" w:hAnsi="宋体" w:cs="Times New Roman"/>
          <w:bCs/>
          <w:sz w:val="24"/>
          <w:szCs w:val="20"/>
        </w:rPr>
        <w:t>条规定进行修正，</w:t>
      </w:r>
      <w:r>
        <w:rPr>
          <w:rFonts w:ascii="Helvetica" w:hAnsi="Helvetica" w:cs="Helvetica"/>
          <w:kern w:val="0"/>
          <w:sz w:val="24"/>
          <w:szCs w:val="24"/>
        </w:rPr>
        <w:t>投标人的澄清、说明或者补正不得超出投标文件的范围或者改变投标文件的实质性内容。</w:t>
      </w:r>
    </w:p>
    <w:p>
      <w:pPr>
        <w:numPr>
          <w:ilvl w:val="0"/>
          <w:numId w:val="42"/>
        </w:numPr>
        <w:tabs>
          <w:tab w:val="left" w:pos="616"/>
        </w:tabs>
        <w:spacing w:line="360" w:lineRule="auto"/>
        <w:ind w:left="10" w:leftChars="5" w:firstLine="237" w:firstLineChars="99"/>
        <w:rPr>
          <w:rFonts w:ascii="宋体" w:hAnsi="宋体" w:cs="Times New Roman"/>
          <w:bCs/>
          <w:sz w:val="24"/>
          <w:szCs w:val="20"/>
        </w:rPr>
      </w:pPr>
      <w:r>
        <w:rPr>
          <w:rFonts w:ascii="宋体" w:hAnsi="宋体" w:cs="Times New Roman"/>
          <w:bCs/>
          <w:sz w:val="24"/>
          <w:szCs w:val="20"/>
        </w:rPr>
        <w:t>投标文件报价出现前后不一致的，按照下列规定修正：</w:t>
      </w:r>
    </w:p>
    <w:p>
      <w:pPr>
        <w:numPr>
          <w:ilvl w:val="0"/>
          <w:numId w:val="43"/>
        </w:numPr>
        <w:adjustRightInd w:val="0"/>
        <w:spacing w:line="360" w:lineRule="auto"/>
        <w:ind w:left="742" w:hanging="493"/>
        <w:rPr>
          <w:rFonts w:ascii="宋体" w:hAnsi="宋体" w:cs="Times New Roman"/>
          <w:color w:val="0D0D0D"/>
          <w:sz w:val="24"/>
          <w:szCs w:val="24"/>
        </w:rPr>
      </w:pPr>
      <w:r>
        <w:rPr>
          <w:rFonts w:ascii="宋体" w:hAnsi="宋体" w:cs="Times New Roman"/>
          <w:color w:val="0D0D0D"/>
          <w:sz w:val="24"/>
          <w:szCs w:val="24"/>
        </w:rPr>
        <w:t>投标文件中开标一览表内容与投标文件中相应内容不一致的，以开标一览表为准</w:t>
      </w:r>
      <w:r>
        <w:rPr>
          <w:rFonts w:hint="eastAsia" w:ascii="宋体" w:hAnsi="宋体" w:cs="Times New Roman"/>
          <w:color w:val="0D0D0D"/>
          <w:sz w:val="24"/>
          <w:szCs w:val="24"/>
        </w:rPr>
        <w:t>。</w:t>
      </w:r>
    </w:p>
    <w:p>
      <w:pPr>
        <w:numPr>
          <w:ilvl w:val="0"/>
          <w:numId w:val="43"/>
        </w:numPr>
        <w:adjustRightInd w:val="0"/>
        <w:spacing w:line="360" w:lineRule="auto"/>
        <w:ind w:left="742" w:hanging="493"/>
        <w:rPr>
          <w:rFonts w:ascii="宋体" w:hAnsi="宋体" w:cs="Times New Roman"/>
          <w:color w:val="0D0D0D"/>
          <w:sz w:val="24"/>
          <w:szCs w:val="24"/>
        </w:rPr>
      </w:pPr>
      <w:r>
        <w:rPr>
          <w:rFonts w:ascii="宋体" w:hAnsi="宋体" w:cs="Times New Roman"/>
          <w:color w:val="0D0D0D"/>
          <w:sz w:val="24"/>
          <w:szCs w:val="24"/>
        </w:rPr>
        <w:t>大写金额和小写金额不一致的，以大写金额为准</w:t>
      </w:r>
      <w:r>
        <w:rPr>
          <w:rFonts w:hint="eastAsia" w:ascii="宋体" w:hAnsi="宋体" w:cs="Times New Roman"/>
          <w:color w:val="0D0D0D"/>
          <w:sz w:val="24"/>
          <w:szCs w:val="24"/>
        </w:rPr>
        <w:t>。</w:t>
      </w:r>
    </w:p>
    <w:p>
      <w:pPr>
        <w:numPr>
          <w:ilvl w:val="0"/>
          <w:numId w:val="43"/>
        </w:numPr>
        <w:adjustRightInd w:val="0"/>
        <w:spacing w:line="360" w:lineRule="auto"/>
        <w:ind w:left="742" w:hanging="493"/>
        <w:rPr>
          <w:rFonts w:ascii="宋体" w:hAnsi="宋体" w:cs="Times New Roman"/>
          <w:color w:val="0D0D0D"/>
          <w:sz w:val="24"/>
          <w:szCs w:val="24"/>
        </w:rPr>
      </w:pPr>
      <w:r>
        <w:rPr>
          <w:rFonts w:ascii="宋体" w:hAnsi="宋体" w:cs="Times New Roman"/>
          <w:color w:val="0D0D0D"/>
          <w:sz w:val="24"/>
          <w:szCs w:val="24"/>
        </w:rPr>
        <w:t>单价金额小数点或者百分比有明显错位的，以开标一览表的总价为准，并修改单价</w:t>
      </w:r>
      <w:r>
        <w:rPr>
          <w:rFonts w:hint="eastAsia" w:ascii="宋体" w:hAnsi="宋体" w:cs="Times New Roman"/>
          <w:color w:val="0D0D0D"/>
          <w:sz w:val="24"/>
          <w:szCs w:val="24"/>
        </w:rPr>
        <w:t>。</w:t>
      </w:r>
    </w:p>
    <w:p>
      <w:pPr>
        <w:numPr>
          <w:ilvl w:val="0"/>
          <w:numId w:val="43"/>
        </w:numPr>
        <w:adjustRightInd w:val="0"/>
        <w:spacing w:line="360" w:lineRule="auto"/>
        <w:ind w:left="742" w:hanging="493"/>
        <w:rPr>
          <w:rFonts w:ascii="宋体" w:hAnsi="宋体" w:cs="Times New Roman"/>
          <w:color w:val="0D0D0D"/>
          <w:sz w:val="24"/>
          <w:szCs w:val="24"/>
        </w:rPr>
      </w:pPr>
      <w:r>
        <w:rPr>
          <w:rFonts w:ascii="宋体" w:hAnsi="宋体" w:cs="Times New Roman"/>
          <w:color w:val="0D0D0D"/>
          <w:sz w:val="24"/>
          <w:szCs w:val="24"/>
        </w:rPr>
        <w:t>总价金额与按单价汇总金额不一致的，以单价金额计算结果为准</w:t>
      </w:r>
      <w:r>
        <w:rPr>
          <w:rFonts w:hint="eastAsia" w:ascii="宋体" w:hAnsi="宋体" w:cs="Times New Roman"/>
          <w:color w:val="0D0D0D"/>
          <w:sz w:val="24"/>
          <w:szCs w:val="24"/>
        </w:rPr>
        <w:t>。</w:t>
      </w:r>
    </w:p>
    <w:p>
      <w:pPr>
        <w:numPr>
          <w:ilvl w:val="0"/>
          <w:numId w:val="43"/>
        </w:numPr>
        <w:adjustRightInd w:val="0"/>
        <w:spacing w:line="360" w:lineRule="auto"/>
        <w:ind w:left="742" w:hanging="493"/>
        <w:rPr>
          <w:rFonts w:ascii="宋体" w:hAnsi="宋体" w:cs="Times New Roman"/>
          <w:color w:val="0D0D0D"/>
          <w:sz w:val="24"/>
          <w:szCs w:val="24"/>
        </w:rPr>
      </w:pPr>
      <w:r>
        <w:rPr>
          <w:rFonts w:ascii="宋体" w:hAnsi="宋体" w:cs="Times New Roman"/>
          <w:color w:val="0D0D0D"/>
          <w:sz w:val="24"/>
          <w:szCs w:val="24"/>
        </w:rPr>
        <w:t>同时出现两种以上不一致的，按照前款规定的顺序修正</w:t>
      </w:r>
      <w:r>
        <w:rPr>
          <w:rFonts w:hint="eastAsia" w:ascii="宋体" w:hAnsi="宋体" w:cs="Times New Roman"/>
          <w:color w:val="0D0D0D"/>
          <w:sz w:val="24"/>
          <w:szCs w:val="24"/>
        </w:rPr>
        <w:t>。</w:t>
      </w:r>
    </w:p>
    <w:p>
      <w:pPr>
        <w:numPr>
          <w:ilvl w:val="0"/>
          <w:numId w:val="43"/>
        </w:numPr>
        <w:adjustRightInd w:val="0"/>
        <w:spacing w:line="360" w:lineRule="auto"/>
        <w:ind w:left="742" w:hanging="493"/>
        <w:rPr>
          <w:rFonts w:ascii="宋体" w:hAnsi="宋体" w:cs="Times New Roman"/>
          <w:color w:val="0D0D0D"/>
          <w:sz w:val="24"/>
          <w:szCs w:val="24"/>
        </w:rPr>
      </w:pPr>
      <w:r>
        <w:rPr>
          <w:rFonts w:ascii="宋体" w:hAnsi="宋体" w:cs="Times New Roman"/>
          <w:color w:val="0D0D0D"/>
          <w:sz w:val="24"/>
          <w:szCs w:val="24"/>
        </w:rPr>
        <w:t>修正后的报价按照</w:t>
      </w:r>
      <w:r>
        <w:rPr>
          <w:rFonts w:hint="eastAsia" w:ascii="宋体" w:hAnsi="宋体" w:cs="Times New Roman"/>
          <w:color w:val="0D0D0D"/>
          <w:sz w:val="24"/>
          <w:szCs w:val="24"/>
        </w:rPr>
        <w:t>本节第4条规定</w:t>
      </w:r>
      <w:r>
        <w:rPr>
          <w:rFonts w:ascii="宋体" w:hAnsi="宋体" w:cs="Times New Roman"/>
          <w:color w:val="0D0D0D"/>
          <w:sz w:val="24"/>
          <w:szCs w:val="24"/>
        </w:rPr>
        <w:t>经投标人确认后产生约束力，投标人不确认的，</w:t>
      </w:r>
      <w:r>
        <w:rPr>
          <w:rFonts w:hint="eastAsia" w:ascii="宋体" w:hAnsi="宋体" w:cs="Times New Roman"/>
          <w:color w:val="0D0D0D"/>
          <w:sz w:val="24"/>
          <w:szCs w:val="24"/>
        </w:rPr>
        <w:t>按照</w:t>
      </w:r>
      <w:r>
        <w:rPr>
          <w:rFonts w:ascii="宋体" w:hAnsi="宋体" w:cs="Times New Roman"/>
          <w:b/>
          <w:color w:val="0D0D0D"/>
          <w:sz w:val="24"/>
          <w:szCs w:val="24"/>
        </w:rPr>
        <w:t>无效</w:t>
      </w:r>
      <w:r>
        <w:rPr>
          <w:rFonts w:hint="eastAsia" w:ascii="宋体" w:hAnsi="宋体" w:cs="Times New Roman"/>
          <w:b/>
          <w:color w:val="0D0D0D"/>
          <w:sz w:val="24"/>
          <w:szCs w:val="24"/>
        </w:rPr>
        <w:t>投标处理</w:t>
      </w:r>
      <w:r>
        <w:rPr>
          <w:rFonts w:ascii="宋体" w:hAnsi="宋体" w:cs="Times New Roman"/>
          <w:color w:val="0D0D0D"/>
          <w:sz w:val="24"/>
          <w:szCs w:val="24"/>
        </w:rPr>
        <w:t>。</w:t>
      </w:r>
    </w:p>
    <w:p>
      <w:pPr>
        <w:numPr>
          <w:ilvl w:val="0"/>
          <w:numId w:val="42"/>
        </w:numPr>
        <w:tabs>
          <w:tab w:val="left" w:pos="616"/>
        </w:tabs>
        <w:spacing w:line="360" w:lineRule="auto"/>
        <w:ind w:left="10" w:leftChars="5" w:firstLine="237" w:firstLineChars="99"/>
        <w:rPr>
          <w:rFonts w:ascii="宋体" w:hAnsi="宋体" w:cs="Times New Roman"/>
          <w:sz w:val="24"/>
          <w:szCs w:val="20"/>
        </w:rPr>
      </w:pPr>
      <w:r>
        <w:rPr>
          <w:rFonts w:hint="eastAsia" w:ascii="宋体" w:hAnsi="宋体" w:cs="Times New Roman"/>
          <w:sz w:val="24"/>
          <w:szCs w:val="20"/>
        </w:rPr>
        <w:t>投标人的</w:t>
      </w:r>
      <w:r>
        <w:rPr>
          <w:rFonts w:ascii="Helvetica" w:hAnsi="Helvetica" w:cs="Helvetica"/>
          <w:kern w:val="0"/>
          <w:sz w:val="24"/>
          <w:szCs w:val="24"/>
        </w:rPr>
        <w:t>澄清、说明或者补正</w:t>
      </w:r>
      <w:r>
        <w:rPr>
          <w:rFonts w:hint="eastAsia" w:ascii="宋体" w:hAnsi="宋体" w:cs="Times New Roman"/>
          <w:sz w:val="24"/>
          <w:szCs w:val="20"/>
        </w:rPr>
        <w:t>是其投标文件的有效组成部分。</w:t>
      </w:r>
      <w:r>
        <w:rPr>
          <w:rFonts w:ascii="Helvetica" w:hAnsi="Helvetica" w:cs="Helvetica"/>
          <w:kern w:val="0"/>
          <w:sz w:val="24"/>
          <w:szCs w:val="24"/>
        </w:rPr>
        <w:t>投标人的澄清、说明或者补正应当采用书面形式，并加盖公章，或者由法定代表人或其授权的代表签字。</w:t>
      </w:r>
    </w:p>
    <w:p>
      <w:pPr>
        <w:numPr>
          <w:ilvl w:val="0"/>
          <w:numId w:val="40"/>
        </w:numPr>
        <w:ind w:left="1311" w:leftChars="154" w:hanging="988" w:hangingChars="353"/>
        <w:rPr>
          <w:rFonts w:ascii="宋体" w:hAnsi="宋体" w:cs="Times New Roman"/>
          <w:b/>
          <w:sz w:val="28"/>
          <w:szCs w:val="28"/>
        </w:rPr>
      </w:pPr>
      <w:r>
        <w:rPr>
          <w:rFonts w:hint="eastAsia" w:ascii="宋体" w:hAnsi="宋体" w:cs="Times New Roman"/>
          <w:b/>
          <w:sz w:val="28"/>
          <w:szCs w:val="28"/>
        </w:rPr>
        <w:t>综合比较与评价</w:t>
      </w:r>
    </w:p>
    <w:p>
      <w:pPr>
        <w:spacing w:line="360" w:lineRule="auto"/>
        <w:ind w:firstLine="480" w:firstLineChars="200"/>
        <w:rPr>
          <w:rFonts w:ascii="宋体" w:hAnsi="宋体" w:cs="Times New Roman"/>
          <w:bCs/>
          <w:sz w:val="24"/>
          <w:szCs w:val="20"/>
        </w:rPr>
      </w:pPr>
      <w:r>
        <w:rPr>
          <w:rFonts w:ascii="宋体" w:hAnsi="宋体" w:cs="Times New Roman"/>
          <w:bCs/>
          <w:sz w:val="24"/>
          <w:szCs w:val="20"/>
        </w:rPr>
        <w:t>评标委员会应当按照</w:t>
      </w:r>
      <w:r>
        <w:rPr>
          <w:rFonts w:hint="eastAsia" w:ascii="宋体" w:hAnsi="宋体" w:cs="Times New Roman"/>
          <w:bCs/>
          <w:sz w:val="24"/>
          <w:szCs w:val="20"/>
        </w:rPr>
        <w:t>本章</w:t>
      </w:r>
      <w:r>
        <w:rPr>
          <w:rFonts w:ascii="宋体" w:hAnsi="宋体" w:cs="Times New Roman"/>
          <w:bCs/>
          <w:sz w:val="24"/>
          <w:szCs w:val="20"/>
        </w:rPr>
        <w:t>中规定的</w:t>
      </w:r>
      <w:r>
        <w:rPr>
          <w:rFonts w:hint="eastAsia" w:ascii="宋体" w:hAnsi="宋体" w:cs="Times New Roman"/>
          <w:bCs/>
          <w:sz w:val="24"/>
          <w:szCs w:val="20"/>
        </w:rPr>
        <w:t>评标方法和标准</w:t>
      </w:r>
      <w:r>
        <w:rPr>
          <w:rFonts w:ascii="宋体" w:hAnsi="宋体" w:cs="Times New Roman"/>
          <w:bCs/>
          <w:sz w:val="24"/>
          <w:szCs w:val="20"/>
        </w:rPr>
        <w:t>，对符合性审查合格的投标文件进行商务和技术</w:t>
      </w:r>
      <w:r>
        <w:rPr>
          <w:rFonts w:hint="eastAsia" w:ascii="宋体" w:hAnsi="宋体" w:cs="Times New Roman"/>
          <w:bCs/>
          <w:sz w:val="24"/>
          <w:szCs w:val="20"/>
        </w:rPr>
        <w:t>、服务</w:t>
      </w:r>
      <w:r>
        <w:rPr>
          <w:rFonts w:ascii="宋体" w:hAnsi="宋体" w:cs="Times New Roman"/>
          <w:bCs/>
          <w:sz w:val="24"/>
          <w:szCs w:val="20"/>
        </w:rPr>
        <w:t>评估，综合比较与评价。</w:t>
      </w:r>
    </w:p>
    <w:p>
      <w:pPr>
        <w:numPr>
          <w:ilvl w:val="0"/>
          <w:numId w:val="44"/>
        </w:numPr>
        <w:tabs>
          <w:tab w:val="left" w:pos="616"/>
        </w:tabs>
        <w:spacing w:line="360" w:lineRule="auto"/>
        <w:ind w:left="10" w:leftChars="5" w:firstLine="237" w:firstLineChars="99"/>
        <w:rPr>
          <w:rFonts w:ascii="宋体" w:hAnsi="宋体" w:cs="Times New Roman"/>
          <w:b/>
          <w:bCs/>
          <w:sz w:val="24"/>
          <w:szCs w:val="20"/>
        </w:rPr>
      </w:pPr>
      <w:r>
        <w:rPr>
          <w:rFonts w:hint="eastAsia" w:ascii="宋体" w:hAnsi="宋体" w:cs="Times New Roman"/>
          <w:b/>
          <w:bCs/>
          <w:sz w:val="24"/>
          <w:szCs w:val="20"/>
        </w:rPr>
        <w:t>商务评议</w:t>
      </w:r>
    </w:p>
    <w:p>
      <w:pPr>
        <w:spacing w:line="360" w:lineRule="auto"/>
        <w:ind w:firstLine="480" w:firstLineChars="200"/>
        <w:rPr>
          <w:rFonts w:ascii="宋体" w:hAnsi="宋体" w:cs="Times New Roman"/>
          <w:bCs/>
          <w:sz w:val="24"/>
          <w:szCs w:val="20"/>
        </w:rPr>
      </w:pPr>
      <w:r>
        <w:rPr>
          <w:rFonts w:hint="eastAsia" w:ascii="宋体" w:hAnsi="宋体" w:cs="Times New Roman"/>
          <w:bCs/>
          <w:sz w:val="24"/>
          <w:szCs w:val="20"/>
        </w:rPr>
        <w:t>评标委员会对符合性审查合格的投标文件进行评议，并依据本章“评审因素及评分标准”中的商务评议进行综合比较和评分。</w:t>
      </w:r>
    </w:p>
    <w:p>
      <w:pPr>
        <w:numPr>
          <w:ilvl w:val="0"/>
          <w:numId w:val="44"/>
        </w:numPr>
        <w:tabs>
          <w:tab w:val="left" w:pos="616"/>
        </w:tabs>
        <w:spacing w:line="360" w:lineRule="auto"/>
        <w:ind w:left="10" w:leftChars="5" w:firstLine="237" w:firstLineChars="99"/>
        <w:rPr>
          <w:rFonts w:ascii="宋体" w:hAnsi="宋体" w:cs="Times New Roman"/>
          <w:b/>
          <w:bCs/>
          <w:sz w:val="24"/>
          <w:szCs w:val="20"/>
        </w:rPr>
      </w:pPr>
      <w:r>
        <w:rPr>
          <w:rFonts w:hint="eastAsia" w:ascii="宋体" w:hAnsi="宋体" w:cs="Times New Roman"/>
          <w:b/>
          <w:bCs/>
          <w:sz w:val="24"/>
          <w:szCs w:val="20"/>
        </w:rPr>
        <w:t>技术、服务评议</w:t>
      </w:r>
    </w:p>
    <w:p>
      <w:pPr>
        <w:spacing w:line="360" w:lineRule="auto"/>
        <w:ind w:firstLine="480" w:firstLineChars="200"/>
        <w:rPr>
          <w:rFonts w:ascii="宋体" w:hAnsi="宋体" w:cs="Times New Roman"/>
          <w:kern w:val="0"/>
          <w:sz w:val="24"/>
          <w:szCs w:val="20"/>
        </w:rPr>
      </w:pPr>
      <w:r>
        <w:rPr>
          <w:rFonts w:hint="eastAsia" w:ascii="宋体" w:hAnsi="宋体" w:cs="Times New Roman"/>
          <w:bCs/>
          <w:sz w:val="24"/>
          <w:szCs w:val="20"/>
        </w:rPr>
        <w:t>评标委员会对符合性审查合格的投标文件进行评议，并依据本章“评审因素及评分标准”中的技术、服务评议进行综合比较和评分。</w:t>
      </w:r>
    </w:p>
    <w:p>
      <w:pPr>
        <w:numPr>
          <w:ilvl w:val="0"/>
          <w:numId w:val="44"/>
        </w:numPr>
        <w:tabs>
          <w:tab w:val="left" w:pos="616"/>
        </w:tabs>
        <w:spacing w:line="360" w:lineRule="auto"/>
        <w:ind w:left="10" w:leftChars="5" w:firstLine="237" w:firstLineChars="99"/>
        <w:rPr>
          <w:rFonts w:ascii="宋体" w:hAnsi="宋体" w:cs="Times New Roman"/>
          <w:b/>
          <w:bCs/>
          <w:sz w:val="24"/>
          <w:szCs w:val="20"/>
        </w:rPr>
      </w:pPr>
      <w:r>
        <w:rPr>
          <w:rFonts w:hint="eastAsia" w:ascii="宋体" w:hAnsi="宋体" w:cs="Times New Roman"/>
          <w:b/>
          <w:bCs/>
          <w:sz w:val="24"/>
          <w:szCs w:val="20"/>
        </w:rPr>
        <w:t>价格评议</w:t>
      </w:r>
    </w:p>
    <w:p>
      <w:pPr>
        <w:spacing w:line="360" w:lineRule="auto"/>
        <w:ind w:firstLine="480" w:firstLineChars="200"/>
        <w:rPr>
          <w:rFonts w:ascii="宋体" w:hAnsi="宋体" w:cs="Times New Roman"/>
          <w:bCs/>
          <w:sz w:val="24"/>
          <w:szCs w:val="24"/>
        </w:rPr>
      </w:pPr>
      <w:r>
        <w:rPr>
          <w:rFonts w:hint="eastAsia" w:ascii="宋体" w:hAnsi="宋体" w:cs="Times New Roman"/>
          <w:bCs/>
          <w:sz w:val="24"/>
          <w:szCs w:val="24"/>
        </w:rPr>
        <w:t>评标委员会对符合性审查合格的投标文件进行价格评议（</w:t>
      </w:r>
      <w:r>
        <w:rPr>
          <w:rFonts w:hint="eastAsia" w:ascii="宋体" w:hAnsi="宋体" w:cs="Times New Roman"/>
          <w:bCs/>
          <w:sz w:val="24"/>
          <w:szCs w:val="21"/>
        </w:rPr>
        <w:t>执行国家统一定价标准和采用固定价格采购的项目，其价格不列为评审因素</w:t>
      </w:r>
      <w:r>
        <w:rPr>
          <w:rFonts w:hint="eastAsia" w:ascii="宋体" w:hAnsi="宋体" w:cs="Times New Roman"/>
          <w:bCs/>
          <w:sz w:val="24"/>
          <w:szCs w:val="24"/>
        </w:rPr>
        <w:t>），价格分采用低价优先法计算，即满足招标文件要求且投标价格（落实政府采购政策进行价格调整的，以调整后的价格计算）最低的投标报价为评标基准价，其价格分为满分。其他投标人的价格分计算详见本章“评审因素及评分标准”中的具体计算公式。</w:t>
      </w:r>
    </w:p>
    <w:p>
      <w:pPr>
        <w:numPr>
          <w:ilvl w:val="0"/>
          <w:numId w:val="45"/>
        </w:numPr>
        <w:adjustRightInd w:val="0"/>
        <w:spacing w:line="360" w:lineRule="auto"/>
        <w:ind w:left="742" w:hanging="493"/>
        <w:rPr>
          <w:rFonts w:ascii="宋体" w:hAnsi="宋体" w:cs="Times New Roman"/>
          <w:bCs/>
          <w:sz w:val="24"/>
          <w:szCs w:val="21"/>
        </w:rPr>
      </w:pPr>
      <w:r>
        <w:rPr>
          <w:rFonts w:hint="eastAsia" w:ascii="宋体" w:hAnsi="宋体" w:cs="Times New Roman"/>
          <w:b/>
          <w:sz w:val="24"/>
          <w:szCs w:val="24"/>
        </w:rPr>
        <w:t>报价合理性说明：</w:t>
      </w:r>
      <w:r>
        <w:rPr>
          <w:rFonts w:ascii="宋体" w:hAnsi="宋体" w:cs="Helvetica"/>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w:t>
      </w:r>
      <w:r>
        <w:rPr>
          <w:rFonts w:hint="eastAsia" w:ascii="宋体" w:hAnsi="宋体" w:cs="Helvetica"/>
          <w:kern w:val="0"/>
          <w:sz w:val="24"/>
          <w:szCs w:val="24"/>
        </w:rPr>
        <w:t>应当将其作为</w:t>
      </w:r>
      <w:r>
        <w:rPr>
          <w:rFonts w:ascii="宋体" w:hAnsi="宋体" w:cs="Helvetica"/>
          <w:b/>
          <w:kern w:val="0"/>
          <w:sz w:val="24"/>
          <w:szCs w:val="24"/>
        </w:rPr>
        <w:t>无效投标处理</w:t>
      </w:r>
      <w:r>
        <w:rPr>
          <w:rFonts w:ascii="宋体" w:hAnsi="宋体" w:cs="Helvetica"/>
          <w:kern w:val="0"/>
          <w:sz w:val="24"/>
          <w:szCs w:val="24"/>
        </w:rPr>
        <w:t>。</w:t>
      </w:r>
    </w:p>
    <w:p>
      <w:pPr>
        <w:numPr>
          <w:ilvl w:val="0"/>
          <w:numId w:val="45"/>
        </w:numPr>
        <w:adjustRightInd w:val="0"/>
        <w:spacing w:line="360" w:lineRule="auto"/>
        <w:ind w:left="742" w:hanging="493"/>
        <w:rPr>
          <w:rFonts w:ascii="宋体" w:hAnsi="宋体" w:cs="Times New Roman"/>
          <w:b/>
          <w:sz w:val="24"/>
          <w:szCs w:val="24"/>
        </w:rPr>
      </w:pPr>
      <w:r>
        <w:rPr>
          <w:rFonts w:hint="eastAsia" w:ascii="宋体" w:hAnsi="宋体" w:cs="Times New Roman"/>
          <w:b/>
          <w:sz w:val="24"/>
          <w:szCs w:val="24"/>
        </w:rPr>
        <w:t>小型和微型企业、监狱企业、残疾人福利性单位价格扣除：</w:t>
      </w:r>
    </w:p>
    <w:p>
      <w:pPr>
        <w:numPr>
          <w:ilvl w:val="0"/>
          <w:numId w:val="46"/>
        </w:numPr>
        <w:spacing w:line="360" w:lineRule="auto"/>
        <w:ind w:left="1134" w:hanging="756"/>
        <w:rPr>
          <w:rFonts w:ascii="宋体" w:hAnsi="宋体" w:cs="Times New Roman"/>
          <w:bCs/>
          <w:sz w:val="24"/>
          <w:szCs w:val="20"/>
        </w:rPr>
      </w:pPr>
      <w:r>
        <w:rPr>
          <w:rFonts w:hint="eastAsia" w:ascii="宋体" w:hAnsi="宋体" w:cs="Times New Roman"/>
          <w:bCs/>
          <w:sz w:val="24"/>
          <w:szCs w:val="20"/>
        </w:rPr>
        <w:t>非专门面向中小企业的货物类采购项目，按招标文件中采购清单确定的货物，对小型和微型企业制造的货物价格给予</w:t>
      </w:r>
      <w:r>
        <w:rPr>
          <w:rFonts w:hint="eastAsia" w:ascii="宋体" w:hAnsi="宋体" w:cs="Times New Roman"/>
          <w:b/>
          <w:bCs/>
          <w:sz w:val="24"/>
          <w:szCs w:val="20"/>
        </w:rPr>
        <w:t>6%</w:t>
      </w:r>
      <w:r>
        <w:rPr>
          <w:rFonts w:hint="eastAsia" w:ascii="宋体" w:hAnsi="宋体" w:cs="Times New Roman"/>
          <w:bCs/>
          <w:sz w:val="24"/>
          <w:szCs w:val="20"/>
        </w:rPr>
        <w:t>的扣除，用扣除后的价格参与评审。</w:t>
      </w:r>
    </w:p>
    <w:p>
      <w:pPr>
        <w:numPr>
          <w:ilvl w:val="0"/>
          <w:numId w:val="46"/>
        </w:numPr>
        <w:spacing w:line="360" w:lineRule="auto"/>
        <w:ind w:left="1134" w:hanging="756"/>
        <w:rPr>
          <w:rFonts w:ascii="宋体" w:hAnsi="宋体" w:cs="Times New Roman"/>
          <w:bCs/>
          <w:sz w:val="24"/>
          <w:szCs w:val="20"/>
        </w:rPr>
      </w:pPr>
      <w:r>
        <w:rPr>
          <w:rFonts w:hint="eastAsia" w:ascii="宋体" w:hAnsi="宋体" w:cs="Times New Roman"/>
          <w:bCs/>
          <w:sz w:val="24"/>
          <w:szCs w:val="20"/>
        </w:rPr>
        <w:t>非专门面向中小企业的工程、服务类采购项目，投标人是小型和微型企业的价格给予</w:t>
      </w:r>
      <w:r>
        <w:rPr>
          <w:rFonts w:hint="eastAsia" w:ascii="宋体" w:hAnsi="宋体" w:cs="Times New Roman"/>
          <w:b/>
          <w:bCs/>
          <w:sz w:val="24"/>
          <w:szCs w:val="20"/>
        </w:rPr>
        <w:t>6%</w:t>
      </w:r>
      <w:r>
        <w:rPr>
          <w:rFonts w:hint="eastAsia" w:ascii="宋体" w:hAnsi="宋体" w:cs="Times New Roman"/>
          <w:bCs/>
          <w:sz w:val="24"/>
          <w:szCs w:val="20"/>
        </w:rPr>
        <w:t>的扣除，用扣除后的价格参与评审。</w:t>
      </w:r>
    </w:p>
    <w:p>
      <w:pPr>
        <w:numPr>
          <w:ilvl w:val="0"/>
          <w:numId w:val="46"/>
        </w:numPr>
        <w:spacing w:line="360" w:lineRule="auto"/>
        <w:ind w:left="1134" w:hanging="756"/>
        <w:rPr>
          <w:rFonts w:ascii="宋体" w:hAnsi="宋体" w:cs="Times New Roman"/>
          <w:bCs/>
          <w:sz w:val="24"/>
          <w:szCs w:val="20"/>
        </w:rPr>
      </w:pPr>
      <w:r>
        <w:rPr>
          <w:rFonts w:ascii="宋体" w:hAnsi="宋体" w:cs="Times New Roman"/>
          <w:bCs/>
          <w:sz w:val="24"/>
          <w:szCs w:val="20"/>
        </w:rPr>
        <w:t>鼓励大中型企业和其他自然人、法人或者其他组织与小型、微型企业组成联合体共同参加非专门面向中小企业的政府采购活动。联合协议中约定，小型、微型企业的协议合同金额占到联合体协议合同总金额</w:t>
      </w:r>
      <w:r>
        <w:rPr>
          <w:rFonts w:ascii="宋体" w:hAnsi="宋体" w:cs="Times New Roman"/>
          <w:b/>
          <w:bCs/>
          <w:sz w:val="24"/>
          <w:szCs w:val="20"/>
        </w:rPr>
        <w:t>30%</w:t>
      </w:r>
      <w:r>
        <w:rPr>
          <w:rFonts w:ascii="宋体" w:hAnsi="宋体" w:cs="Times New Roman"/>
          <w:bCs/>
          <w:sz w:val="24"/>
          <w:szCs w:val="20"/>
        </w:rPr>
        <w:t>以上的，可给予联合体</w:t>
      </w:r>
      <w:r>
        <w:rPr>
          <w:rFonts w:ascii="宋体" w:hAnsi="宋体" w:cs="Times New Roman"/>
          <w:b/>
          <w:bCs/>
          <w:sz w:val="24"/>
          <w:szCs w:val="20"/>
        </w:rPr>
        <w:t>3%</w:t>
      </w:r>
      <w:r>
        <w:rPr>
          <w:rFonts w:ascii="宋体" w:hAnsi="宋体" w:cs="Times New Roman"/>
          <w:bCs/>
          <w:sz w:val="24"/>
          <w:szCs w:val="20"/>
        </w:rPr>
        <w:t>的价格扣除</w:t>
      </w:r>
      <w:r>
        <w:rPr>
          <w:rFonts w:hint="eastAsia" w:ascii="宋体" w:hAnsi="宋体" w:cs="Times New Roman"/>
          <w:bCs/>
          <w:sz w:val="24"/>
          <w:szCs w:val="20"/>
        </w:rPr>
        <w:t>，不重复享受政策。</w:t>
      </w:r>
    </w:p>
    <w:p>
      <w:pPr>
        <w:numPr>
          <w:ilvl w:val="0"/>
          <w:numId w:val="46"/>
        </w:numPr>
        <w:spacing w:line="360" w:lineRule="auto"/>
        <w:ind w:left="1134" w:hanging="756"/>
        <w:rPr>
          <w:rFonts w:ascii="宋体" w:hAnsi="宋体" w:cs="Times New Roman"/>
          <w:bCs/>
          <w:sz w:val="24"/>
          <w:szCs w:val="20"/>
        </w:rPr>
      </w:pPr>
      <w:r>
        <w:rPr>
          <w:rFonts w:ascii="宋体" w:hAnsi="宋体" w:cs="Times New Roman"/>
          <w:bCs/>
          <w:sz w:val="24"/>
          <w:szCs w:val="20"/>
        </w:rPr>
        <w:t>监狱企业</w:t>
      </w:r>
      <w:r>
        <w:rPr>
          <w:rFonts w:hint="eastAsia" w:ascii="宋体" w:hAnsi="宋体" w:cs="Times New Roman"/>
          <w:bCs/>
          <w:sz w:val="24"/>
          <w:szCs w:val="20"/>
        </w:rPr>
        <w:t>、残疾人福利性单位</w:t>
      </w:r>
      <w:r>
        <w:rPr>
          <w:rFonts w:ascii="宋体" w:hAnsi="宋体" w:cs="Times New Roman"/>
          <w:bCs/>
          <w:sz w:val="24"/>
          <w:szCs w:val="20"/>
        </w:rPr>
        <w:t>视同小型、微型企业，享受预留份额、评审中价格扣除等政府采购促进中小企业发展的政府采购政策</w:t>
      </w:r>
      <w:r>
        <w:rPr>
          <w:rFonts w:hint="eastAsia" w:ascii="宋体" w:hAnsi="宋体" w:cs="Times New Roman"/>
          <w:bCs/>
          <w:sz w:val="24"/>
          <w:szCs w:val="20"/>
        </w:rPr>
        <w:t>，残疾人福利性单位属于小型、微型企业的，不重复享受政策。</w:t>
      </w:r>
    </w:p>
    <w:p>
      <w:pPr>
        <w:numPr>
          <w:ilvl w:val="0"/>
          <w:numId w:val="46"/>
        </w:numPr>
        <w:spacing w:line="360" w:lineRule="auto"/>
        <w:ind w:left="1134" w:hanging="756"/>
        <w:rPr>
          <w:rFonts w:ascii="宋体" w:hAnsi="宋体" w:cs="Times New Roman"/>
          <w:bCs/>
          <w:sz w:val="24"/>
          <w:szCs w:val="20"/>
        </w:rPr>
      </w:pPr>
      <w:r>
        <w:rPr>
          <w:rFonts w:hint="eastAsia" w:ascii="宋体" w:hAnsi="宋体" w:cs="Times New Roman"/>
          <w:bCs/>
          <w:sz w:val="24"/>
          <w:szCs w:val="20"/>
        </w:rPr>
        <w:t>小型和微型企业应出具《声明函》（附件二、三）；监狱企业应提供由省级监狱局、戒毒局（含新疆生产建设兵团）出具的监狱企业的证明文件；残疾人福利性单位提供《声明函》（附件四）。</w:t>
      </w:r>
    </w:p>
    <w:p>
      <w:pPr>
        <w:numPr>
          <w:ilvl w:val="0"/>
          <w:numId w:val="44"/>
        </w:numPr>
        <w:tabs>
          <w:tab w:val="left" w:pos="616"/>
        </w:tabs>
        <w:spacing w:line="360" w:lineRule="auto"/>
        <w:ind w:left="10" w:leftChars="5" w:firstLine="237" w:firstLineChars="99"/>
        <w:rPr>
          <w:rFonts w:ascii="宋体" w:hAnsi="宋体" w:cs="Times New Roman"/>
          <w:b/>
          <w:bCs/>
          <w:sz w:val="24"/>
          <w:szCs w:val="20"/>
        </w:rPr>
      </w:pPr>
      <w:r>
        <w:rPr>
          <w:rFonts w:hint="eastAsia" w:ascii="宋体" w:hAnsi="宋体" w:cs="Times New Roman"/>
          <w:b/>
          <w:bCs/>
          <w:sz w:val="24"/>
          <w:szCs w:val="20"/>
        </w:rPr>
        <w:t>相同品牌处理原则</w:t>
      </w:r>
    </w:p>
    <w:p>
      <w:pPr>
        <w:numPr>
          <w:ilvl w:val="0"/>
          <w:numId w:val="47"/>
        </w:numPr>
        <w:adjustRightInd w:val="0"/>
        <w:spacing w:line="360" w:lineRule="auto"/>
        <w:ind w:left="756" w:hanging="507"/>
        <w:rPr>
          <w:rFonts w:ascii="Helvetica" w:hAnsi="Helvetica" w:cs="Helvetica"/>
          <w:kern w:val="0"/>
          <w:sz w:val="24"/>
          <w:szCs w:val="24"/>
        </w:rPr>
      </w:pPr>
      <w:r>
        <w:rPr>
          <w:rFonts w:ascii="Helvetica" w:hAnsi="Helvetica" w:cs="Helvetica"/>
          <w:kern w:val="0"/>
          <w:sz w:val="24"/>
          <w:szCs w:val="24"/>
        </w:rPr>
        <w:t>提供相同品牌产品且通过资格审查、符合性审查的不同投标人参加同一合同项下投标的，按一家投标人计算，评审后得分最高的同品牌投标人获得中标人推荐资格；评审得分相同的，由采购人</w:t>
      </w:r>
      <w:r>
        <w:rPr>
          <w:rFonts w:hint="eastAsia" w:ascii="Helvetica" w:hAnsi="Helvetica" w:cs="Helvetica"/>
          <w:kern w:val="0"/>
          <w:sz w:val="24"/>
          <w:szCs w:val="24"/>
        </w:rPr>
        <w:t>确定</w:t>
      </w:r>
      <w:r>
        <w:rPr>
          <w:rFonts w:ascii="Helvetica" w:hAnsi="Helvetica" w:cs="Helvetica"/>
          <w:kern w:val="0"/>
          <w:sz w:val="24"/>
          <w:szCs w:val="24"/>
        </w:rPr>
        <w:t>或者采购人委托评标委员会</w:t>
      </w:r>
      <w:r>
        <w:rPr>
          <w:rFonts w:hint="eastAsia" w:ascii="Helvetica" w:hAnsi="Helvetica" w:cs="Helvetica"/>
          <w:kern w:val="0"/>
          <w:sz w:val="24"/>
          <w:szCs w:val="24"/>
        </w:rPr>
        <w:t>以投票方式</w:t>
      </w:r>
      <w:r>
        <w:rPr>
          <w:rFonts w:ascii="Helvetica" w:hAnsi="Helvetica" w:cs="Helvetica"/>
          <w:kern w:val="0"/>
          <w:sz w:val="24"/>
          <w:szCs w:val="24"/>
        </w:rPr>
        <w:t>确定一个投标人获得中标人推荐资格，其他同品牌投标人不作为中标候选人。</w:t>
      </w:r>
    </w:p>
    <w:p>
      <w:pPr>
        <w:numPr>
          <w:ilvl w:val="0"/>
          <w:numId w:val="47"/>
        </w:numPr>
        <w:adjustRightInd w:val="0"/>
        <w:spacing w:line="360" w:lineRule="auto"/>
        <w:ind w:left="756" w:hanging="507"/>
        <w:rPr>
          <w:rFonts w:ascii="Helvetica" w:hAnsi="Helvetica" w:cs="Helvetica"/>
          <w:kern w:val="0"/>
          <w:sz w:val="24"/>
          <w:szCs w:val="24"/>
        </w:rPr>
      </w:pPr>
      <w:r>
        <w:rPr>
          <w:rFonts w:ascii="Helvetica" w:hAnsi="Helvetica" w:cs="Helvetica"/>
          <w:kern w:val="0"/>
          <w:sz w:val="24"/>
          <w:szCs w:val="24"/>
        </w:rPr>
        <w:t>非单一产品采购项目，采购人应当根据采购项目技术构成、产品价格比重等合理确定</w:t>
      </w:r>
      <w:r>
        <w:rPr>
          <w:rFonts w:hint="eastAsia" w:ascii="Helvetica" w:hAnsi="Helvetica" w:cs="Helvetica"/>
          <w:b/>
          <w:kern w:val="0"/>
          <w:sz w:val="24"/>
          <w:szCs w:val="24"/>
        </w:rPr>
        <w:t>一个</w:t>
      </w:r>
      <w:r>
        <w:rPr>
          <w:rFonts w:ascii="Helvetica" w:hAnsi="Helvetica" w:cs="Helvetica"/>
          <w:b/>
          <w:kern w:val="0"/>
          <w:sz w:val="24"/>
          <w:szCs w:val="24"/>
        </w:rPr>
        <w:t>核心产品</w:t>
      </w:r>
      <w:r>
        <w:rPr>
          <w:rFonts w:hint="eastAsia" w:ascii="Helvetica" w:hAnsi="Helvetica" w:cs="Helvetica"/>
          <w:kern w:val="0"/>
          <w:sz w:val="24"/>
          <w:szCs w:val="24"/>
        </w:rPr>
        <w:t>（采购清单中作“相同〈或同一〉品牌”实质性要求的产品，视为一个核心产品），</w:t>
      </w:r>
      <w:r>
        <w:rPr>
          <w:rFonts w:ascii="Helvetica" w:hAnsi="Helvetica" w:cs="Helvetica"/>
          <w:kern w:val="0"/>
          <w:sz w:val="24"/>
          <w:szCs w:val="24"/>
        </w:rPr>
        <w:t>并</w:t>
      </w:r>
      <w:r>
        <w:rPr>
          <w:rFonts w:hint="eastAsia" w:ascii="Helvetica" w:hAnsi="Helvetica" w:cs="Helvetica"/>
          <w:kern w:val="0"/>
          <w:sz w:val="24"/>
          <w:szCs w:val="24"/>
        </w:rPr>
        <w:t>以</w:t>
      </w:r>
      <w:r>
        <w:rPr>
          <w:rFonts w:hint="eastAsia" w:ascii="Helvetica" w:hAnsi="Helvetica" w:cs="Helvetica"/>
          <w:b/>
          <w:kern w:val="0"/>
          <w:sz w:val="24"/>
          <w:szCs w:val="24"/>
        </w:rPr>
        <w:t>“</w:t>
      </w:r>
      <w:r>
        <w:rPr>
          <w:rFonts w:hint="eastAsia" w:ascii="MS Gothic" w:hAnsi="MS Gothic" w:cs="MS Gothic"/>
          <w:b/>
          <w:kern w:val="0"/>
          <w:sz w:val="24"/>
          <w:szCs w:val="24"/>
        </w:rPr>
        <w:t>核心产品</w:t>
      </w:r>
      <w:r>
        <w:rPr>
          <w:rFonts w:hint="eastAsia" w:ascii="Helvetica" w:hAnsi="Helvetica" w:cs="Helvetica"/>
          <w:b/>
          <w:kern w:val="0"/>
          <w:sz w:val="24"/>
          <w:szCs w:val="24"/>
        </w:rPr>
        <w:t>”</w:t>
      </w:r>
      <w:r>
        <w:rPr>
          <w:rFonts w:ascii="Helvetica" w:hAnsi="Helvetica" w:cs="Helvetica"/>
          <w:kern w:val="0"/>
          <w:sz w:val="24"/>
          <w:szCs w:val="24"/>
        </w:rPr>
        <w:t>在招标文件中</w:t>
      </w:r>
      <w:r>
        <w:rPr>
          <w:rFonts w:hint="eastAsia" w:ascii="Helvetica" w:hAnsi="Helvetica" w:cs="Helvetica"/>
          <w:kern w:val="0"/>
          <w:sz w:val="24"/>
          <w:szCs w:val="24"/>
        </w:rPr>
        <w:t>标注</w:t>
      </w:r>
      <w:r>
        <w:rPr>
          <w:rFonts w:ascii="Helvetica" w:hAnsi="Helvetica" w:cs="Helvetica"/>
          <w:kern w:val="0"/>
          <w:sz w:val="24"/>
          <w:szCs w:val="24"/>
        </w:rPr>
        <w:t>。</w:t>
      </w:r>
    </w:p>
    <w:p>
      <w:pPr>
        <w:numPr>
          <w:ilvl w:val="0"/>
          <w:numId w:val="44"/>
        </w:numPr>
        <w:tabs>
          <w:tab w:val="left" w:pos="616"/>
        </w:tabs>
        <w:spacing w:line="360" w:lineRule="auto"/>
        <w:ind w:left="10" w:leftChars="5" w:firstLine="237" w:firstLineChars="99"/>
        <w:rPr>
          <w:rFonts w:ascii="宋体" w:hAnsi="宋体" w:cs="Times New Roman"/>
          <w:b/>
          <w:bCs/>
          <w:sz w:val="24"/>
          <w:szCs w:val="20"/>
        </w:rPr>
      </w:pPr>
      <w:r>
        <w:rPr>
          <w:rFonts w:hint="eastAsia" w:ascii="宋体" w:hAnsi="宋体" w:cs="Times New Roman"/>
          <w:b/>
          <w:bCs/>
          <w:sz w:val="24"/>
          <w:szCs w:val="20"/>
        </w:rPr>
        <w:t>计分办法</w:t>
      </w:r>
    </w:p>
    <w:p>
      <w:pPr>
        <w:numPr>
          <w:ilvl w:val="0"/>
          <w:numId w:val="48"/>
        </w:numPr>
        <w:adjustRightInd w:val="0"/>
        <w:spacing w:line="360" w:lineRule="auto"/>
        <w:ind w:left="756" w:hanging="507"/>
        <w:rPr>
          <w:rFonts w:ascii="Helvetica" w:hAnsi="Helvetica" w:cs="Helvetica"/>
          <w:kern w:val="0"/>
          <w:sz w:val="24"/>
          <w:szCs w:val="24"/>
        </w:rPr>
      </w:pPr>
      <w:r>
        <w:rPr>
          <w:rFonts w:hint="eastAsia" w:ascii="Helvetica" w:hAnsi="Helvetica" w:cs="Helvetica"/>
          <w:kern w:val="0"/>
          <w:sz w:val="24"/>
          <w:szCs w:val="24"/>
        </w:rPr>
        <w:t>采购代理机构对各评委的总分进行复核。各项统计结果均精确到小数点后两位。</w:t>
      </w:r>
    </w:p>
    <w:p>
      <w:pPr>
        <w:numPr>
          <w:ilvl w:val="0"/>
          <w:numId w:val="48"/>
        </w:numPr>
        <w:adjustRightInd w:val="0"/>
        <w:spacing w:line="360" w:lineRule="auto"/>
        <w:ind w:left="756" w:hanging="507"/>
        <w:rPr>
          <w:rFonts w:ascii="Helvetica" w:hAnsi="Helvetica" w:cs="Helvetica"/>
          <w:kern w:val="0"/>
          <w:sz w:val="24"/>
          <w:szCs w:val="24"/>
        </w:rPr>
      </w:pPr>
      <w:r>
        <w:rPr>
          <w:rFonts w:hint="eastAsia" w:ascii="Helvetica" w:hAnsi="Helvetica" w:cs="Helvetica"/>
          <w:kern w:val="0"/>
          <w:sz w:val="24"/>
          <w:szCs w:val="24"/>
        </w:rPr>
        <w:t>各投标人的最终得分为评委所评定分数的算术平均值。</w:t>
      </w:r>
    </w:p>
    <w:p>
      <w:pPr>
        <w:numPr>
          <w:ilvl w:val="0"/>
          <w:numId w:val="40"/>
        </w:numPr>
        <w:ind w:left="1311" w:leftChars="154" w:hanging="988" w:hangingChars="353"/>
        <w:rPr>
          <w:rFonts w:ascii="宋体" w:hAnsi="宋体" w:cs="Times New Roman"/>
          <w:b/>
          <w:sz w:val="28"/>
          <w:szCs w:val="28"/>
        </w:rPr>
      </w:pPr>
      <w:r>
        <w:rPr>
          <w:rFonts w:hint="eastAsia" w:ascii="宋体" w:hAnsi="宋体" w:cs="Times New Roman"/>
          <w:b/>
          <w:sz w:val="28"/>
          <w:szCs w:val="28"/>
        </w:rPr>
        <w:t>推荐中标候选人名单或确定中标人</w:t>
      </w:r>
    </w:p>
    <w:p>
      <w:pPr>
        <w:numPr>
          <w:ilvl w:val="0"/>
          <w:numId w:val="49"/>
        </w:numPr>
        <w:tabs>
          <w:tab w:val="left" w:pos="616"/>
        </w:tabs>
        <w:spacing w:line="360" w:lineRule="auto"/>
        <w:ind w:left="10" w:leftChars="5" w:firstLine="237" w:firstLineChars="99"/>
        <w:rPr>
          <w:rFonts w:ascii="Helvetica" w:hAnsi="Helvetica" w:cs="Helvetica"/>
          <w:kern w:val="0"/>
          <w:sz w:val="24"/>
          <w:szCs w:val="24"/>
        </w:rPr>
      </w:pPr>
      <w:r>
        <w:rPr>
          <w:rFonts w:hint="eastAsia" w:ascii="Helvetica" w:hAnsi="Helvetica" w:cs="Helvetica"/>
          <w:kern w:val="0"/>
          <w:sz w:val="24"/>
          <w:szCs w:val="24"/>
        </w:rPr>
        <w:t>评标委员会按照招标文件确定的评标方法、程序及标准，对投标文件进行评审。</w:t>
      </w:r>
      <w:r>
        <w:rPr>
          <w:rFonts w:ascii="Helvetica" w:hAnsi="Helvetica" w:cs="Helvetica"/>
          <w:kern w:val="0"/>
          <w:sz w:val="24"/>
          <w:szCs w:val="24"/>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numPr>
          <w:ilvl w:val="0"/>
          <w:numId w:val="49"/>
        </w:numPr>
        <w:tabs>
          <w:tab w:val="left" w:pos="616"/>
        </w:tabs>
        <w:spacing w:line="360" w:lineRule="auto"/>
        <w:ind w:left="10" w:leftChars="5" w:firstLine="237" w:firstLineChars="99"/>
        <w:rPr>
          <w:rFonts w:ascii="Helvetica" w:hAnsi="Helvetica" w:cs="Helvetica"/>
          <w:kern w:val="0"/>
          <w:sz w:val="24"/>
          <w:szCs w:val="24"/>
        </w:rPr>
      </w:pPr>
      <w:r>
        <w:rPr>
          <w:rFonts w:hint="eastAsia" w:ascii="Helvetica" w:hAnsi="Helvetica" w:cs="Helvetica"/>
          <w:kern w:val="0"/>
          <w:sz w:val="24"/>
          <w:szCs w:val="24"/>
        </w:rPr>
        <w:t>评标委员会依据评标结果，按各投标人的评审后得分由高到低的顺序向采购人推荐得分前三名的进入中标候选人名单，并形成书面的评标报告。</w:t>
      </w:r>
    </w:p>
    <w:p>
      <w:pPr>
        <w:numPr>
          <w:ilvl w:val="0"/>
          <w:numId w:val="49"/>
        </w:numPr>
        <w:tabs>
          <w:tab w:val="left" w:pos="616"/>
        </w:tabs>
        <w:spacing w:line="360" w:lineRule="auto"/>
        <w:ind w:left="10" w:leftChars="5" w:firstLine="237" w:firstLineChars="99"/>
        <w:rPr>
          <w:rFonts w:ascii="Helvetica" w:hAnsi="Helvetica" w:cs="Helvetica"/>
          <w:kern w:val="0"/>
          <w:sz w:val="24"/>
          <w:szCs w:val="24"/>
        </w:rPr>
      </w:pPr>
      <w:r>
        <w:rPr>
          <w:rFonts w:hint="eastAsia" w:ascii="Helvetica" w:hAnsi="Helvetica" w:cs="Helvetica"/>
          <w:kern w:val="0"/>
          <w:sz w:val="24"/>
          <w:szCs w:val="24"/>
        </w:rPr>
        <w:t>中标候选人并列的，</w:t>
      </w:r>
      <w:r>
        <w:rPr>
          <w:rFonts w:ascii="Helvetica" w:hAnsi="Helvetica" w:cs="Helvetica"/>
          <w:kern w:val="0"/>
          <w:sz w:val="24"/>
          <w:szCs w:val="24"/>
        </w:rPr>
        <w:t>由采购人</w:t>
      </w:r>
      <w:r>
        <w:rPr>
          <w:rFonts w:hint="eastAsia" w:ascii="Helvetica" w:hAnsi="Helvetica" w:cs="Helvetica"/>
          <w:kern w:val="0"/>
          <w:sz w:val="24"/>
          <w:szCs w:val="24"/>
        </w:rPr>
        <w:t>确定</w:t>
      </w:r>
      <w:r>
        <w:rPr>
          <w:rFonts w:ascii="Helvetica" w:hAnsi="Helvetica" w:cs="Helvetica"/>
          <w:kern w:val="0"/>
          <w:sz w:val="24"/>
          <w:szCs w:val="24"/>
        </w:rPr>
        <w:t>或者采购人委托评标委员会</w:t>
      </w:r>
      <w:r>
        <w:rPr>
          <w:rFonts w:hint="eastAsia" w:ascii="Helvetica" w:hAnsi="Helvetica" w:cs="Helvetica"/>
          <w:kern w:val="0"/>
          <w:sz w:val="24"/>
          <w:szCs w:val="24"/>
        </w:rPr>
        <w:t>以投票方式</w:t>
      </w:r>
      <w:r>
        <w:rPr>
          <w:rFonts w:ascii="Helvetica" w:hAnsi="Helvetica" w:cs="Helvetica"/>
          <w:kern w:val="0"/>
          <w:sz w:val="24"/>
          <w:szCs w:val="24"/>
        </w:rPr>
        <w:t>确定中标人。</w:t>
      </w:r>
    </w:p>
    <w:p>
      <w:pPr>
        <w:numPr>
          <w:ilvl w:val="0"/>
          <w:numId w:val="49"/>
        </w:numPr>
        <w:tabs>
          <w:tab w:val="left" w:pos="616"/>
        </w:tabs>
        <w:spacing w:line="360" w:lineRule="auto"/>
        <w:ind w:left="10" w:leftChars="5" w:firstLine="237" w:firstLineChars="99"/>
        <w:rPr>
          <w:rFonts w:ascii="Helvetica" w:hAnsi="Helvetica" w:cs="Helvetica"/>
          <w:kern w:val="0"/>
          <w:sz w:val="24"/>
          <w:szCs w:val="24"/>
        </w:rPr>
      </w:pPr>
      <w:r>
        <w:rPr>
          <w:rFonts w:hint="eastAsia" w:ascii="Helvetica" w:hAnsi="Helvetica" w:cs="Helvetica"/>
          <w:kern w:val="0"/>
          <w:sz w:val="24"/>
          <w:szCs w:val="24"/>
        </w:rPr>
        <w:t>评标委员会应当在评标报告上签字，对自己的评审意见承担法律责任。对评标报告有异议的，应当在评标报告上签署不同意见，并说明理由，否则视为同意评标报告。</w:t>
      </w:r>
    </w:p>
    <w:p/>
    <w:p/>
    <w:p/>
    <w:p/>
    <w:p/>
    <w:p/>
    <w:p/>
    <w:p/>
    <w:p/>
    <w:p/>
    <w:p/>
    <w:p>
      <w:pPr>
        <w:jc w:val="center"/>
        <w:rPr>
          <w:b/>
          <w:sz w:val="36"/>
          <w:szCs w:val="36"/>
        </w:rPr>
      </w:pPr>
      <w:r>
        <w:rPr>
          <w:rFonts w:hint="eastAsia"/>
          <w:b/>
          <w:sz w:val="36"/>
          <w:szCs w:val="36"/>
        </w:rPr>
        <w:t>评 分 标 准</w:t>
      </w:r>
    </w:p>
    <w:p>
      <w:pPr>
        <w:rPr>
          <w:rFonts w:hint="eastAsia"/>
        </w:rPr>
      </w:pPr>
      <w:bookmarkStart w:id="54" w:name="_Toc494721093"/>
      <w:bookmarkStart w:id="55" w:name="_Toc494664993"/>
      <w:bookmarkStart w:id="56" w:name="_Toc494702263"/>
      <w:bookmarkStart w:id="57" w:name="_Toc497459196"/>
      <w:bookmarkStart w:id="58" w:name="_Toc494665943"/>
      <w:bookmarkStart w:id="59" w:name="_Toc494745310"/>
      <w:bookmarkStart w:id="60" w:name="_Toc494665546"/>
    </w:p>
    <w:p>
      <w:pPr>
        <w:rPr>
          <w:rFonts w:hint="default" w:eastAsia="宋体"/>
          <w:lang w:val="en-US" w:eastAsia="zh-CN"/>
        </w:rPr>
      </w:pPr>
      <w:r>
        <w:rPr>
          <w:rFonts w:hint="eastAsia"/>
          <w:lang w:val="en-US" w:eastAsia="zh-CN"/>
        </w:rPr>
        <w:t xml:space="preserve">  </w:t>
      </w:r>
    </w:p>
    <w:tbl>
      <w:tblPr>
        <w:tblStyle w:val="14"/>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842"/>
        <w:gridCol w:w="5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2891" w:type="dxa"/>
            <w:gridSpan w:val="2"/>
            <w:shd w:val="clear" w:color="000000" w:fill="FFFFFF"/>
            <w:vAlign w:val="center"/>
          </w:tcPr>
          <w:p>
            <w:pPr>
              <w:autoSpaceDE w:val="0"/>
              <w:autoSpaceDN w:val="0"/>
              <w:adjustRightInd w:val="0"/>
              <w:jc w:val="center"/>
              <w:rPr>
                <w:rFonts w:ascii="宋体" w:cs="宋体"/>
                <w:kern w:val="0"/>
                <w:sz w:val="22"/>
                <w:szCs w:val="22"/>
                <w:lang w:val="zh-CN"/>
              </w:rPr>
            </w:pPr>
            <w:r>
              <w:rPr>
                <w:rFonts w:hint="eastAsia" w:ascii="宋体" w:cs="宋体"/>
                <w:b/>
                <w:bCs/>
                <w:kern w:val="0"/>
                <w:szCs w:val="21"/>
                <w:lang w:val="zh-CN"/>
              </w:rPr>
              <w:t>评审因素</w:t>
            </w:r>
          </w:p>
        </w:tc>
        <w:tc>
          <w:tcPr>
            <w:tcW w:w="5609" w:type="dxa"/>
            <w:shd w:val="clear" w:color="000000" w:fill="FFFFFF"/>
            <w:vAlign w:val="center"/>
          </w:tcPr>
          <w:p>
            <w:pPr>
              <w:autoSpaceDE w:val="0"/>
              <w:autoSpaceDN w:val="0"/>
              <w:adjustRightInd w:val="0"/>
              <w:jc w:val="center"/>
              <w:rPr>
                <w:rFonts w:ascii="宋体" w:cs="宋体"/>
                <w:kern w:val="0"/>
                <w:sz w:val="22"/>
                <w:szCs w:val="22"/>
                <w:lang w:val="zh-CN"/>
              </w:rPr>
            </w:pPr>
            <w:r>
              <w:rPr>
                <w:rFonts w:hint="eastAsia" w:ascii="宋体" w:cs="宋体"/>
                <w:b/>
                <w:bCs/>
                <w:kern w:val="0"/>
                <w:szCs w:val="21"/>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2891" w:type="dxa"/>
            <w:gridSpan w:val="2"/>
            <w:shd w:val="clear" w:color="000000" w:fill="FFFFFF"/>
            <w:vAlign w:val="center"/>
          </w:tcPr>
          <w:p>
            <w:pPr>
              <w:autoSpaceDE w:val="0"/>
              <w:autoSpaceDN w:val="0"/>
              <w:adjustRightInd w:val="0"/>
              <w:spacing w:line="315" w:lineRule="atLeast"/>
              <w:jc w:val="center"/>
              <w:rPr>
                <w:rFonts w:ascii="宋体" w:hAnsi="Calibri" w:cs="宋体"/>
                <w:kern w:val="0"/>
                <w:szCs w:val="21"/>
                <w:lang w:val="zh-CN"/>
              </w:rPr>
            </w:pPr>
            <w:r>
              <w:rPr>
                <w:rFonts w:hint="eastAsia" w:ascii="宋体" w:hAnsi="Calibri" w:cs="宋体"/>
                <w:kern w:val="0"/>
                <w:szCs w:val="21"/>
                <w:lang w:val="zh-CN"/>
              </w:rPr>
              <w:t>价格部分标准分值（40分）</w:t>
            </w:r>
          </w:p>
        </w:tc>
        <w:tc>
          <w:tcPr>
            <w:tcW w:w="5609" w:type="dxa"/>
            <w:shd w:val="clear" w:color="000000" w:fill="FFFFFF"/>
          </w:tcPr>
          <w:p>
            <w:pPr>
              <w:widowControl/>
              <w:jc w:val="left"/>
              <w:rPr>
                <w:rFonts w:ascii="宋体" w:hAnsi="宋体"/>
                <w:kern w:val="0"/>
                <w:szCs w:val="21"/>
              </w:rPr>
            </w:pPr>
            <w:r>
              <w:rPr>
                <w:rFonts w:hint="eastAsia" w:ascii="宋体" w:hAnsi="宋体"/>
                <w:kern w:val="0"/>
                <w:szCs w:val="21"/>
              </w:rPr>
              <w:t>各有效投标报价得分以评标价为基准进行比较：</w:t>
            </w:r>
          </w:p>
          <w:p>
            <w:pPr>
              <w:widowControl/>
              <w:jc w:val="left"/>
              <w:rPr>
                <w:rFonts w:ascii="宋体" w:hAnsi="宋体"/>
                <w:kern w:val="0"/>
                <w:szCs w:val="21"/>
              </w:rPr>
            </w:pPr>
            <w:r>
              <w:rPr>
                <w:rFonts w:hint="eastAsia" w:ascii="宋体" w:hAnsi="宋体"/>
                <w:kern w:val="0"/>
                <w:szCs w:val="21"/>
              </w:rPr>
              <w:t>（1）每高于评标</w:t>
            </w:r>
            <w:r>
              <w:rPr>
                <w:rFonts w:hint="eastAsia" w:ascii="宋体" w:hAnsi="宋体"/>
                <w:kern w:val="0"/>
                <w:szCs w:val="21"/>
                <w:lang w:eastAsia="zh-CN"/>
              </w:rPr>
              <w:t>基准</w:t>
            </w:r>
            <w:r>
              <w:rPr>
                <w:rFonts w:hint="eastAsia" w:ascii="宋体" w:hAnsi="宋体"/>
                <w:kern w:val="0"/>
                <w:szCs w:val="21"/>
              </w:rPr>
              <w:t>价1％的扣3分，最多扣40分。计算公式为：</w:t>
            </w:r>
          </w:p>
          <w:p>
            <w:pPr>
              <w:widowControl/>
              <w:jc w:val="left"/>
              <w:rPr>
                <w:rFonts w:ascii="宋体" w:hAnsi="宋体"/>
                <w:kern w:val="0"/>
                <w:szCs w:val="21"/>
              </w:rPr>
            </w:pPr>
            <w:r>
              <w:rPr>
                <w:rFonts w:hint="eastAsia" w:ascii="宋体" w:hAnsi="宋体"/>
                <w:kern w:val="0"/>
                <w:szCs w:val="21"/>
                <w:lang w:eastAsia="zh-CN"/>
              </w:rPr>
              <w:t>报价</w:t>
            </w:r>
            <w:r>
              <w:rPr>
                <w:rFonts w:hint="eastAsia" w:ascii="宋体" w:hAnsi="宋体"/>
                <w:kern w:val="0"/>
                <w:szCs w:val="21"/>
              </w:rPr>
              <w:t>得分＝[100－[(投标报价－评标价)/评标价])×100×3] ×40％；</w:t>
            </w:r>
          </w:p>
          <w:p>
            <w:pPr>
              <w:widowControl/>
              <w:jc w:val="left"/>
              <w:rPr>
                <w:rFonts w:ascii="宋体" w:hAnsi="宋体"/>
                <w:kern w:val="0"/>
                <w:szCs w:val="21"/>
              </w:rPr>
            </w:pPr>
            <w:r>
              <w:rPr>
                <w:rFonts w:hint="eastAsia" w:ascii="宋体" w:hAnsi="宋体"/>
                <w:kern w:val="0"/>
                <w:szCs w:val="21"/>
              </w:rPr>
              <w:t>（2）每低于评标</w:t>
            </w:r>
            <w:r>
              <w:rPr>
                <w:rFonts w:hint="eastAsia" w:ascii="宋体" w:hAnsi="宋体"/>
                <w:kern w:val="0"/>
                <w:szCs w:val="21"/>
                <w:lang w:eastAsia="zh-CN"/>
              </w:rPr>
              <w:t>基准</w:t>
            </w:r>
            <w:r>
              <w:rPr>
                <w:rFonts w:hint="eastAsia" w:ascii="宋体" w:hAnsi="宋体"/>
                <w:kern w:val="0"/>
                <w:szCs w:val="21"/>
              </w:rPr>
              <w:t>价1％的扣1分，最多扣40分。计算公式为：</w:t>
            </w:r>
          </w:p>
          <w:p>
            <w:pPr>
              <w:autoSpaceDE w:val="0"/>
              <w:autoSpaceDN w:val="0"/>
              <w:adjustRightInd w:val="0"/>
              <w:rPr>
                <w:rFonts w:ascii="宋体" w:hAnsi="Calibri" w:cs="宋体"/>
                <w:kern w:val="0"/>
                <w:szCs w:val="21"/>
                <w:lang w:val="zh-CN"/>
              </w:rPr>
            </w:pPr>
            <w:r>
              <w:rPr>
                <w:rFonts w:hint="eastAsia" w:ascii="宋体" w:hAnsi="宋体"/>
                <w:kern w:val="0"/>
                <w:szCs w:val="21"/>
                <w:lang w:eastAsia="zh-CN"/>
              </w:rPr>
              <w:t>报价</w:t>
            </w:r>
            <w:r>
              <w:rPr>
                <w:rFonts w:hint="eastAsia" w:ascii="宋体" w:hAnsi="宋体"/>
                <w:kern w:val="0"/>
                <w:szCs w:val="21"/>
              </w:rPr>
              <w:t>得分＝[100－[(评标价－投标报价)/评标价])×100×1]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1049" w:type="dxa"/>
            <w:vMerge w:val="restart"/>
            <w:shd w:val="clear" w:color="000000" w:fill="FFFFFF"/>
            <w:vAlign w:val="center"/>
          </w:tcPr>
          <w:p>
            <w:pPr>
              <w:widowControl/>
              <w:spacing w:line="360" w:lineRule="auto"/>
              <w:jc w:val="center"/>
              <w:rPr>
                <w:rFonts w:ascii="宋体" w:hAnsi="Calibri" w:cs="宋体"/>
                <w:kern w:val="0"/>
                <w:szCs w:val="21"/>
                <w:lang w:val="zh-CN"/>
              </w:rPr>
            </w:pPr>
            <w:r>
              <w:rPr>
                <w:rFonts w:hint="eastAsia" w:ascii="宋体" w:hAnsi="Calibri" w:cs="宋体"/>
                <w:kern w:val="0"/>
                <w:szCs w:val="21"/>
                <w:lang w:val="zh-CN"/>
              </w:rPr>
              <w:t>技术分（</w:t>
            </w:r>
            <w:r>
              <w:rPr>
                <w:rFonts w:ascii="宋体" w:hAnsi="Calibri" w:cs="宋体"/>
                <w:kern w:val="0"/>
                <w:szCs w:val="21"/>
                <w:lang w:val="zh-CN"/>
              </w:rPr>
              <w:t>4</w:t>
            </w:r>
            <w:r>
              <w:rPr>
                <w:rFonts w:hint="eastAsia" w:ascii="宋体" w:hAnsi="Calibri" w:cs="宋体"/>
                <w:kern w:val="0"/>
                <w:szCs w:val="21"/>
                <w:lang w:val="zh-CN"/>
              </w:rPr>
              <w:t>0分）</w:t>
            </w:r>
          </w:p>
        </w:tc>
        <w:tc>
          <w:tcPr>
            <w:tcW w:w="1842" w:type="dxa"/>
            <w:shd w:val="clear" w:color="000000" w:fill="FFFFFF"/>
            <w:vAlign w:val="center"/>
          </w:tcPr>
          <w:p>
            <w:pPr>
              <w:rPr>
                <w:rFonts w:ascii="宋体" w:hAnsi="Calibri" w:cs="宋体"/>
                <w:kern w:val="0"/>
                <w:szCs w:val="21"/>
                <w:lang w:val="zh-CN"/>
              </w:rPr>
            </w:pPr>
            <w:r>
              <w:rPr>
                <w:rFonts w:hint="eastAsia" w:ascii="宋体" w:hAnsi="Calibri" w:cs="宋体"/>
                <w:kern w:val="0"/>
                <w:szCs w:val="21"/>
                <w:lang w:val="zh-CN"/>
              </w:rPr>
              <w:t>项目实施方案针对性、可行性</w:t>
            </w:r>
            <w:r>
              <w:rPr>
                <w:rFonts w:hint="eastAsia" w:ascii="宋体" w:cs="宋体"/>
                <w:kern w:val="0"/>
                <w:szCs w:val="21"/>
                <w:lang w:val="en-US" w:eastAsia="zh-CN"/>
              </w:rPr>
              <w:t>1</w:t>
            </w:r>
            <w:r>
              <w:rPr>
                <w:rFonts w:ascii="宋体" w:hAnsi="Calibri" w:cs="宋体"/>
                <w:kern w:val="0"/>
                <w:szCs w:val="21"/>
                <w:lang w:val="zh-CN"/>
              </w:rPr>
              <w:t>5</w:t>
            </w:r>
            <w:r>
              <w:rPr>
                <w:rFonts w:hint="eastAsia" w:ascii="宋体" w:hAnsi="Calibri" w:cs="宋体"/>
                <w:kern w:val="0"/>
                <w:szCs w:val="21"/>
                <w:lang w:val="zh-CN"/>
              </w:rPr>
              <w:t>分</w:t>
            </w:r>
          </w:p>
        </w:tc>
        <w:tc>
          <w:tcPr>
            <w:tcW w:w="5609" w:type="dxa"/>
            <w:shd w:val="clear" w:color="000000" w:fill="FFFFFF"/>
            <w:vAlign w:val="center"/>
          </w:tcPr>
          <w:p>
            <w:pPr>
              <w:tabs>
                <w:tab w:val="left" w:pos="1080"/>
              </w:tabs>
              <w:adjustRightInd w:val="0"/>
              <w:snapToGrid w:val="0"/>
              <w:spacing w:line="240" w:lineRule="atLeast"/>
              <w:rPr>
                <w:rFonts w:ascii="宋体" w:hAnsi="Calibri" w:cs="宋体"/>
                <w:kern w:val="0"/>
                <w:szCs w:val="21"/>
                <w:lang w:val="zh-CN"/>
              </w:rPr>
            </w:pPr>
            <w:r>
              <w:rPr>
                <w:rFonts w:hint="eastAsia" w:ascii="宋体" w:hAnsi="Calibri" w:cs="宋体"/>
                <w:kern w:val="0"/>
                <w:szCs w:val="21"/>
                <w:lang w:val="zh-CN"/>
              </w:rPr>
              <w:t>实施方案情况，投标人应提供项目实施方案。</w:t>
            </w:r>
          </w:p>
          <w:p>
            <w:pPr>
              <w:tabs>
                <w:tab w:val="left" w:pos="1080"/>
              </w:tabs>
              <w:adjustRightInd w:val="0"/>
              <w:snapToGrid w:val="0"/>
              <w:spacing w:line="240" w:lineRule="atLeast"/>
              <w:rPr>
                <w:rFonts w:ascii="宋体" w:hAnsi="Calibri" w:cs="宋体"/>
                <w:kern w:val="0"/>
                <w:szCs w:val="21"/>
                <w:lang w:val="zh-CN"/>
              </w:rPr>
            </w:pPr>
            <w:r>
              <w:rPr>
                <w:rFonts w:hint="eastAsia" w:ascii="宋体" w:hAnsi="Calibri" w:cs="宋体"/>
                <w:kern w:val="0"/>
                <w:szCs w:val="21"/>
                <w:lang w:val="zh-CN"/>
              </w:rPr>
              <w:t>1、方案包含工作目标、内容、方法、实施步骤等内容，方案要求描述清晰、科学规范、可行。提供项目需求理解及综合分析程度（包括源代码审计、渗透测试、漏洞扫描、安全基线检测、驻场服务和外网监测服务等内容）；</w:t>
            </w:r>
          </w:p>
          <w:p>
            <w:pPr>
              <w:tabs>
                <w:tab w:val="left" w:pos="1080"/>
              </w:tabs>
              <w:adjustRightInd w:val="0"/>
              <w:snapToGrid w:val="0"/>
              <w:spacing w:line="240" w:lineRule="atLeast"/>
              <w:rPr>
                <w:rFonts w:ascii="宋体" w:hAnsi="Calibri" w:cs="宋体"/>
                <w:kern w:val="0"/>
                <w:szCs w:val="21"/>
                <w:lang w:val="zh-CN"/>
              </w:rPr>
            </w:pPr>
            <w:r>
              <w:rPr>
                <w:rFonts w:hint="eastAsia" w:ascii="宋体" w:hAnsi="Calibri" w:cs="宋体"/>
                <w:kern w:val="0"/>
                <w:szCs w:val="21"/>
                <w:lang w:val="zh-CN"/>
              </w:rPr>
              <w:t>2、方案覆盖本次安全服务范围（方案科学、合理、适用，服务流程科学合理、清晰、明确）；</w:t>
            </w:r>
          </w:p>
          <w:p>
            <w:pPr>
              <w:tabs>
                <w:tab w:val="left" w:pos="1080"/>
              </w:tabs>
              <w:adjustRightInd w:val="0"/>
              <w:snapToGrid w:val="0"/>
              <w:spacing w:line="240" w:lineRule="atLeast"/>
              <w:rPr>
                <w:rFonts w:ascii="宋体" w:hAnsi="Calibri" w:cs="宋体"/>
                <w:kern w:val="0"/>
                <w:szCs w:val="21"/>
                <w:lang w:val="zh-CN"/>
              </w:rPr>
            </w:pPr>
            <w:r>
              <w:rPr>
                <w:rFonts w:hint="eastAsia" w:ascii="宋体" w:hAnsi="Calibri" w:cs="宋体"/>
                <w:kern w:val="0"/>
                <w:szCs w:val="21"/>
                <w:lang w:val="zh-CN"/>
              </w:rPr>
              <w:t>3、方案中具有明确的实施风险控制措施（应急处置方案科学、合理）。</w:t>
            </w:r>
          </w:p>
          <w:p>
            <w:pPr>
              <w:tabs>
                <w:tab w:val="left" w:pos="1080"/>
              </w:tabs>
              <w:adjustRightInd w:val="0"/>
              <w:snapToGrid w:val="0"/>
              <w:spacing w:line="240" w:lineRule="atLeast"/>
              <w:rPr>
                <w:rFonts w:ascii="宋体" w:hAnsi="Calibri" w:cs="宋体"/>
                <w:kern w:val="0"/>
                <w:szCs w:val="21"/>
                <w:lang w:val="zh-CN"/>
              </w:rPr>
            </w:pPr>
            <w:r>
              <w:rPr>
                <w:rFonts w:hint="eastAsia" w:ascii="宋体" w:hAnsi="Calibri" w:cs="宋体"/>
                <w:kern w:val="0"/>
                <w:szCs w:val="21"/>
                <w:lang w:val="zh-CN"/>
              </w:rPr>
              <w:t>请专家酌情给分，满分15分。</w:t>
            </w:r>
          </w:p>
          <w:p>
            <w:pPr>
              <w:rPr>
                <w:rFonts w:ascii="宋体" w:hAnsi="Calibri" w:cs="宋体"/>
                <w:kern w:val="0"/>
                <w:szCs w:val="21"/>
                <w:lang w:val="zh-CN"/>
              </w:rPr>
            </w:pPr>
            <w:r>
              <w:rPr>
                <w:rFonts w:hint="eastAsia" w:ascii="宋体" w:hAnsi="Calibri" w:cs="宋体"/>
                <w:kern w:val="0"/>
                <w:szCs w:val="21"/>
                <w:lang w:val="zh-CN"/>
              </w:rPr>
              <w:t>未提供项目实施方案的，不得分。简单复制招标文件要求而未作出详细应答的，不得分；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049" w:type="dxa"/>
            <w:vMerge w:val="continue"/>
            <w:shd w:val="clear" w:color="000000" w:fill="FFFFFF"/>
            <w:vAlign w:val="center"/>
          </w:tcPr>
          <w:p>
            <w:pPr>
              <w:autoSpaceDE w:val="0"/>
              <w:autoSpaceDN w:val="0"/>
              <w:adjustRightInd w:val="0"/>
              <w:spacing w:line="315" w:lineRule="atLeast"/>
              <w:jc w:val="center"/>
              <w:rPr>
                <w:rFonts w:ascii="宋体" w:hAnsi="Calibri" w:cs="宋体"/>
                <w:kern w:val="0"/>
                <w:szCs w:val="21"/>
                <w:lang w:val="zh-CN"/>
              </w:rPr>
            </w:pPr>
          </w:p>
        </w:tc>
        <w:tc>
          <w:tcPr>
            <w:tcW w:w="1842" w:type="dxa"/>
            <w:shd w:val="clear" w:color="000000" w:fill="FFFFFF"/>
            <w:vAlign w:val="center"/>
          </w:tcPr>
          <w:p>
            <w:pPr>
              <w:rPr>
                <w:rFonts w:ascii="宋体" w:hAnsi="Calibri" w:cs="宋体"/>
                <w:kern w:val="0"/>
                <w:szCs w:val="21"/>
                <w:lang w:val="zh-CN"/>
              </w:rPr>
            </w:pPr>
            <w:r>
              <w:rPr>
                <w:rFonts w:hint="eastAsia" w:ascii="宋体" w:hAnsi="Calibri" w:cs="宋体"/>
                <w:kern w:val="0"/>
                <w:szCs w:val="21"/>
                <w:lang w:val="zh-CN"/>
              </w:rPr>
              <w:t>项目管理5分</w:t>
            </w:r>
          </w:p>
        </w:tc>
        <w:tc>
          <w:tcPr>
            <w:tcW w:w="5609" w:type="dxa"/>
            <w:shd w:val="clear" w:color="000000" w:fill="FFFFFF"/>
            <w:vAlign w:val="center"/>
          </w:tcPr>
          <w:p>
            <w:pPr>
              <w:rPr>
                <w:rFonts w:ascii="宋体" w:hAnsi="Calibri" w:cs="宋体"/>
                <w:kern w:val="0"/>
                <w:szCs w:val="21"/>
                <w:lang w:val="zh-CN"/>
              </w:rPr>
            </w:pPr>
            <w:r>
              <w:rPr>
                <w:rFonts w:hint="eastAsia" w:ascii="宋体" w:hAnsi="Calibri" w:cs="宋体"/>
                <w:kern w:val="0"/>
                <w:szCs w:val="21"/>
                <w:lang w:val="zh-CN"/>
              </w:rPr>
              <w:t>项目管理能力。投标人具有完善的项目管理体系，且具有专业技术手段保证项目规范化实施。</w:t>
            </w:r>
          </w:p>
          <w:p>
            <w:pPr>
              <w:rPr>
                <w:rFonts w:ascii="宋体" w:hAnsi="Calibri" w:cs="宋体"/>
                <w:kern w:val="0"/>
                <w:szCs w:val="21"/>
                <w:lang w:val="zh-CN"/>
              </w:rPr>
            </w:pPr>
            <w:r>
              <w:rPr>
                <w:rFonts w:hint="eastAsia" w:ascii="宋体" w:hAnsi="Calibri" w:cs="宋体"/>
                <w:kern w:val="0"/>
                <w:szCs w:val="21"/>
                <w:lang w:val="zh-CN"/>
              </w:rPr>
              <w:t>1、有明确的项目进度计划，完全满足要求；</w:t>
            </w:r>
          </w:p>
          <w:p>
            <w:pPr>
              <w:rPr>
                <w:rFonts w:ascii="宋体" w:hAnsi="Calibri" w:cs="宋体"/>
                <w:kern w:val="0"/>
                <w:szCs w:val="21"/>
                <w:lang w:val="zh-CN"/>
              </w:rPr>
            </w:pPr>
            <w:r>
              <w:rPr>
                <w:rFonts w:hint="eastAsia" w:ascii="宋体" w:hAnsi="Calibri" w:cs="宋体"/>
                <w:kern w:val="0"/>
                <w:szCs w:val="21"/>
                <w:lang w:val="zh-CN"/>
              </w:rPr>
              <w:t>2、有明确的质量控制方法，质量控制明确到位；</w:t>
            </w:r>
          </w:p>
          <w:p>
            <w:pPr>
              <w:rPr>
                <w:rFonts w:ascii="宋体" w:hAnsi="Calibri" w:cs="宋体"/>
                <w:kern w:val="0"/>
                <w:szCs w:val="21"/>
                <w:lang w:val="zh-CN"/>
              </w:rPr>
            </w:pPr>
            <w:r>
              <w:rPr>
                <w:rFonts w:hint="eastAsia" w:ascii="宋体" w:hAnsi="Calibri" w:cs="宋体"/>
                <w:kern w:val="0"/>
                <w:szCs w:val="21"/>
                <w:lang w:val="zh-CN"/>
              </w:rPr>
              <w:t>3、对保密有明确的控制方案。</w:t>
            </w:r>
          </w:p>
          <w:p>
            <w:pPr>
              <w:rPr>
                <w:rFonts w:ascii="宋体" w:hAnsi="Calibri" w:cs="宋体"/>
                <w:kern w:val="0"/>
                <w:szCs w:val="21"/>
                <w:lang w:val="zh-CN"/>
              </w:rPr>
            </w:pPr>
            <w:r>
              <w:rPr>
                <w:rFonts w:hint="eastAsia" w:ascii="宋体" w:hAnsi="Calibri" w:cs="宋体"/>
                <w:kern w:val="0"/>
                <w:szCs w:val="21"/>
                <w:lang w:val="zh-CN"/>
              </w:rPr>
              <w:t>请专家酌情给分，满分</w:t>
            </w:r>
            <w:r>
              <w:rPr>
                <w:rFonts w:ascii="宋体" w:hAnsi="Calibri" w:cs="宋体"/>
                <w:kern w:val="0"/>
                <w:szCs w:val="21"/>
                <w:lang w:val="zh-CN"/>
              </w:rPr>
              <w:t>5</w:t>
            </w:r>
            <w:r>
              <w:rPr>
                <w:rFonts w:hint="eastAsia" w:ascii="宋体" w:hAnsi="Calibri" w:cs="宋体"/>
                <w:kern w:val="0"/>
                <w:szCs w:val="21"/>
                <w:lang w:val="zh-CN"/>
              </w:rPr>
              <w:t>分。提交的项目实施进度计划、质量控制方法不满足招标文件要求的，不得分。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1049" w:type="dxa"/>
            <w:vMerge w:val="continue"/>
            <w:shd w:val="clear" w:color="000000" w:fill="FFFFFF"/>
            <w:vAlign w:val="center"/>
          </w:tcPr>
          <w:p>
            <w:pPr>
              <w:autoSpaceDE w:val="0"/>
              <w:autoSpaceDN w:val="0"/>
              <w:adjustRightInd w:val="0"/>
              <w:spacing w:line="315" w:lineRule="atLeast"/>
              <w:jc w:val="center"/>
              <w:rPr>
                <w:rFonts w:ascii="宋体" w:hAnsi="Calibri" w:cs="宋体"/>
                <w:kern w:val="0"/>
                <w:szCs w:val="21"/>
                <w:lang w:val="zh-CN"/>
              </w:rPr>
            </w:pPr>
          </w:p>
        </w:tc>
        <w:tc>
          <w:tcPr>
            <w:tcW w:w="1842" w:type="dxa"/>
            <w:shd w:val="clear" w:color="000000" w:fill="FFFFFF"/>
            <w:vAlign w:val="center"/>
          </w:tcPr>
          <w:p>
            <w:pPr>
              <w:rPr>
                <w:rFonts w:ascii="宋体" w:hAnsi="Calibri" w:cs="宋体"/>
                <w:kern w:val="0"/>
                <w:szCs w:val="21"/>
                <w:lang w:val="zh-CN"/>
              </w:rPr>
            </w:pPr>
            <w:r>
              <w:rPr>
                <w:rFonts w:hint="eastAsia" w:ascii="宋体" w:hAnsi="Calibri" w:cs="宋体"/>
                <w:kern w:val="0"/>
                <w:szCs w:val="21"/>
                <w:lang w:val="zh-CN"/>
              </w:rPr>
              <w:t>服务能力5分</w:t>
            </w:r>
          </w:p>
        </w:tc>
        <w:tc>
          <w:tcPr>
            <w:tcW w:w="5609" w:type="dxa"/>
            <w:shd w:val="clear" w:color="000000" w:fill="FFFFFF"/>
            <w:vAlign w:val="center"/>
          </w:tcPr>
          <w:p>
            <w:pPr>
              <w:rPr>
                <w:rFonts w:ascii="宋体" w:hAnsi="Calibri" w:cs="宋体"/>
                <w:kern w:val="0"/>
                <w:szCs w:val="21"/>
                <w:lang w:val="zh-CN"/>
              </w:rPr>
            </w:pPr>
            <w:r>
              <w:rPr>
                <w:rFonts w:hint="eastAsia"/>
              </w:rPr>
              <w:t>对技术方案中投标人漏洞挖掘能力进行评价，截止投标时间前一周内其原创漏洞挖掘数量在“国家信息安全漏洞共享平台（CNVD）”企业单位原创积分排名，第一名得5分，第二名得3分，第三名得1分，其他不得分</w:t>
            </w:r>
            <w:r>
              <w:rPr>
                <w:rFonts w:hint="eastAsia" w:ascii="宋体" w:hAnsi="Calibri" w:cs="宋体"/>
                <w:kern w:val="0"/>
                <w:szCs w:val="21"/>
                <w:lang w:val="zh-CN"/>
              </w:rPr>
              <w:t>（提供证明截图并加盖公章）。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49" w:type="dxa"/>
            <w:vMerge w:val="continue"/>
            <w:shd w:val="clear" w:color="000000" w:fill="FFFFFF"/>
            <w:vAlign w:val="center"/>
          </w:tcPr>
          <w:p>
            <w:pPr>
              <w:autoSpaceDE w:val="0"/>
              <w:autoSpaceDN w:val="0"/>
              <w:adjustRightInd w:val="0"/>
              <w:spacing w:line="315" w:lineRule="atLeast"/>
              <w:jc w:val="center"/>
              <w:rPr>
                <w:rFonts w:ascii="宋体" w:hAnsi="Calibri" w:cs="宋体"/>
                <w:kern w:val="0"/>
                <w:szCs w:val="21"/>
                <w:lang w:val="zh-CN"/>
              </w:rPr>
            </w:pPr>
          </w:p>
        </w:tc>
        <w:tc>
          <w:tcPr>
            <w:tcW w:w="1842" w:type="dxa"/>
            <w:shd w:val="clear" w:color="000000" w:fill="FFFFFF"/>
            <w:vAlign w:val="center"/>
          </w:tcPr>
          <w:p>
            <w:pPr>
              <w:rPr>
                <w:rFonts w:ascii="宋体" w:hAnsi="Calibri" w:cs="宋体"/>
                <w:kern w:val="0"/>
                <w:szCs w:val="21"/>
                <w:lang w:val="zh-CN"/>
              </w:rPr>
            </w:pPr>
            <w:r>
              <w:rPr>
                <w:rFonts w:hint="eastAsia" w:ascii="宋体" w:hAnsi="Calibri" w:cs="宋体"/>
                <w:kern w:val="0"/>
                <w:szCs w:val="21"/>
                <w:lang w:val="zh-CN"/>
              </w:rPr>
              <w:t>服务人员资格15分</w:t>
            </w:r>
          </w:p>
        </w:tc>
        <w:tc>
          <w:tcPr>
            <w:tcW w:w="5609" w:type="dxa"/>
            <w:shd w:val="clear" w:color="000000" w:fill="FFFFFF"/>
            <w:vAlign w:val="center"/>
          </w:tcPr>
          <w:p>
            <w:pPr>
              <w:tabs>
                <w:tab w:val="left" w:pos="1080"/>
              </w:tabs>
              <w:adjustRightInd w:val="0"/>
              <w:snapToGrid w:val="0"/>
              <w:spacing w:line="240" w:lineRule="atLeast"/>
              <w:rPr>
                <w:rFonts w:ascii="宋体" w:hAnsi="Calibri" w:cs="宋体"/>
                <w:kern w:val="0"/>
                <w:szCs w:val="21"/>
                <w:lang w:val="zh-CN"/>
              </w:rPr>
            </w:pPr>
            <w:r>
              <w:rPr>
                <w:rFonts w:hint="eastAsia" w:ascii="宋体" w:hAnsi="Calibri" w:cs="宋体"/>
                <w:kern w:val="0"/>
                <w:szCs w:val="21"/>
                <w:lang w:val="zh-CN"/>
              </w:rPr>
              <w:t>1、技术负责人应具备（1）CISP或CISSP；（2）CCIE或HCIE；（3）OCP或OCM；（4）RHCE或RHCA；（5）ISO27001 LA或ISO 27001FOUDATION； （6）C-CCSK或CCSP；（7）PMP或信息系统项目管理师。上述7类均具备计</w:t>
            </w:r>
            <w:r>
              <w:rPr>
                <w:rFonts w:ascii="宋体" w:hAnsi="Calibri" w:cs="宋体"/>
                <w:kern w:val="0"/>
                <w:szCs w:val="21"/>
                <w:lang w:val="zh-CN"/>
              </w:rPr>
              <w:t>10</w:t>
            </w:r>
            <w:r>
              <w:rPr>
                <w:rFonts w:hint="eastAsia" w:ascii="宋体" w:hAnsi="Calibri" w:cs="宋体"/>
                <w:kern w:val="0"/>
                <w:szCs w:val="21"/>
                <w:lang w:val="zh-CN"/>
              </w:rPr>
              <w:t>分，具备6类计</w:t>
            </w:r>
            <w:r>
              <w:rPr>
                <w:rFonts w:ascii="宋体" w:hAnsi="Calibri" w:cs="宋体"/>
                <w:kern w:val="0"/>
                <w:szCs w:val="21"/>
                <w:lang w:val="zh-CN"/>
              </w:rPr>
              <w:t>7</w:t>
            </w:r>
            <w:r>
              <w:rPr>
                <w:rFonts w:hint="eastAsia" w:ascii="宋体" w:hAnsi="Calibri" w:cs="宋体"/>
                <w:kern w:val="0"/>
                <w:szCs w:val="21"/>
                <w:lang w:val="zh-CN"/>
              </w:rPr>
              <w:t>分，具备5类计</w:t>
            </w:r>
            <w:r>
              <w:rPr>
                <w:rFonts w:ascii="宋体" w:hAnsi="Calibri" w:cs="宋体"/>
                <w:kern w:val="0"/>
                <w:szCs w:val="21"/>
                <w:lang w:val="zh-CN"/>
              </w:rPr>
              <w:t>4</w:t>
            </w:r>
            <w:r>
              <w:rPr>
                <w:rFonts w:hint="eastAsia" w:ascii="宋体" w:hAnsi="Calibri" w:cs="宋体"/>
                <w:kern w:val="0"/>
                <w:szCs w:val="21"/>
                <w:lang w:val="zh-CN"/>
              </w:rPr>
              <w:t>分，具备4类计</w:t>
            </w:r>
            <w:r>
              <w:rPr>
                <w:rFonts w:ascii="宋体" w:hAnsi="Calibri" w:cs="宋体"/>
                <w:kern w:val="0"/>
                <w:szCs w:val="21"/>
                <w:lang w:val="zh-CN"/>
              </w:rPr>
              <w:t>1</w:t>
            </w:r>
            <w:r>
              <w:rPr>
                <w:rFonts w:hint="eastAsia" w:ascii="宋体" w:hAnsi="Calibri" w:cs="宋体"/>
                <w:kern w:val="0"/>
                <w:szCs w:val="21"/>
                <w:lang w:val="zh-CN"/>
              </w:rPr>
              <w:t>分，具备3类及以下计0分。</w:t>
            </w:r>
          </w:p>
          <w:p>
            <w:pPr>
              <w:tabs>
                <w:tab w:val="left" w:pos="1080"/>
              </w:tabs>
              <w:adjustRightInd w:val="0"/>
              <w:snapToGrid w:val="0"/>
              <w:spacing w:line="240" w:lineRule="atLeast"/>
              <w:rPr>
                <w:rFonts w:ascii="宋体" w:hAnsi="Calibri" w:cs="宋体"/>
                <w:kern w:val="0"/>
                <w:szCs w:val="21"/>
                <w:lang w:val="zh-CN"/>
              </w:rPr>
            </w:pPr>
            <w:r>
              <w:rPr>
                <w:rFonts w:hint="eastAsia" w:ascii="宋体" w:hAnsi="Calibri" w:cs="宋体"/>
                <w:kern w:val="0"/>
                <w:szCs w:val="21"/>
                <w:lang w:val="zh-CN"/>
              </w:rPr>
              <w:t>2、服务支撑人员应至少1名具备渗透测试能力，获得阿里巴巴SRC、腾讯SRC、百度SRC，具备OCP或OCM证书SRC颁发的荣誉证书。提供证明材料计</w:t>
            </w:r>
            <w:r>
              <w:rPr>
                <w:rFonts w:ascii="宋体" w:hAnsi="Calibri" w:cs="宋体"/>
                <w:kern w:val="0"/>
                <w:szCs w:val="21"/>
                <w:lang w:val="zh-CN"/>
              </w:rPr>
              <w:t>5</w:t>
            </w:r>
            <w:r>
              <w:rPr>
                <w:rFonts w:hint="eastAsia" w:ascii="宋体" w:hAnsi="Calibri" w:cs="宋体"/>
                <w:kern w:val="0"/>
                <w:szCs w:val="21"/>
                <w:lang w:val="zh-CN"/>
              </w:rPr>
              <w:t>分，不提供计0分。</w:t>
            </w:r>
          </w:p>
          <w:p>
            <w:pPr>
              <w:tabs>
                <w:tab w:val="left" w:pos="1080"/>
              </w:tabs>
              <w:adjustRightInd w:val="0"/>
              <w:snapToGrid w:val="0"/>
              <w:spacing w:line="240" w:lineRule="atLeast"/>
              <w:rPr>
                <w:rFonts w:ascii="宋体" w:hAnsi="Calibri" w:cs="宋体"/>
                <w:kern w:val="0"/>
                <w:szCs w:val="21"/>
                <w:lang w:val="zh-CN"/>
              </w:rPr>
            </w:pPr>
            <w:r>
              <w:rPr>
                <w:rFonts w:hint="eastAsia" w:ascii="宋体" w:hAnsi="Calibri" w:cs="宋体"/>
                <w:kern w:val="0"/>
                <w:szCs w:val="21"/>
                <w:lang w:val="zh-CN"/>
              </w:rPr>
              <w:t>（上述两项提供证明材料、员工社保证明并加盖公章，原件备查）。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5" w:hRule="atLeast"/>
          <w:jc w:val="center"/>
        </w:trPr>
        <w:tc>
          <w:tcPr>
            <w:tcW w:w="1049" w:type="dxa"/>
            <w:vMerge w:val="continue"/>
            <w:shd w:val="clear" w:color="000000" w:fill="FFFFFF"/>
            <w:vAlign w:val="center"/>
          </w:tcPr>
          <w:p>
            <w:pPr>
              <w:widowControl/>
              <w:spacing w:line="360" w:lineRule="auto"/>
              <w:jc w:val="center"/>
              <w:rPr>
                <w:rFonts w:ascii="宋体" w:hAnsi="Calibri" w:cs="宋体"/>
                <w:kern w:val="0"/>
                <w:szCs w:val="21"/>
                <w:lang w:val="zh-CN"/>
              </w:rPr>
            </w:pPr>
          </w:p>
        </w:tc>
        <w:tc>
          <w:tcPr>
            <w:tcW w:w="1842" w:type="dxa"/>
            <w:shd w:val="clear" w:color="000000" w:fill="FFFFFF"/>
            <w:vAlign w:val="center"/>
          </w:tcPr>
          <w:p>
            <w:pPr>
              <w:rPr>
                <w:rFonts w:ascii="宋体" w:hAnsi="Calibri" w:cs="宋体"/>
                <w:kern w:val="0"/>
                <w:szCs w:val="21"/>
                <w:lang w:val="zh-CN"/>
              </w:rPr>
            </w:pPr>
            <w:r>
              <w:rPr>
                <w:rFonts w:hint="eastAsia" w:ascii="宋体" w:hAnsi="Calibri" w:cs="宋体"/>
                <w:kern w:val="0"/>
                <w:szCs w:val="21"/>
                <w:lang w:val="zh-CN"/>
              </w:rPr>
              <w:t>企业综合实力</w:t>
            </w:r>
            <w:r>
              <w:rPr>
                <w:rFonts w:ascii="宋体" w:hAnsi="Calibri" w:cs="宋体"/>
                <w:kern w:val="0"/>
                <w:szCs w:val="21"/>
                <w:lang w:val="zh-CN"/>
              </w:rPr>
              <w:t>10</w:t>
            </w:r>
            <w:r>
              <w:rPr>
                <w:rFonts w:hint="eastAsia" w:ascii="宋体" w:hAnsi="Calibri" w:cs="宋体"/>
                <w:kern w:val="0"/>
                <w:szCs w:val="21"/>
                <w:lang w:val="zh-CN"/>
              </w:rPr>
              <w:t>分</w:t>
            </w:r>
          </w:p>
        </w:tc>
        <w:tc>
          <w:tcPr>
            <w:tcW w:w="5609" w:type="dxa"/>
            <w:shd w:val="clear" w:color="000000" w:fill="FFFFFF"/>
            <w:vAlign w:val="center"/>
          </w:tcPr>
          <w:p>
            <w:pPr>
              <w:widowControl/>
              <w:adjustRightInd w:val="0"/>
              <w:snapToGrid w:val="0"/>
              <w:spacing w:line="240" w:lineRule="atLeast"/>
              <w:jc w:val="left"/>
              <w:rPr>
                <w:rFonts w:ascii="宋体" w:hAnsi="Calibri" w:cs="宋体"/>
                <w:kern w:val="0"/>
                <w:szCs w:val="21"/>
                <w:lang w:val="zh-CN"/>
              </w:rPr>
            </w:pPr>
            <w:r>
              <w:rPr>
                <w:rFonts w:hint="eastAsia" w:ascii="宋体" w:hAnsi="Calibri" w:cs="宋体"/>
                <w:kern w:val="0"/>
                <w:szCs w:val="21"/>
              </w:rPr>
              <w:t>具备（1）《信息安全管理体系认证证书》（ISO/IEC27001：2013）、（2）《国家信息安全测评信息安全服务资质证书（安全工程类三级）》、（3）《信息安全服务资质（一级信息安全应急处理服务）》、（4）《信息安全服务资质（一级信息安全风险评估服务）》、（5）《国家级网络安全应急服务支撑单位》、全部满足计</w:t>
            </w:r>
            <w:r>
              <w:rPr>
                <w:rFonts w:ascii="宋体" w:hAnsi="Calibri" w:cs="宋体"/>
                <w:kern w:val="0"/>
                <w:szCs w:val="21"/>
              </w:rPr>
              <w:t>10分，</w:t>
            </w:r>
            <w:r>
              <w:rPr>
                <w:rFonts w:hint="eastAsia" w:ascii="宋体" w:hAnsi="Calibri" w:cs="宋体"/>
                <w:kern w:val="0"/>
                <w:szCs w:val="21"/>
              </w:rPr>
              <w:t>每满足一项得2分。（提供证明材料并加盖公章，原件备查）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49" w:type="dxa"/>
            <w:vMerge w:val="restart"/>
            <w:shd w:val="clear" w:color="000000" w:fill="FFFFFF"/>
            <w:vAlign w:val="center"/>
          </w:tcPr>
          <w:p>
            <w:pPr>
              <w:spacing w:line="360" w:lineRule="auto"/>
              <w:jc w:val="center"/>
              <w:rPr>
                <w:rFonts w:ascii="宋体" w:hAnsi="Calibri" w:cs="宋体"/>
                <w:kern w:val="0"/>
                <w:szCs w:val="21"/>
                <w:lang w:val="zh-CN"/>
              </w:rPr>
            </w:pPr>
            <w:r>
              <w:rPr>
                <w:rFonts w:hint="eastAsia" w:ascii="宋体" w:hAnsi="Calibri" w:cs="宋体"/>
                <w:kern w:val="0"/>
                <w:szCs w:val="21"/>
                <w:lang w:val="zh-CN"/>
              </w:rPr>
              <w:t>综合部分（</w:t>
            </w:r>
            <w:r>
              <w:rPr>
                <w:rFonts w:ascii="宋体" w:hAnsi="Calibri" w:cs="宋体"/>
                <w:kern w:val="0"/>
                <w:szCs w:val="21"/>
                <w:lang w:val="zh-CN"/>
              </w:rPr>
              <w:t>20</w:t>
            </w:r>
            <w:r>
              <w:rPr>
                <w:rFonts w:hint="eastAsia" w:ascii="宋体" w:hAnsi="Calibri" w:cs="宋体"/>
                <w:kern w:val="0"/>
                <w:szCs w:val="21"/>
                <w:lang w:val="zh-CN"/>
              </w:rPr>
              <w:t>分）</w:t>
            </w:r>
          </w:p>
        </w:tc>
        <w:tc>
          <w:tcPr>
            <w:tcW w:w="1842" w:type="dxa"/>
            <w:shd w:val="clear" w:color="000000" w:fill="FFFFFF"/>
            <w:vAlign w:val="center"/>
          </w:tcPr>
          <w:p>
            <w:pPr>
              <w:widowControl/>
              <w:adjustRightInd w:val="0"/>
              <w:snapToGrid w:val="0"/>
              <w:spacing w:line="240" w:lineRule="atLeast"/>
              <w:jc w:val="center"/>
              <w:rPr>
                <w:rFonts w:ascii="宋体" w:hAnsi="Calibri" w:cs="宋体"/>
                <w:kern w:val="0"/>
                <w:szCs w:val="21"/>
                <w:lang w:val="zh-CN"/>
              </w:rPr>
            </w:pPr>
            <w:r>
              <w:rPr>
                <w:rFonts w:hint="eastAsia" w:ascii="宋体" w:hAnsi="Calibri" w:cs="宋体"/>
                <w:kern w:val="0"/>
                <w:szCs w:val="21"/>
                <w:lang w:val="zh-CN"/>
              </w:rPr>
              <w:t>投标人业绩</w:t>
            </w:r>
            <w:r>
              <w:rPr>
                <w:rFonts w:ascii="宋体" w:hAnsi="Calibri" w:cs="宋体"/>
                <w:kern w:val="0"/>
                <w:szCs w:val="21"/>
                <w:lang w:val="zh-CN"/>
              </w:rPr>
              <w:t>10</w:t>
            </w:r>
            <w:r>
              <w:rPr>
                <w:rFonts w:hint="eastAsia" w:ascii="宋体" w:hAnsi="Calibri" w:cs="宋体"/>
                <w:kern w:val="0"/>
                <w:szCs w:val="21"/>
                <w:lang w:val="zh-CN"/>
              </w:rPr>
              <w:t>分</w:t>
            </w:r>
          </w:p>
        </w:tc>
        <w:tc>
          <w:tcPr>
            <w:tcW w:w="5609" w:type="dxa"/>
            <w:shd w:val="clear" w:color="000000" w:fill="FFFFFF"/>
            <w:vAlign w:val="center"/>
          </w:tcPr>
          <w:p>
            <w:pPr>
              <w:widowControl/>
              <w:rPr>
                <w:rFonts w:ascii="宋体" w:hAnsi="Calibri" w:cs="宋体"/>
                <w:kern w:val="0"/>
                <w:szCs w:val="21"/>
                <w:lang w:val="zh-CN"/>
              </w:rPr>
            </w:pPr>
            <w:r>
              <w:rPr>
                <w:rFonts w:hint="eastAsia" w:ascii="宋体" w:hAnsi="Calibri" w:cs="宋体"/>
                <w:kern w:val="0"/>
                <w:szCs w:val="21"/>
                <w:lang w:val="zh-CN"/>
              </w:rPr>
              <w:t>投标单位有烟草行业安全服务项目经验，提供近三年业绩合同证明（投标截止时间前36个月），每提供类似项目证明材料计</w:t>
            </w:r>
            <w:r>
              <w:rPr>
                <w:rFonts w:ascii="宋体" w:hAnsi="Calibri" w:cs="宋体"/>
                <w:kern w:val="0"/>
                <w:szCs w:val="21"/>
                <w:lang w:val="zh-CN"/>
              </w:rPr>
              <w:t>2</w:t>
            </w:r>
            <w:r>
              <w:rPr>
                <w:rFonts w:hint="eastAsia" w:ascii="宋体" w:hAnsi="Calibri" w:cs="宋体"/>
                <w:kern w:val="0"/>
                <w:szCs w:val="21"/>
                <w:lang w:val="zh-CN"/>
              </w:rPr>
              <w:t>分，提供</w:t>
            </w:r>
            <w:r>
              <w:rPr>
                <w:rFonts w:ascii="宋体" w:hAnsi="Calibri" w:cs="宋体"/>
                <w:kern w:val="0"/>
                <w:szCs w:val="21"/>
                <w:lang w:val="zh-CN"/>
              </w:rPr>
              <w:t>5</w:t>
            </w:r>
            <w:r>
              <w:rPr>
                <w:rFonts w:hint="eastAsia" w:ascii="宋体" w:hAnsi="Calibri" w:cs="宋体"/>
                <w:kern w:val="0"/>
                <w:szCs w:val="21"/>
                <w:lang w:val="zh-CN"/>
              </w:rPr>
              <w:t>个类似业绩证明计1</w:t>
            </w:r>
            <w:r>
              <w:rPr>
                <w:rFonts w:ascii="宋体" w:hAnsi="Calibri" w:cs="宋体"/>
                <w:kern w:val="0"/>
                <w:szCs w:val="21"/>
                <w:lang w:val="zh-CN"/>
              </w:rPr>
              <w:t>0</w:t>
            </w:r>
            <w:r>
              <w:rPr>
                <w:rFonts w:hint="eastAsia" w:ascii="宋体" w:hAnsi="Calibri" w:cs="宋体"/>
                <w:kern w:val="0"/>
                <w:szCs w:val="21"/>
                <w:lang w:val="zh-CN"/>
              </w:rPr>
              <w:t>分（提供证明材料并盖公章，原件备查）。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jc w:val="center"/>
        </w:trPr>
        <w:tc>
          <w:tcPr>
            <w:tcW w:w="1049" w:type="dxa"/>
            <w:vMerge w:val="continue"/>
            <w:shd w:val="clear" w:color="000000" w:fill="FFFFFF"/>
            <w:vAlign w:val="center"/>
          </w:tcPr>
          <w:p>
            <w:pPr>
              <w:widowControl/>
              <w:spacing w:line="360" w:lineRule="auto"/>
              <w:jc w:val="center"/>
              <w:rPr>
                <w:rFonts w:ascii="宋体" w:hAnsi="Calibri" w:cs="宋体"/>
                <w:kern w:val="0"/>
                <w:szCs w:val="21"/>
                <w:lang w:val="zh-CN"/>
              </w:rPr>
            </w:pPr>
          </w:p>
        </w:tc>
        <w:tc>
          <w:tcPr>
            <w:tcW w:w="1842" w:type="dxa"/>
            <w:shd w:val="clear" w:color="000000" w:fill="FFFFFF"/>
            <w:vAlign w:val="center"/>
          </w:tcPr>
          <w:p>
            <w:pPr>
              <w:rPr>
                <w:rFonts w:ascii="宋体" w:hAnsi="Calibri" w:cs="宋体"/>
                <w:color w:val="000000"/>
                <w:kern w:val="0"/>
                <w:szCs w:val="21"/>
                <w:lang w:val="zh-CN"/>
              </w:rPr>
            </w:pPr>
            <w:r>
              <w:rPr>
                <w:rFonts w:hint="eastAsia" w:ascii="宋体" w:hAnsi="Calibri" w:cs="宋体"/>
                <w:color w:val="000000"/>
                <w:kern w:val="0"/>
                <w:szCs w:val="21"/>
              </w:rPr>
              <w:t>标准熟悉情况</w:t>
            </w:r>
            <w:r>
              <w:rPr>
                <w:rFonts w:ascii="宋体" w:hAnsi="Calibri" w:cs="宋体"/>
                <w:color w:val="000000"/>
                <w:kern w:val="0"/>
                <w:szCs w:val="21"/>
              </w:rPr>
              <w:t>10</w:t>
            </w:r>
            <w:r>
              <w:rPr>
                <w:rFonts w:hint="eastAsia" w:ascii="宋体" w:hAnsi="Calibri" w:cs="宋体"/>
                <w:color w:val="000000"/>
                <w:kern w:val="0"/>
                <w:szCs w:val="21"/>
              </w:rPr>
              <w:t>分</w:t>
            </w:r>
          </w:p>
        </w:tc>
        <w:tc>
          <w:tcPr>
            <w:tcW w:w="5609" w:type="dxa"/>
            <w:shd w:val="clear" w:color="000000" w:fill="FFFFFF"/>
            <w:vAlign w:val="center"/>
          </w:tcPr>
          <w:p>
            <w:pPr>
              <w:rPr>
                <w:rFonts w:ascii="宋体" w:hAnsi="Calibri" w:cs="宋体"/>
                <w:kern w:val="0"/>
                <w:szCs w:val="21"/>
                <w:lang w:val="zh-CN"/>
              </w:rPr>
            </w:pPr>
            <w:r>
              <w:rPr>
                <w:rFonts w:hint="eastAsia" w:ascii="宋体" w:hAnsi="Calibri" w:cs="宋体"/>
                <w:kern w:val="0"/>
                <w:szCs w:val="21"/>
              </w:rPr>
              <w:t>参与起草烟草行业信息安全标准的，每参加一些标准得</w:t>
            </w:r>
            <w:r>
              <w:rPr>
                <w:rFonts w:ascii="宋体" w:hAnsi="Calibri" w:cs="宋体"/>
                <w:kern w:val="0"/>
                <w:szCs w:val="21"/>
              </w:rPr>
              <w:t>5</w:t>
            </w:r>
            <w:r>
              <w:rPr>
                <w:rFonts w:hint="eastAsia" w:ascii="宋体" w:hAnsi="Calibri" w:cs="宋体"/>
                <w:kern w:val="0"/>
                <w:szCs w:val="21"/>
              </w:rPr>
              <w:t>分，最高得</w:t>
            </w:r>
            <w:r>
              <w:rPr>
                <w:rFonts w:ascii="宋体" w:hAnsi="Calibri" w:cs="宋体"/>
                <w:kern w:val="0"/>
                <w:szCs w:val="21"/>
              </w:rPr>
              <w:t>10</w:t>
            </w:r>
            <w:r>
              <w:rPr>
                <w:rFonts w:hint="eastAsia" w:ascii="宋体" w:hAnsi="Calibri" w:cs="宋体"/>
                <w:kern w:val="0"/>
                <w:szCs w:val="21"/>
              </w:rPr>
              <w:t>分，未参加者不得分。（提供参与起草国家或行业信息安全标准的证明材料并加盖公章，原件备查）。</w:t>
            </w:r>
          </w:p>
        </w:tc>
      </w:tr>
    </w:tbl>
    <w:p>
      <w:pPr>
        <w:rPr>
          <w:rFonts w:hint="default" w:eastAsia="宋体"/>
          <w:lang w:val="en-US" w:eastAsia="zh-CN"/>
        </w:rPr>
      </w:pPr>
    </w:p>
    <w:p>
      <w:pPr>
        <w:rPr>
          <w:rFonts w:hint="default" w:eastAsia="宋体"/>
          <w:lang w:val="en-US"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jc w:val="center"/>
        <w:rPr>
          <w:rFonts w:ascii="黑体" w:hAnsi="黑体" w:eastAsia="黑体"/>
        </w:rPr>
      </w:pPr>
      <w:r>
        <w:rPr>
          <w:rFonts w:hint="eastAsia" w:ascii="黑体" w:hAnsi="黑体" w:eastAsia="黑体"/>
        </w:rPr>
        <w:t>第六章    合同书格式（参考）</w:t>
      </w:r>
      <w:bookmarkEnd w:id="54"/>
      <w:bookmarkEnd w:id="55"/>
      <w:bookmarkEnd w:id="56"/>
      <w:bookmarkEnd w:id="57"/>
      <w:bookmarkEnd w:id="58"/>
      <w:bookmarkEnd w:id="59"/>
      <w:bookmarkEnd w:id="60"/>
    </w:p>
    <w:p>
      <w:pPr>
        <w:spacing w:line="360" w:lineRule="auto"/>
        <w:ind w:firstLine="480" w:firstLineChars="200"/>
        <w:rPr>
          <w:sz w:val="24"/>
          <w:szCs w:val="24"/>
        </w:rPr>
      </w:pPr>
      <w:r>
        <w:rPr>
          <w:rFonts w:hint="eastAsia"/>
          <w:sz w:val="24"/>
          <w:szCs w:val="24"/>
        </w:rPr>
        <w:t>（根据《政府采购法》和《合同法》相关规定，采购人和中标人之间的权利和义务，应当按照平等、自愿的原则以合同方式约定。此合同书仅作为签订正式合同时的参考，正式合同书应包括本参考格式之内容。）</w:t>
      </w:r>
    </w:p>
    <w:p>
      <w:pPr>
        <w:autoSpaceDE w:val="0"/>
        <w:autoSpaceDN w:val="0"/>
        <w:jc w:val="center"/>
        <w:rPr>
          <w:rFonts w:ascii="宋体" w:hAnsi="宋体" w:cs="Times New Roman"/>
          <w:b/>
          <w:kern w:val="0"/>
          <w:sz w:val="36"/>
          <w:szCs w:val="36"/>
        </w:rPr>
      </w:pPr>
      <w:r>
        <w:rPr>
          <w:rFonts w:hint="eastAsia" w:ascii="宋体" w:hAnsi="宋体" w:cs="Times New Roman"/>
          <w:b/>
          <w:kern w:val="0"/>
          <w:sz w:val="36"/>
          <w:szCs w:val="36"/>
        </w:rPr>
        <w:t>合   同   书</w:t>
      </w:r>
    </w:p>
    <w:p>
      <w:pPr>
        <w:spacing w:beforeLines="25" w:line="360" w:lineRule="auto"/>
        <w:ind w:firstLine="480" w:firstLineChars="200"/>
        <w:rPr>
          <w:rFonts w:ascii="Helvetica" w:hAnsi="Helvetica" w:cs="Helvetica"/>
          <w:b/>
          <w:kern w:val="0"/>
          <w:sz w:val="24"/>
          <w:szCs w:val="24"/>
        </w:rPr>
      </w:pPr>
      <w:r>
        <w:rPr>
          <w:rFonts w:hint="eastAsia" w:ascii="Helvetica" w:hAnsi="Helvetica" w:cs="Helvetica"/>
          <w:b/>
          <w:kern w:val="0"/>
          <w:sz w:val="24"/>
          <w:szCs w:val="24"/>
        </w:rPr>
        <w:t>项目名称：</w:t>
      </w:r>
    </w:p>
    <w:p>
      <w:pPr>
        <w:spacing w:beforeLines="25" w:line="360" w:lineRule="auto"/>
        <w:ind w:firstLine="480" w:firstLineChars="200"/>
        <w:rPr>
          <w:rFonts w:ascii="Helvetica" w:hAnsi="Helvetica" w:cs="Helvetica"/>
          <w:b/>
          <w:kern w:val="0"/>
          <w:sz w:val="24"/>
          <w:szCs w:val="24"/>
        </w:rPr>
      </w:pPr>
      <w:r>
        <w:rPr>
          <w:rFonts w:hint="eastAsia" w:ascii="Helvetica" w:hAnsi="Helvetica" w:cs="Helvetica"/>
          <w:b/>
          <w:kern w:val="0"/>
          <w:sz w:val="24"/>
          <w:szCs w:val="24"/>
        </w:rPr>
        <w:t>合同编号：</w:t>
      </w:r>
    </w:p>
    <w:p>
      <w:pPr>
        <w:spacing w:beforeLines="25" w:line="360" w:lineRule="auto"/>
        <w:ind w:firstLine="480" w:firstLineChars="200"/>
        <w:rPr>
          <w:rFonts w:ascii="Helvetica" w:hAnsi="Helvetica" w:cs="Helvetica"/>
          <w:b/>
          <w:kern w:val="0"/>
          <w:sz w:val="24"/>
          <w:szCs w:val="24"/>
        </w:rPr>
      </w:pPr>
      <w:r>
        <w:rPr>
          <w:rFonts w:hint="eastAsia" w:ascii="Helvetica" w:hAnsi="Helvetica" w:cs="Helvetica"/>
          <w:b/>
          <w:kern w:val="0"/>
          <w:sz w:val="24"/>
          <w:szCs w:val="24"/>
        </w:rPr>
        <w:t>签订日期：</w:t>
      </w:r>
    </w:p>
    <w:p>
      <w:pPr>
        <w:spacing w:beforeLines="25" w:line="360" w:lineRule="auto"/>
        <w:ind w:firstLine="480" w:firstLineChars="200"/>
        <w:rPr>
          <w:rFonts w:ascii="Helvetica" w:hAnsi="Helvetica" w:cs="Helvetica"/>
          <w:b/>
          <w:kern w:val="0"/>
          <w:sz w:val="24"/>
          <w:szCs w:val="24"/>
        </w:rPr>
      </w:pPr>
      <w:r>
        <w:rPr>
          <w:rFonts w:hint="eastAsia" w:ascii="Helvetica" w:hAnsi="Helvetica" w:cs="Helvetica"/>
          <w:b/>
          <w:kern w:val="0"/>
          <w:sz w:val="24"/>
          <w:szCs w:val="24"/>
        </w:rPr>
        <w:t>签订合同地点：</w:t>
      </w:r>
    </w:p>
    <w:p>
      <w:pPr>
        <w:spacing w:beforeLines="25" w:line="360" w:lineRule="auto"/>
        <w:ind w:firstLine="480" w:firstLineChars="200"/>
        <w:rPr>
          <w:rFonts w:ascii="Helvetica" w:hAnsi="Helvetica" w:cs="Helvetica"/>
          <w:kern w:val="0"/>
          <w:sz w:val="24"/>
          <w:szCs w:val="24"/>
        </w:rPr>
      </w:pPr>
      <w:r>
        <w:rPr>
          <w:rFonts w:hint="eastAsia" w:ascii="Helvetica" w:hAnsi="Helvetica" w:cs="Helvetica"/>
          <w:kern w:val="0"/>
          <w:sz w:val="24"/>
          <w:szCs w:val="24"/>
        </w:rPr>
        <w:t>本合同由</w:t>
      </w:r>
      <w:r>
        <w:rPr>
          <w:rFonts w:hint="eastAsia" w:ascii="Helvetica" w:hAnsi="Helvetica" w:cs="Helvetica"/>
          <w:kern w:val="0"/>
          <w:sz w:val="24"/>
          <w:szCs w:val="24"/>
          <w:u w:val="single"/>
        </w:rPr>
        <w:t>（采购人）</w:t>
      </w:r>
      <w:r>
        <w:rPr>
          <w:rFonts w:hint="eastAsia" w:ascii="Helvetica" w:hAnsi="Helvetica" w:cs="Helvetica"/>
          <w:kern w:val="0"/>
          <w:sz w:val="24"/>
          <w:szCs w:val="24"/>
        </w:rPr>
        <w:t>（以下简称“甲方”）与</w:t>
      </w:r>
      <w:r>
        <w:rPr>
          <w:rFonts w:hint="eastAsia" w:ascii="Helvetica" w:hAnsi="Helvetica" w:cs="Helvetica"/>
          <w:kern w:val="0"/>
          <w:sz w:val="24"/>
          <w:szCs w:val="24"/>
          <w:u w:val="single"/>
        </w:rPr>
        <w:t>（中标人）</w:t>
      </w:r>
      <w:r>
        <w:rPr>
          <w:rFonts w:hint="eastAsia" w:ascii="Helvetica" w:hAnsi="Helvetica" w:cs="Helvetica"/>
          <w:kern w:val="0"/>
          <w:sz w:val="24"/>
          <w:szCs w:val="24"/>
        </w:rPr>
        <w:t>（以下简称“乙方”）签订。乙方以总金额万元人民币（用大写数字书写）向甲方提供如下货物（工程或服务）：</w:t>
      </w:r>
    </w:p>
    <w:p>
      <w:pPr>
        <w:spacing w:beforeLines="25" w:line="360" w:lineRule="auto"/>
        <w:ind w:firstLine="489" w:firstLineChars="204"/>
        <w:contextualSpacing/>
        <w:rPr>
          <w:rFonts w:ascii="宋体" w:hAnsi="宋体" w:cs="Times New Roman"/>
          <w:b/>
          <w:kern w:val="0"/>
          <w:sz w:val="24"/>
          <w:szCs w:val="20"/>
        </w:rPr>
      </w:pPr>
      <w:r>
        <w:rPr>
          <w:rFonts w:hint="eastAsia" w:ascii="Helvetica" w:hAnsi="Helvetica" w:cs="Helvetica"/>
          <w:b/>
          <w:kern w:val="0"/>
          <w:sz w:val="24"/>
          <w:szCs w:val="24"/>
        </w:rPr>
        <w:t>经双方协商，同意按下列条文执行：</w:t>
      </w:r>
    </w:p>
    <w:p>
      <w:pPr>
        <w:numPr>
          <w:ilvl w:val="3"/>
          <w:numId w:val="50"/>
        </w:numPr>
        <w:tabs>
          <w:tab w:val="left" w:pos="854"/>
        </w:tabs>
        <w:autoSpaceDE w:val="0"/>
        <w:autoSpaceDN w:val="0"/>
        <w:spacing w:beforeLines="25" w:line="360" w:lineRule="auto"/>
        <w:ind w:left="11" w:firstLine="477" w:firstLineChars="199"/>
        <w:contextualSpacing/>
        <w:rPr>
          <w:rFonts w:ascii="宋体" w:hAnsi="宋体" w:cs="Times New Roman"/>
          <w:kern w:val="0"/>
          <w:sz w:val="24"/>
          <w:szCs w:val="20"/>
        </w:rPr>
      </w:pPr>
      <w:r>
        <w:rPr>
          <w:rFonts w:hint="eastAsia" w:ascii="宋体" w:hAnsi="宋体" w:cs="Times New Roman"/>
          <w:kern w:val="0"/>
          <w:sz w:val="24"/>
          <w:szCs w:val="20"/>
        </w:rPr>
        <w:t>本合同甲、乙双方应遵守国家颁布的《中华人民共和国合同法》、《中华人民共和国政府采购法》，并各自履行应负的全部责任和义务。</w:t>
      </w:r>
    </w:p>
    <w:p>
      <w:pPr>
        <w:numPr>
          <w:ilvl w:val="3"/>
          <w:numId w:val="50"/>
        </w:numPr>
        <w:tabs>
          <w:tab w:val="left" w:pos="854"/>
        </w:tabs>
        <w:autoSpaceDE w:val="0"/>
        <w:autoSpaceDN w:val="0"/>
        <w:spacing w:beforeLines="25" w:line="360" w:lineRule="auto"/>
        <w:ind w:left="11" w:firstLine="477" w:firstLineChars="199"/>
        <w:contextualSpacing/>
        <w:rPr>
          <w:rFonts w:ascii="宋体" w:hAnsi="宋体" w:cs="Times New Roman"/>
          <w:kern w:val="0"/>
          <w:sz w:val="24"/>
          <w:szCs w:val="20"/>
        </w:rPr>
      </w:pPr>
      <w:r>
        <w:rPr>
          <w:rFonts w:hint="eastAsia" w:ascii="宋体" w:hAnsi="宋体" w:cs="Times New Roman"/>
          <w:kern w:val="0"/>
          <w:sz w:val="24"/>
          <w:szCs w:val="20"/>
        </w:rPr>
        <w:t>甲方保证按合同条款规定的时间和方式付给乙方到期应付的合同款，并承担应负的责任和义务。</w:t>
      </w:r>
    </w:p>
    <w:p>
      <w:pPr>
        <w:numPr>
          <w:ilvl w:val="3"/>
          <w:numId w:val="50"/>
        </w:numPr>
        <w:tabs>
          <w:tab w:val="left" w:pos="854"/>
        </w:tabs>
        <w:autoSpaceDE w:val="0"/>
        <w:autoSpaceDN w:val="0"/>
        <w:spacing w:beforeLines="25" w:line="360" w:lineRule="auto"/>
        <w:ind w:left="11" w:firstLine="477" w:firstLineChars="199"/>
        <w:contextualSpacing/>
        <w:rPr>
          <w:rFonts w:ascii="宋体" w:hAnsi="宋体" w:cs="Times New Roman"/>
          <w:kern w:val="0"/>
          <w:sz w:val="24"/>
          <w:szCs w:val="20"/>
        </w:rPr>
      </w:pPr>
      <w:r>
        <w:rPr>
          <w:rFonts w:hint="eastAsia" w:ascii="宋体" w:hAnsi="宋体" w:cs="Times New Roman"/>
          <w:kern w:val="0"/>
          <w:sz w:val="24"/>
          <w:szCs w:val="20"/>
        </w:rPr>
        <w:t>乙方保证按合同条款规定的内容和工期（服务期限）向甲方提供合格的货物（工程或服务），并承担应负的责任和义务。</w:t>
      </w:r>
    </w:p>
    <w:p>
      <w:pPr>
        <w:numPr>
          <w:ilvl w:val="3"/>
          <w:numId w:val="50"/>
        </w:numPr>
        <w:tabs>
          <w:tab w:val="left" w:pos="854"/>
        </w:tabs>
        <w:autoSpaceDE w:val="0"/>
        <w:autoSpaceDN w:val="0"/>
        <w:spacing w:beforeLines="25" w:line="360" w:lineRule="auto"/>
        <w:ind w:left="11" w:firstLine="477" w:firstLineChars="199"/>
        <w:contextualSpacing/>
        <w:rPr>
          <w:rFonts w:ascii="宋体" w:hAnsi="宋体" w:cs="Times New Roman"/>
          <w:kern w:val="0"/>
          <w:sz w:val="24"/>
          <w:szCs w:val="20"/>
        </w:rPr>
      </w:pPr>
      <w:r>
        <w:rPr>
          <w:rFonts w:hint="eastAsia" w:ascii="宋体" w:hAnsi="宋体" w:cs="Times New Roman"/>
          <w:kern w:val="0"/>
          <w:sz w:val="24"/>
          <w:szCs w:val="20"/>
        </w:rPr>
        <w:t>合同文件。下列文件为本合同不可分割的部分：</w:t>
      </w:r>
    </w:p>
    <w:p>
      <w:pPr>
        <w:numPr>
          <w:ilvl w:val="0"/>
          <w:numId w:val="51"/>
        </w:numPr>
        <w:adjustRightInd w:val="0"/>
        <w:spacing w:beforeLines="25" w:line="360" w:lineRule="auto"/>
        <w:ind w:left="1090" w:leftChars="227" w:hanging="614" w:hangingChars="256"/>
        <w:rPr>
          <w:rFonts w:ascii="宋体" w:hAnsi="宋体" w:cs="Times New Roman"/>
          <w:kern w:val="0"/>
          <w:sz w:val="24"/>
          <w:szCs w:val="20"/>
        </w:rPr>
      </w:pPr>
      <w:r>
        <w:rPr>
          <w:rFonts w:hint="eastAsia" w:ascii="宋体" w:hAnsi="宋体" w:cs="Times New Roman"/>
          <w:kern w:val="0"/>
          <w:sz w:val="24"/>
          <w:szCs w:val="20"/>
        </w:rPr>
        <w:t>招标文件（项目编号：</w:t>
      </w:r>
      <w:r>
        <w:rPr>
          <w:rFonts w:hint="eastAsia" w:ascii="宋体" w:hAnsi="宋体" w:cs="Times New Roman"/>
          <w:kern w:val="0"/>
          <w:sz w:val="24"/>
          <w:szCs w:val="20"/>
          <w:u w:val="single"/>
        </w:rPr>
        <w:t>　　            　</w:t>
      </w:r>
      <w:r>
        <w:rPr>
          <w:rFonts w:hint="eastAsia" w:ascii="宋体" w:hAnsi="宋体" w:cs="Times New Roman"/>
          <w:kern w:val="0"/>
          <w:sz w:val="24"/>
          <w:szCs w:val="20"/>
        </w:rPr>
        <w:t>）；</w:t>
      </w:r>
    </w:p>
    <w:p>
      <w:pPr>
        <w:numPr>
          <w:ilvl w:val="0"/>
          <w:numId w:val="51"/>
        </w:numPr>
        <w:adjustRightInd w:val="0"/>
        <w:spacing w:beforeLines="25" w:line="360" w:lineRule="auto"/>
        <w:ind w:left="1090" w:leftChars="227" w:hanging="614" w:hangingChars="256"/>
        <w:rPr>
          <w:rFonts w:ascii="宋体" w:hAnsi="宋体" w:cs="Times New Roman"/>
          <w:kern w:val="0"/>
          <w:sz w:val="24"/>
          <w:szCs w:val="20"/>
        </w:rPr>
      </w:pPr>
      <w:r>
        <w:rPr>
          <w:rFonts w:hint="eastAsia" w:ascii="宋体" w:hAnsi="宋体" w:cs="Times New Roman"/>
          <w:kern w:val="0"/>
          <w:sz w:val="24"/>
          <w:szCs w:val="20"/>
        </w:rPr>
        <w:t>中标的投标文件；</w:t>
      </w:r>
    </w:p>
    <w:p>
      <w:pPr>
        <w:numPr>
          <w:ilvl w:val="0"/>
          <w:numId w:val="51"/>
        </w:numPr>
        <w:adjustRightInd w:val="0"/>
        <w:spacing w:beforeLines="25" w:line="360" w:lineRule="auto"/>
        <w:ind w:left="1090" w:leftChars="227" w:hanging="614" w:hangingChars="256"/>
        <w:rPr>
          <w:rFonts w:ascii="宋体" w:hAnsi="宋体" w:cs="Times New Roman"/>
          <w:kern w:val="0"/>
          <w:sz w:val="24"/>
          <w:szCs w:val="20"/>
        </w:rPr>
      </w:pPr>
      <w:r>
        <w:rPr>
          <w:rFonts w:hint="eastAsia" w:ascii="宋体" w:hAnsi="宋体" w:cs="Times New Roman"/>
          <w:kern w:val="0"/>
          <w:sz w:val="24"/>
          <w:szCs w:val="20"/>
        </w:rPr>
        <w:t>合同书；</w:t>
      </w:r>
    </w:p>
    <w:p>
      <w:pPr>
        <w:numPr>
          <w:ilvl w:val="0"/>
          <w:numId w:val="51"/>
        </w:numPr>
        <w:adjustRightInd w:val="0"/>
        <w:spacing w:beforeLines="25" w:line="360" w:lineRule="auto"/>
        <w:ind w:left="1090" w:leftChars="227" w:hanging="614" w:hangingChars="256"/>
        <w:rPr>
          <w:rFonts w:ascii="宋体" w:hAnsi="宋体" w:cs="Times New Roman"/>
          <w:kern w:val="0"/>
          <w:sz w:val="24"/>
          <w:szCs w:val="20"/>
        </w:rPr>
      </w:pPr>
      <w:r>
        <w:rPr>
          <w:rFonts w:hint="eastAsia" w:ascii="宋体" w:hAnsi="宋体" w:cs="Times New Roman"/>
          <w:kern w:val="0"/>
          <w:sz w:val="24"/>
          <w:szCs w:val="20"/>
        </w:rPr>
        <w:t>合同条款；</w:t>
      </w:r>
    </w:p>
    <w:p>
      <w:pPr>
        <w:numPr>
          <w:ilvl w:val="0"/>
          <w:numId w:val="51"/>
        </w:numPr>
        <w:adjustRightInd w:val="0"/>
        <w:spacing w:beforeLines="25" w:line="360" w:lineRule="auto"/>
        <w:ind w:left="1090" w:leftChars="227" w:hanging="614" w:hangingChars="256"/>
        <w:rPr>
          <w:rFonts w:ascii="宋体" w:hAnsi="宋体" w:cs="Times New Roman"/>
          <w:kern w:val="0"/>
          <w:sz w:val="24"/>
          <w:szCs w:val="20"/>
        </w:rPr>
      </w:pPr>
      <w:r>
        <w:rPr>
          <w:rFonts w:hint="eastAsia" w:ascii="宋体" w:hAnsi="宋体" w:cs="Times New Roman"/>
          <w:kern w:val="0"/>
          <w:sz w:val="24"/>
          <w:szCs w:val="20"/>
        </w:rPr>
        <w:t>采购代理机构发出的中标通知书；</w:t>
      </w:r>
    </w:p>
    <w:p>
      <w:pPr>
        <w:numPr>
          <w:ilvl w:val="0"/>
          <w:numId w:val="51"/>
        </w:numPr>
        <w:adjustRightInd w:val="0"/>
        <w:spacing w:beforeLines="25" w:line="360" w:lineRule="auto"/>
        <w:ind w:left="1090" w:leftChars="227" w:hanging="614" w:hangingChars="256"/>
        <w:rPr>
          <w:rFonts w:ascii="宋体" w:hAnsi="宋体" w:cs="Times New Roman"/>
          <w:kern w:val="0"/>
          <w:sz w:val="24"/>
          <w:szCs w:val="20"/>
        </w:rPr>
      </w:pPr>
      <w:r>
        <w:rPr>
          <w:rFonts w:hint="eastAsia" w:ascii="宋体" w:hAnsi="宋体" w:cs="Times New Roman"/>
          <w:kern w:val="0"/>
          <w:sz w:val="24"/>
          <w:szCs w:val="20"/>
        </w:rPr>
        <w:t>附件；</w:t>
      </w:r>
    </w:p>
    <w:p>
      <w:pPr>
        <w:numPr>
          <w:ilvl w:val="0"/>
          <w:numId w:val="52"/>
        </w:numPr>
        <w:spacing w:beforeLines="25" w:line="360" w:lineRule="auto"/>
        <w:ind w:left="1358" w:hanging="724"/>
        <w:rPr>
          <w:rFonts w:ascii="宋体" w:hAnsi="宋体" w:cs="Times New Roman"/>
          <w:sz w:val="24"/>
          <w:szCs w:val="20"/>
        </w:rPr>
      </w:pPr>
      <w:r>
        <w:rPr>
          <w:rFonts w:hint="eastAsia" w:ascii="宋体" w:hAnsi="宋体" w:cs="Times New Roman"/>
          <w:kern w:val="0"/>
          <w:sz w:val="24"/>
          <w:szCs w:val="20"/>
        </w:rPr>
        <w:t>甲方</w:t>
      </w:r>
      <w:r>
        <w:rPr>
          <w:rFonts w:hint="eastAsia" w:ascii="宋体" w:hAnsi="宋体" w:cs="Times New Roman"/>
          <w:sz w:val="24"/>
          <w:szCs w:val="20"/>
        </w:rPr>
        <w:t>在招标期间发布的所有补充通知；</w:t>
      </w:r>
    </w:p>
    <w:p>
      <w:pPr>
        <w:numPr>
          <w:ilvl w:val="0"/>
          <w:numId w:val="52"/>
        </w:numPr>
        <w:spacing w:beforeLines="25" w:line="360" w:lineRule="auto"/>
        <w:ind w:left="1358" w:hanging="724"/>
        <w:rPr>
          <w:rFonts w:ascii="宋体" w:hAnsi="宋体" w:cs="Times New Roman"/>
          <w:kern w:val="0"/>
          <w:sz w:val="24"/>
          <w:szCs w:val="20"/>
        </w:rPr>
      </w:pPr>
      <w:r>
        <w:rPr>
          <w:rFonts w:hint="eastAsia" w:ascii="宋体" w:hAnsi="宋体" w:cs="Times New Roman"/>
          <w:kern w:val="0"/>
          <w:sz w:val="24"/>
          <w:szCs w:val="20"/>
        </w:rPr>
        <w:t>乙方在投标期内补充的所有书面文件；</w:t>
      </w:r>
    </w:p>
    <w:p>
      <w:pPr>
        <w:numPr>
          <w:ilvl w:val="0"/>
          <w:numId w:val="52"/>
        </w:numPr>
        <w:spacing w:beforeLines="25" w:line="360" w:lineRule="auto"/>
        <w:ind w:left="1358" w:hanging="724"/>
        <w:rPr>
          <w:rFonts w:ascii="宋体" w:hAnsi="宋体" w:cs="Times New Roman"/>
          <w:kern w:val="0"/>
          <w:sz w:val="24"/>
          <w:szCs w:val="20"/>
        </w:rPr>
      </w:pPr>
      <w:r>
        <w:rPr>
          <w:rFonts w:hint="eastAsia" w:ascii="宋体" w:hAnsi="宋体" w:cs="Times New Roman"/>
          <w:kern w:val="0"/>
          <w:sz w:val="24"/>
          <w:szCs w:val="20"/>
        </w:rPr>
        <w:t>乙方在投标时随同投标文件一起递送的资料及附图；</w:t>
      </w:r>
    </w:p>
    <w:p>
      <w:pPr>
        <w:numPr>
          <w:ilvl w:val="0"/>
          <w:numId w:val="52"/>
        </w:numPr>
        <w:spacing w:beforeLines="25" w:line="360" w:lineRule="auto"/>
        <w:ind w:left="1358" w:hanging="724"/>
        <w:rPr>
          <w:rFonts w:ascii="宋体" w:hAnsi="宋体" w:cs="Times New Roman"/>
          <w:kern w:val="0"/>
          <w:sz w:val="24"/>
          <w:szCs w:val="20"/>
        </w:rPr>
      </w:pPr>
      <w:r>
        <w:rPr>
          <w:rFonts w:hint="eastAsia" w:ascii="宋体" w:hAnsi="宋体" w:cs="Times New Roman"/>
          <w:kern w:val="0"/>
          <w:sz w:val="24"/>
          <w:szCs w:val="20"/>
        </w:rPr>
        <w:t>在商洽本合同时，双方澄清、确认并共同签字的补充文件、技术协议。</w:t>
      </w:r>
    </w:p>
    <w:p>
      <w:pPr>
        <w:numPr>
          <w:ilvl w:val="3"/>
          <w:numId w:val="50"/>
        </w:numPr>
        <w:tabs>
          <w:tab w:val="left" w:pos="854"/>
        </w:tabs>
        <w:autoSpaceDE w:val="0"/>
        <w:autoSpaceDN w:val="0"/>
        <w:spacing w:beforeLines="25" w:line="360" w:lineRule="auto"/>
        <w:ind w:left="11" w:firstLine="477" w:firstLineChars="199"/>
        <w:contextualSpacing/>
        <w:rPr>
          <w:rFonts w:ascii="宋体" w:hAnsi="宋体" w:cs="Times New Roman"/>
          <w:kern w:val="0"/>
          <w:sz w:val="24"/>
          <w:szCs w:val="20"/>
        </w:rPr>
      </w:pPr>
      <w:r>
        <w:rPr>
          <w:rFonts w:hint="eastAsia" w:ascii="宋体" w:hAnsi="宋体" w:cs="Times New Roman"/>
          <w:kern w:val="0"/>
          <w:sz w:val="24"/>
          <w:szCs w:val="20"/>
        </w:rPr>
        <w:t>合同范围和条件。本合同的范围和条件应与上述规定的合同文件内容相一致。</w:t>
      </w:r>
    </w:p>
    <w:p>
      <w:pPr>
        <w:numPr>
          <w:ilvl w:val="3"/>
          <w:numId w:val="50"/>
        </w:numPr>
        <w:tabs>
          <w:tab w:val="left" w:pos="854"/>
        </w:tabs>
        <w:autoSpaceDE w:val="0"/>
        <w:autoSpaceDN w:val="0"/>
        <w:spacing w:beforeLines="25" w:line="360" w:lineRule="auto"/>
        <w:ind w:left="11" w:firstLine="477" w:firstLineChars="199"/>
        <w:contextualSpacing/>
        <w:rPr>
          <w:rFonts w:ascii="宋体" w:hAnsi="宋体" w:cs="Times New Roman"/>
          <w:kern w:val="0"/>
          <w:sz w:val="24"/>
          <w:szCs w:val="20"/>
        </w:rPr>
      </w:pPr>
      <w:r>
        <w:rPr>
          <w:rFonts w:hint="eastAsia" w:ascii="宋体" w:hAnsi="宋体" w:cs="Times New Roman"/>
          <w:kern w:val="0"/>
          <w:sz w:val="24"/>
          <w:szCs w:val="20"/>
        </w:rPr>
        <w:t>货物（工程或服务）及数量。本合同所提供的货物（工程或服务）及数量详见招标文件的要求及乙方投标文件中的承诺。</w:t>
      </w:r>
    </w:p>
    <w:p>
      <w:pPr>
        <w:numPr>
          <w:ilvl w:val="3"/>
          <w:numId w:val="50"/>
        </w:numPr>
        <w:tabs>
          <w:tab w:val="left" w:pos="854"/>
        </w:tabs>
        <w:autoSpaceDE w:val="0"/>
        <w:autoSpaceDN w:val="0"/>
        <w:spacing w:beforeLines="25" w:line="360" w:lineRule="auto"/>
        <w:ind w:left="11" w:firstLine="477" w:firstLineChars="199"/>
        <w:contextualSpacing/>
        <w:rPr>
          <w:rFonts w:ascii="宋体" w:hAnsi="宋体" w:cs="Times New Roman"/>
          <w:kern w:val="0"/>
          <w:sz w:val="24"/>
          <w:szCs w:val="20"/>
        </w:rPr>
      </w:pPr>
      <w:r>
        <w:rPr>
          <w:rFonts w:hint="eastAsia" w:ascii="宋体" w:hAnsi="宋体" w:cs="Times New Roman"/>
          <w:kern w:val="0"/>
          <w:sz w:val="24"/>
          <w:szCs w:val="20"/>
        </w:rPr>
        <w:t>付款条件。本合同的付款条件按招标文件规定执行。</w:t>
      </w:r>
    </w:p>
    <w:p>
      <w:pPr>
        <w:numPr>
          <w:ilvl w:val="3"/>
          <w:numId w:val="50"/>
        </w:numPr>
        <w:tabs>
          <w:tab w:val="left" w:pos="854"/>
        </w:tabs>
        <w:autoSpaceDE w:val="0"/>
        <w:autoSpaceDN w:val="0"/>
        <w:spacing w:beforeLines="25" w:line="360" w:lineRule="auto"/>
        <w:ind w:left="11" w:firstLine="477" w:firstLineChars="199"/>
        <w:contextualSpacing/>
        <w:rPr>
          <w:rFonts w:ascii="宋体" w:hAnsi="宋体" w:cs="Times New Roman"/>
          <w:kern w:val="0"/>
          <w:sz w:val="24"/>
          <w:szCs w:val="20"/>
        </w:rPr>
      </w:pPr>
      <w:r>
        <w:rPr>
          <w:rFonts w:hint="eastAsia" w:ascii="宋体" w:hAnsi="宋体" w:cs="Times New Roman"/>
          <w:kern w:val="0"/>
          <w:sz w:val="24"/>
          <w:szCs w:val="20"/>
        </w:rPr>
        <w:t>合同金额。合同总金额见合同书，分项价格在乙方的投标报价表中有明确规定。</w:t>
      </w:r>
    </w:p>
    <w:p>
      <w:pPr>
        <w:numPr>
          <w:ilvl w:val="3"/>
          <w:numId w:val="50"/>
        </w:numPr>
        <w:tabs>
          <w:tab w:val="left" w:pos="854"/>
        </w:tabs>
        <w:autoSpaceDE w:val="0"/>
        <w:autoSpaceDN w:val="0"/>
        <w:spacing w:beforeLines="25" w:line="360" w:lineRule="auto"/>
        <w:ind w:left="11" w:firstLine="477" w:firstLineChars="199"/>
        <w:contextualSpacing/>
        <w:rPr>
          <w:rFonts w:ascii="宋体" w:hAnsi="宋体" w:cs="Times New Roman"/>
          <w:kern w:val="0"/>
          <w:sz w:val="24"/>
          <w:szCs w:val="20"/>
        </w:rPr>
      </w:pPr>
      <w:r>
        <w:rPr>
          <w:rFonts w:hint="eastAsia" w:ascii="宋体" w:hAnsi="宋体" w:cs="Times New Roman"/>
          <w:kern w:val="0"/>
          <w:sz w:val="24"/>
          <w:szCs w:val="20"/>
        </w:rPr>
        <w:t>工期和交货（服务）地点。本合同中货物（工程或服务）的工期、交货（服务）地点在招标文件中有明确规定。</w:t>
      </w:r>
    </w:p>
    <w:p>
      <w:pPr>
        <w:numPr>
          <w:ilvl w:val="3"/>
          <w:numId w:val="50"/>
        </w:numPr>
        <w:tabs>
          <w:tab w:val="left" w:pos="980"/>
        </w:tabs>
        <w:autoSpaceDE w:val="0"/>
        <w:autoSpaceDN w:val="0"/>
        <w:spacing w:beforeLines="25" w:line="360" w:lineRule="auto"/>
        <w:ind w:left="11" w:firstLine="477" w:firstLineChars="199"/>
        <w:contextualSpacing/>
        <w:rPr>
          <w:rFonts w:ascii="宋体" w:hAnsi="宋体" w:cs="Times New Roman"/>
          <w:kern w:val="0"/>
          <w:sz w:val="24"/>
          <w:szCs w:val="20"/>
        </w:rPr>
      </w:pPr>
      <w:r>
        <w:rPr>
          <w:rFonts w:hint="eastAsia" w:ascii="宋体" w:hAnsi="宋体" w:cs="Times New Roman"/>
          <w:kern w:val="0"/>
          <w:sz w:val="24"/>
          <w:szCs w:val="20"/>
        </w:rPr>
        <w:t>合同生效。本合同经甲、乙双方授权代表签字和加盖公章（或合同专用章）后生效。如招标申请公证的，合同需经公证机构公证后生效。</w:t>
      </w:r>
    </w:p>
    <w:p>
      <w:pPr>
        <w:numPr>
          <w:ilvl w:val="3"/>
          <w:numId w:val="50"/>
        </w:numPr>
        <w:tabs>
          <w:tab w:val="left" w:pos="980"/>
        </w:tabs>
        <w:autoSpaceDE w:val="0"/>
        <w:autoSpaceDN w:val="0"/>
        <w:spacing w:beforeLines="25" w:line="360" w:lineRule="auto"/>
        <w:ind w:left="11" w:firstLine="477" w:firstLineChars="199"/>
        <w:contextualSpacing/>
        <w:rPr>
          <w:rFonts w:ascii="宋体" w:hAnsi="宋体" w:cs="Times New Roman"/>
          <w:kern w:val="0"/>
          <w:sz w:val="24"/>
          <w:szCs w:val="20"/>
        </w:rPr>
      </w:pPr>
      <w:r>
        <w:rPr>
          <w:rFonts w:hint="eastAsia" w:ascii="宋体" w:hAnsi="宋体" w:cs="Times New Roman"/>
          <w:kern w:val="0"/>
          <w:sz w:val="24"/>
          <w:szCs w:val="20"/>
        </w:rPr>
        <w:t>合同的份数。本合同正本一式</w:t>
      </w:r>
      <w:r>
        <w:rPr>
          <w:rFonts w:hint="eastAsia" w:ascii="宋体" w:hAnsi="宋体" w:cs="Times New Roman"/>
          <w:kern w:val="0"/>
          <w:sz w:val="24"/>
          <w:szCs w:val="20"/>
          <w:u w:val="single"/>
        </w:rPr>
        <w:t>　</w:t>
      </w:r>
      <w:r>
        <w:rPr>
          <w:rFonts w:hint="eastAsia" w:ascii="宋体" w:hAnsi="宋体" w:cs="Times New Roman"/>
          <w:kern w:val="0"/>
          <w:sz w:val="24"/>
          <w:szCs w:val="20"/>
        </w:rPr>
        <w:t>份，甲方执</w:t>
      </w:r>
      <w:r>
        <w:rPr>
          <w:rFonts w:hint="eastAsia" w:ascii="宋体" w:hAnsi="宋体" w:cs="Times New Roman"/>
          <w:kern w:val="0"/>
          <w:sz w:val="24"/>
          <w:szCs w:val="20"/>
          <w:u w:val="single"/>
        </w:rPr>
        <w:t>　</w:t>
      </w:r>
      <w:r>
        <w:rPr>
          <w:rFonts w:hint="eastAsia" w:ascii="宋体" w:hAnsi="宋体" w:cs="Times New Roman"/>
          <w:kern w:val="0"/>
          <w:sz w:val="24"/>
          <w:szCs w:val="20"/>
        </w:rPr>
        <w:t>份，乙方执</w:t>
      </w:r>
      <w:r>
        <w:rPr>
          <w:rFonts w:hint="eastAsia" w:ascii="宋体" w:hAnsi="宋体" w:cs="Times New Roman"/>
          <w:kern w:val="0"/>
          <w:sz w:val="24"/>
          <w:szCs w:val="20"/>
          <w:u w:val="single"/>
        </w:rPr>
        <w:t>　</w:t>
      </w:r>
      <w:r>
        <w:rPr>
          <w:rFonts w:hint="eastAsia" w:ascii="宋体" w:hAnsi="宋体" w:cs="Times New Roman"/>
          <w:kern w:val="0"/>
          <w:sz w:val="24"/>
          <w:szCs w:val="20"/>
        </w:rPr>
        <w:t>份；副本一式</w:t>
      </w:r>
      <w:r>
        <w:rPr>
          <w:rFonts w:hint="eastAsia" w:ascii="宋体" w:hAnsi="宋体" w:cs="Times New Roman"/>
          <w:kern w:val="0"/>
          <w:sz w:val="24"/>
          <w:szCs w:val="20"/>
          <w:u w:val="single"/>
        </w:rPr>
        <w:t>　</w:t>
      </w:r>
      <w:r>
        <w:rPr>
          <w:rFonts w:hint="eastAsia" w:ascii="宋体" w:hAnsi="宋体" w:cs="Times New Roman"/>
          <w:kern w:val="0"/>
          <w:sz w:val="24"/>
          <w:szCs w:val="20"/>
        </w:rPr>
        <w:t>份，甲方执</w:t>
      </w:r>
      <w:r>
        <w:rPr>
          <w:rFonts w:hint="eastAsia" w:ascii="宋体" w:hAnsi="宋体" w:cs="Times New Roman"/>
          <w:kern w:val="0"/>
          <w:sz w:val="24"/>
          <w:szCs w:val="20"/>
          <w:u w:val="single"/>
        </w:rPr>
        <w:t>　</w:t>
      </w:r>
      <w:r>
        <w:rPr>
          <w:rFonts w:hint="eastAsia" w:ascii="宋体" w:hAnsi="宋体" w:cs="Times New Roman"/>
          <w:kern w:val="0"/>
          <w:sz w:val="24"/>
          <w:szCs w:val="20"/>
        </w:rPr>
        <w:t>份，乙方执</w:t>
      </w:r>
      <w:r>
        <w:rPr>
          <w:rFonts w:hint="eastAsia" w:ascii="宋体" w:hAnsi="宋体" w:cs="Times New Roman"/>
          <w:kern w:val="0"/>
          <w:sz w:val="24"/>
          <w:szCs w:val="20"/>
          <w:u w:val="single"/>
        </w:rPr>
        <w:t>　</w:t>
      </w:r>
      <w:r>
        <w:rPr>
          <w:rFonts w:hint="eastAsia" w:ascii="宋体" w:hAnsi="宋体" w:cs="Times New Roman"/>
          <w:kern w:val="0"/>
          <w:sz w:val="24"/>
          <w:szCs w:val="20"/>
        </w:rPr>
        <w:t>份。</w:t>
      </w:r>
    </w:p>
    <w:p>
      <w:pPr>
        <w:numPr>
          <w:ilvl w:val="3"/>
          <w:numId w:val="50"/>
        </w:numPr>
        <w:tabs>
          <w:tab w:val="left" w:pos="980"/>
        </w:tabs>
        <w:autoSpaceDE w:val="0"/>
        <w:autoSpaceDN w:val="0"/>
        <w:spacing w:beforeLines="25" w:line="360" w:lineRule="auto"/>
        <w:ind w:left="11" w:firstLine="477" w:firstLineChars="199"/>
        <w:contextualSpacing/>
        <w:rPr>
          <w:rFonts w:ascii="宋体" w:hAnsi="宋体" w:cs="Times New Roman"/>
          <w:kern w:val="0"/>
          <w:sz w:val="24"/>
          <w:szCs w:val="20"/>
        </w:rPr>
      </w:pPr>
      <w:r>
        <w:rPr>
          <w:rFonts w:hint="eastAsia" w:ascii="宋体" w:hAnsi="宋体" w:cs="Times New Roman"/>
          <w:kern w:val="0"/>
          <w:sz w:val="24"/>
          <w:szCs w:val="20"/>
        </w:rPr>
        <w:t>合同的失效。本合同在合同价款全部结清后失效。</w:t>
      </w:r>
    </w:p>
    <w:p>
      <w:pPr>
        <w:spacing w:beforeLines="25" w:line="360" w:lineRule="auto"/>
        <w:ind w:firstLine="489" w:firstLineChars="204"/>
        <w:contextualSpacing/>
        <w:jc w:val="left"/>
        <w:rPr>
          <w:rFonts w:ascii="宋体" w:hAnsi="宋体" w:cs="Times New Roman"/>
          <w:kern w:val="0"/>
          <w:sz w:val="24"/>
          <w:szCs w:val="20"/>
        </w:rPr>
      </w:pPr>
      <w:r>
        <w:rPr>
          <w:rFonts w:hint="eastAsia" w:ascii="宋体" w:hAnsi="宋体" w:cs="Times New Roman"/>
          <w:kern w:val="0"/>
          <w:sz w:val="24"/>
          <w:szCs w:val="20"/>
        </w:rPr>
        <w:t>甲　　方：</w:t>
      </w:r>
      <w:r>
        <w:rPr>
          <w:rFonts w:hint="eastAsia" w:ascii="宋体" w:hAnsi="宋体" w:cs="Times New Roman"/>
          <w:kern w:val="0"/>
          <w:sz w:val="24"/>
          <w:szCs w:val="20"/>
        </w:rPr>
        <w:tab/>
      </w:r>
      <w:r>
        <w:rPr>
          <w:rFonts w:hint="eastAsia" w:ascii="宋体" w:hAnsi="宋体" w:cs="Times New Roman"/>
          <w:kern w:val="0"/>
          <w:sz w:val="24"/>
          <w:szCs w:val="20"/>
        </w:rPr>
        <w:t xml:space="preserve">                         乙　　方：</w:t>
      </w:r>
    </w:p>
    <w:p>
      <w:pPr>
        <w:spacing w:beforeLines="25" w:line="360" w:lineRule="auto"/>
        <w:ind w:firstLine="489" w:firstLineChars="204"/>
        <w:contextualSpacing/>
        <w:jc w:val="left"/>
        <w:rPr>
          <w:rFonts w:ascii="宋体" w:hAnsi="宋体" w:cs="Times New Roman"/>
          <w:kern w:val="0"/>
          <w:sz w:val="24"/>
          <w:szCs w:val="20"/>
        </w:rPr>
      </w:pPr>
      <w:r>
        <w:rPr>
          <w:rFonts w:hint="eastAsia" w:ascii="宋体" w:hAnsi="宋体" w:cs="Times New Roman"/>
          <w:kern w:val="0"/>
          <w:sz w:val="24"/>
          <w:szCs w:val="20"/>
        </w:rPr>
        <w:t>单位名称（盖章）：</w:t>
      </w:r>
      <w:r>
        <w:rPr>
          <w:rFonts w:hint="eastAsia" w:ascii="宋体" w:hAnsi="宋体" w:cs="Times New Roman"/>
          <w:kern w:val="0"/>
          <w:sz w:val="24"/>
          <w:szCs w:val="20"/>
        </w:rPr>
        <w:tab/>
      </w:r>
      <w:r>
        <w:rPr>
          <w:rFonts w:hint="eastAsia" w:ascii="宋体" w:hAnsi="宋体" w:cs="Times New Roman"/>
          <w:kern w:val="0"/>
          <w:sz w:val="24"/>
          <w:szCs w:val="20"/>
        </w:rPr>
        <w:t xml:space="preserve"> 单位名称（盖章）：</w:t>
      </w:r>
    </w:p>
    <w:p>
      <w:pPr>
        <w:spacing w:beforeLines="25" w:line="360" w:lineRule="auto"/>
        <w:ind w:firstLine="489" w:firstLineChars="204"/>
        <w:contextualSpacing/>
        <w:jc w:val="left"/>
        <w:rPr>
          <w:rFonts w:ascii="宋体" w:hAnsi="宋体" w:cs="Times New Roman"/>
          <w:kern w:val="0"/>
          <w:sz w:val="24"/>
          <w:szCs w:val="20"/>
        </w:rPr>
      </w:pPr>
      <w:r>
        <w:rPr>
          <w:rFonts w:hint="eastAsia" w:ascii="宋体" w:hAnsi="宋体" w:cs="Times New Roman"/>
          <w:kern w:val="0"/>
          <w:sz w:val="24"/>
          <w:szCs w:val="20"/>
        </w:rPr>
        <w:t>单位地址：</w:t>
      </w:r>
      <w:r>
        <w:rPr>
          <w:rFonts w:hint="eastAsia" w:ascii="宋体" w:hAnsi="宋体" w:cs="Times New Roman"/>
          <w:kern w:val="0"/>
          <w:sz w:val="24"/>
          <w:szCs w:val="20"/>
        </w:rPr>
        <w:tab/>
      </w:r>
      <w:r>
        <w:rPr>
          <w:rFonts w:hint="eastAsia" w:ascii="宋体" w:hAnsi="宋体" w:cs="Times New Roman"/>
          <w:kern w:val="0"/>
          <w:sz w:val="24"/>
          <w:szCs w:val="20"/>
        </w:rPr>
        <w:t xml:space="preserve">                         单位地址：</w:t>
      </w:r>
    </w:p>
    <w:p>
      <w:pPr>
        <w:spacing w:beforeLines="25" w:line="360" w:lineRule="auto"/>
        <w:ind w:firstLine="489" w:firstLineChars="204"/>
        <w:contextualSpacing/>
        <w:jc w:val="left"/>
        <w:rPr>
          <w:rFonts w:ascii="宋体" w:hAnsi="宋体" w:cs="Times New Roman"/>
          <w:kern w:val="0"/>
          <w:sz w:val="24"/>
          <w:szCs w:val="20"/>
        </w:rPr>
      </w:pPr>
      <w:r>
        <w:rPr>
          <w:rFonts w:hint="eastAsia" w:ascii="宋体" w:hAnsi="宋体" w:cs="Times New Roman"/>
          <w:kern w:val="0"/>
          <w:sz w:val="24"/>
          <w:szCs w:val="20"/>
        </w:rPr>
        <w:t xml:space="preserve">法人代表授权人(签字)：             </w:t>
      </w:r>
      <w:r>
        <w:rPr>
          <w:rFonts w:hint="eastAsia" w:ascii="宋体" w:hAnsi="宋体" w:cs="Times New Roman"/>
          <w:kern w:val="0"/>
          <w:sz w:val="24"/>
          <w:szCs w:val="20"/>
        </w:rPr>
        <w:tab/>
      </w:r>
      <w:r>
        <w:rPr>
          <w:rFonts w:hint="eastAsia" w:ascii="宋体" w:hAnsi="宋体" w:cs="Times New Roman"/>
          <w:kern w:val="0"/>
          <w:sz w:val="24"/>
          <w:szCs w:val="20"/>
        </w:rPr>
        <w:t>法人代表授权人(签字)：</w:t>
      </w:r>
    </w:p>
    <w:p>
      <w:pPr>
        <w:spacing w:beforeLines="25" w:line="360" w:lineRule="auto"/>
        <w:ind w:firstLine="489" w:firstLineChars="204"/>
        <w:contextualSpacing/>
        <w:jc w:val="left"/>
        <w:rPr>
          <w:rFonts w:ascii="宋体" w:hAnsi="宋体" w:cs="Times New Roman"/>
          <w:kern w:val="0"/>
          <w:sz w:val="24"/>
          <w:szCs w:val="20"/>
        </w:rPr>
      </w:pPr>
      <w:r>
        <w:rPr>
          <w:rFonts w:hint="eastAsia" w:ascii="宋体" w:hAnsi="宋体" w:cs="Times New Roman"/>
          <w:kern w:val="0"/>
          <w:sz w:val="24"/>
          <w:szCs w:val="20"/>
        </w:rPr>
        <w:t>联 系 人：</w:t>
      </w:r>
      <w:r>
        <w:rPr>
          <w:rFonts w:hint="eastAsia" w:ascii="宋体" w:hAnsi="宋体" w:cs="Times New Roman"/>
          <w:kern w:val="0"/>
          <w:sz w:val="24"/>
          <w:szCs w:val="20"/>
        </w:rPr>
        <w:tab/>
      </w:r>
      <w:r>
        <w:rPr>
          <w:rFonts w:hint="eastAsia" w:ascii="宋体" w:hAnsi="宋体" w:cs="Times New Roman"/>
          <w:kern w:val="0"/>
          <w:sz w:val="24"/>
          <w:szCs w:val="20"/>
        </w:rPr>
        <w:t xml:space="preserve">                         联 系 人：</w:t>
      </w:r>
    </w:p>
    <w:p>
      <w:pPr>
        <w:spacing w:beforeLines="25" w:line="360" w:lineRule="auto"/>
        <w:ind w:firstLine="489" w:firstLineChars="204"/>
        <w:contextualSpacing/>
        <w:jc w:val="left"/>
        <w:rPr>
          <w:rFonts w:ascii="宋体" w:hAnsi="宋体" w:cs="Times New Roman"/>
          <w:kern w:val="0"/>
          <w:sz w:val="24"/>
          <w:szCs w:val="20"/>
        </w:rPr>
      </w:pPr>
      <w:r>
        <w:rPr>
          <w:rFonts w:hint="eastAsia" w:ascii="宋体" w:hAnsi="宋体" w:cs="Times New Roman"/>
          <w:kern w:val="0"/>
          <w:sz w:val="24"/>
          <w:szCs w:val="20"/>
        </w:rPr>
        <w:t xml:space="preserve">电　　话：                         </w:t>
      </w:r>
      <w:r>
        <w:rPr>
          <w:rFonts w:hint="eastAsia" w:ascii="宋体" w:hAnsi="宋体" w:cs="Times New Roman"/>
          <w:kern w:val="0"/>
          <w:sz w:val="24"/>
          <w:szCs w:val="20"/>
        </w:rPr>
        <w:tab/>
      </w:r>
      <w:r>
        <w:rPr>
          <w:rFonts w:hint="eastAsia" w:ascii="宋体" w:hAnsi="宋体" w:cs="Times New Roman"/>
          <w:kern w:val="0"/>
          <w:sz w:val="24"/>
          <w:szCs w:val="20"/>
        </w:rPr>
        <w:t>电　　话：</w:t>
      </w:r>
    </w:p>
    <w:p>
      <w:pPr>
        <w:spacing w:beforeLines="25" w:line="360" w:lineRule="auto"/>
        <w:ind w:firstLine="489" w:firstLineChars="204"/>
        <w:contextualSpacing/>
        <w:jc w:val="left"/>
        <w:rPr>
          <w:rFonts w:ascii="宋体" w:hAnsi="宋体" w:cs="Times New Roman"/>
          <w:kern w:val="0"/>
          <w:sz w:val="24"/>
          <w:szCs w:val="20"/>
        </w:rPr>
      </w:pPr>
      <w:r>
        <w:rPr>
          <w:rFonts w:hint="eastAsia" w:ascii="宋体" w:hAnsi="宋体" w:cs="Times New Roman"/>
          <w:kern w:val="0"/>
          <w:sz w:val="24"/>
          <w:szCs w:val="20"/>
        </w:rPr>
        <w:t xml:space="preserve">传　　真：                         </w:t>
      </w:r>
      <w:r>
        <w:rPr>
          <w:rFonts w:hint="eastAsia" w:ascii="宋体" w:hAnsi="宋体" w:cs="Times New Roman"/>
          <w:kern w:val="0"/>
          <w:sz w:val="24"/>
          <w:szCs w:val="20"/>
        </w:rPr>
        <w:tab/>
      </w:r>
      <w:r>
        <w:rPr>
          <w:rFonts w:hint="eastAsia" w:ascii="宋体" w:hAnsi="宋体" w:cs="Times New Roman"/>
          <w:kern w:val="0"/>
          <w:sz w:val="24"/>
          <w:szCs w:val="20"/>
        </w:rPr>
        <w:t>传　　真：</w:t>
      </w:r>
    </w:p>
    <w:p>
      <w:pPr>
        <w:spacing w:beforeLines="25" w:line="360" w:lineRule="auto"/>
        <w:ind w:firstLine="489" w:firstLineChars="204"/>
        <w:contextualSpacing/>
        <w:jc w:val="left"/>
        <w:rPr>
          <w:rFonts w:ascii="宋体" w:hAnsi="宋体" w:cs="Times New Roman"/>
          <w:kern w:val="0"/>
          <w:sz w:val="24"/>
          <w:szCs w:val="20"/>
        </w:rPr>
      </w:pPr>
      <w:r>
        <w:rPr>
          <w:rFonts w:hint="eastAsia" w:ascii="宋体" w:hAnsi="宋体" w:cs="Times New Roman"/>
          <w:kern w:val="0"/>
          <w:sz w:val="24"/>
          <w:szCs w:val="20"/>
        </w:rPr>
        <w:t xml:space="preserve">邮政编码：                         </w:t>
      </w:r>
      <w:r>
        <w:rPr>
          <w:rFonts w:hint="eastAsia" w:ascii="宋体" w:hAnsi="宋体" w:cs="Times New Roman"/>
          <w:kern w:val="0"/>
          <w:sz w:val="24"/>
          <w:szCs w:val="20"/>
        </w:rPr>
        <w:tab/>
      </w:r>
      <w:r>
        <w:rPr>
          <w:rFonts w:hint="eastAsia" w:ascii="宋体" w:hAnsi="宋体" w:cs="Times New Roman"/>
          <w:kern w:val="0"/>
          <w:sz w:val="24"/>
          <w:szCs w:val="20"/>
        </w:rPr>
        <w:t>邮政编码：</w:t>
      </w:r>
    </w:p>
    <w:p>
      <w:pPr>
        <w:spacing w:beforeLines="25" w:line="360" w:lineRule="auto"/>
        <w:ind w:firstLine="489" w:firstLineChars="204"/>
        <w:contextualSpacing/>
        <w:jc w:val="left"/>
        <w:rPr>
          <w:rFonts w:ascii="宋体" w:hAnsi="宋体" w:cs="Times New Roman"/>
          <w:kern w:val="0"/>
          <w:sz w:val="24"/>
          <w:szCs w:val="20"/>
        </w:rPr>
      </w:pPr>
      <w:r>
        <w:rPr>
          <w:rFonts w:hint="eastAsia" w:ascii="宋体" w:hAnsi="宋体" w:cs="Times New Roman"/>
          <w:kern w:val="0"/>
          <w:sz w:val="24"/>
          <w:szCs w:val="20"/>
        </w:rPr>
        <w:t xml:space="preserve">开户银行：                         </w:t>
      </w:r>
      <w:r>
        <w:rPr>
          <w:rFonts w:hint="eastAsia" w:ascii="宋体" w:hAnsi="宋体" w:cs="Times New Roman"/>
          <w:kern w:val="0"/>
          <w:sz w:val="24"/>
          <w:szCs w:val="20"/>
        </w:rPr>
        <w:tab/>
      </w:r>
      <w:r>
        <w:rPr>
          <w:rFonts w:hint="eastAsia" w:ascii="宋体" w:hAnsi="宋体" w:cs="Times New Roman"/>
          <w:kern w:val="0"/>
          <w:sz w:val="24"/>
          <w:szCs w:val="20"/>
        </w:rPr>
        <w:t>开户银行：</w:t>
      </w:r>
    </w:p>
    <w:p>
      <w:pPr>
        <w:spacing w:beforeLines="25" w:line="360" w:lineRule="auto"/>
        <w:ind w:firstLine="489" w:firstLineChars="204"/>
        <w:contextualSpacing/>
        <w:jc w:val="left"/>
        <w:rPr>
          <w:rFonts w:ascii="宋体" w:hAnsi="宋体" w:cs="Times New Roman"/>
          <w:kern w:val="0"/>
          <w:sz w:val="24"/>
          <w:szCs w:val="20"/>
        </w:rPr>
      </w:pPr>
      <w:r>
        <w:rPr>
          <w:rFonts w:hint="eastAsia" w:ascii="宋体" w:hAnsi="宋体" w:cs="Times New Roman"/>
          <w:kern w:val="0"/>
          <w:sz w:val="24"/>
          <w:szCs w:val="20"/>
        </w:rPr>
        <w:t xml:space="preserve">帐　　号：                         </w:t>
      </w:r>
      <w:r>
        <w:rPr>
          <w:rFonts w:hint="eastAsia" w:ascii="宋体" w:hAnsi="宋体" w:cs="Times New Roman"/>
          <w:kern w:val="0"/>
          <w:sz w:val="24"/>
          <w:szCs w:val="20"/>
        </w:rPr>
        <w:tab/>
      </w:r>
      <w:r>
        <w:rPr>
          <w:rFonts w:hint="eastAsia" w:ascii="宋体" w:hAnsi="宋体" w:cs="Times New Roman"/>
          <w:kern w:val="0"/>
          <w:sz w:val="24"/>
          <w:szCs w:val="20"/>
        </w:rPr>
        <w:t>帐　　号：</w:t>
      </w:r>
    </w:p>
    <w:p>
      <w:pPr>
        <w:spacing w:beforeLines="25" w:line="360" w:lineRule="auto"/>
        <w:ind w:firstLine="489" w:firstLineChars="204"/>
        <w:contextualSpacing/>
        <w:jc w:val="left"/>
        <w:rPr>
          <w:rFonts w:ascii="宋体" w:hAnsi="宋体" w:cs="Times New Roman"/>
          <w:kern w:val="0"/>
          <w:sz w:val="24"/>
          <w:szCs w:val="20"/>
        </w:rPr>
      </w:pPr>
      <w:r>
        <w:rPr>
          <w:rFonts w:hint="eastAsia" w:ascii="宋体" w:hAnsi="宋体" w:cs="Times New Roman"/>
          <w:kern w:val="0"/>
          <w:sz w:val="24"/>
          <w:szCs w:val="20"/>
        </w:rPr>
        <w:t xml:space="preserve">税　　号：                         </w:t>
      </w:r>
      <w:r>
        <w:rPr>
          <w:rFonts w:hint="eastAsia" w:ascii="宋体" w:hAnsi="宋体" w:cs="Times New Roman"/>
          <w:kern w:val="0"/>
          <w:sz w:val="24"/>
          <w:szCs w:val="20"/>
        </w:rPr>
        <w:tab/>
      </w:r>
      <w:r>
        <w:rPr>
          <w:rFonts w:hint="eastAsia" w:ascii="宋体" w:hAnsi="宋体" w:cs="Times New Roman"/>
          <w:kern w:val="0"/>
          <w:sz w:val="24"/>
          <w:szCs w:val="20"/>
        </w:rPr>
        <w:t>税　　号：</w:t>
      </w:r>
    </w:p>
    <w:p>
      <w:r>
        <w:br w:type="page"/>
      </w:r>
    </w:p>
    <w:p>
      <w:pPr>
        <w:pStyle w:val="2"/>
        <w:ind w:left="1135"/>
        <w:rPr>
          <w:rFonts w:ascii="黑体" w:hAnsi="黑体" w:eastAsia="黑体"/>
        </w:rPr>
      </w:pPr>
      <w:bookmarkStart w:id="61" w:name="_Toc494745311"/>
      <w:bookmarkStart w:id="62" w:name="_Toc494665944"/>
      <w:bookmarkStart w:id="63" w:name="_Toc497459197"/>
      <w:bookmarkStart w:id="64" w:name="_Toc494665547"/>
      <w:bookmarkStart w:id="65" w:name="_Toc494721094"/>
      <w:bookmarkStart w:id="66" w:name="_Toc494664994"/>
      <w:bookmarkStart w:id="67" w:name="_Toc494702264"/>
      <w:r>
        <w:rPr>
          <w:rFonts w:hint="eastAsia" w:ascii="黑体" w:hAnsi="黑体" w:eastAsia="黑体"/>
        </w:rPr>
        <w:t>第七章    投标文件格式（参考）</w:t>
      </w:r>
      <w:bookmarkEnd w:id="61"/>
      <w:bookmarkEnd w:id="62"/>
      <w:bookmarkEnd w:id="63"/>
      <w:bookmarkEnd w:id="64"/>
      <w:bookmarkEnd w:id="65"/>
      <w:bookmarkEnd w:id="66"/>
      <w:bookmarkEnd w:id="67"/>
    </w:p>
    <w:p>
      <w:pPr>
        <w:spacing w:afterLines="200"/>
        <w:jc w:val="center"/>
        <w:rPr>
          <w:rFonts w:ascii="黑体" w:hAnsi="黑体" w:eastAsia="黑体"/>
          <w:b/>
          <w:sz w:val="72"/>
          <w:szCs w:val="72"/>
        </w:rPr>
      </w:pPr>
    </w:p>
    <w:p>
      <w:pPr>
        <w:spacing w:afterLines="200"/>
        <w:jc w:val="center"/>
        <w:rPr>
          <w:rFonts w:ascii="黑体" w:hAnsi="黑体" w:eastAsia="黑体"/>
          <w:b/>
          <w:sz w:val="72"/>
          <w:szCs w:val="72"/>
        </w:rPr>
      </w:pPr>
    </w:p>
    <w:p>
      <w:pPr>
        <w:spacing w:afterLines="200"/>
        <w:jc w:val="center"/>
        <w:rPr>
          <w:rFonts w:ascii="黑体" w:hAnsi="黑体" w:eastAsia="黑体"/>
          <w:b/>
          <w:sz w:val="72"/>
          <w:szCs w:val="72"/>
        </w:rPr>
      </w:pPr>
      <w:r>
        <w:rPr>
          <w:rFonts w:hint="eastAsia" w:ascii="黑体" w:hAnsi="黑体" w:eastAsia="黑体"/>
          <w:b/>
          <w:sz w:val="72"/>
          <w:szCs w:val="72"/>
        </w:rPr>
        <w:t>投 标 文 件</w:t>
      </w:r>
    </w:p>
    <w:p>
      <w:pPr>
        <w:pStyle w:val="3"/>
        <w:spacing w:before="340" w:after="480" w:line="360" w:lineRule="auto"/>
        <w:jc w:val="center"/>
        <w:rPr>
          <w:rFonts w:ascii="宋体" w:hAnsi="宋体" w:cs="Times New Roman"/>
          <w:bCs w:val="0"/>
          <w:sz w:val="44"/>
          <w:szCs w:val="44"/>
        </w:rPr>
      </w:pPr>
      <w:bookmarkStart w:id="68" w:name="_Toc494665945"/>
      <w:bookmarkStart w:id="69" w:name="_Toc494665548"/>
      <w:bookmarkStart w:id="70" w:name="_Toc494664995"/>
      <w:bookmarkStart w:id="71" w:name="_Toc494745312"/>
      <w:bookmarkStart w:id="72" w:name="_Toc494721095"/>
      <w:bookmarkStart w:id="73" w:name="_Toc494702265"/>
      <w:bookmarkStart w:id="74" w:name="_Toc497459198"/>
      <w:r>
        <w:rPr>
          <w:rFonts w:hint="eastAsia" w:ascii="宋体" w:hAnsi="宋体" w:cs="Times New Roman"/>
          <w:bCs w:val="0"/>
          <w:sz w:val="44"/>
          <w:szCs w:val="44"/>
        </w:rPr>
        <w:t>第一部分 资格证明文件</w:t>
      </w:r>
      <w:bookmarkEnd w:id="68"/>
      <w:bookmarkEnd w:id="69"/>
      <w:bookmarkEnd w:id="70"/>
      <w:bookmarkEnd w:id="71"/>
      <w:bookmarkEnd w:id="72"/>
      <w:bookmarkEnd w:id="73"/>
      <w:bookmarkEnd w:id="74"/>
    </w:p>
    <w:p>
      <w:pPr>
        <w:spacing w:line="360" w:lineRule="auto"/>
        <w:ind w:left="2051" w:leftChars="619" w:right="1299" w:rightChars="619" w:hanging="752" w:hangingChars="209"/>
        <w:rPr>
          <w:rFonts w:ascii="宋体" w:hAnsi="宋体" w:cs="Times New Roman"/>
          <w:bCs/>
          <w:sz w:val="36"/>
          <w:szCs w:val="24"/>
        </w:rPr>
      </w:pPr>
      <w:r>
        <w:rPr>
          <w:rFonts w:hint="eastAsia" w:ascii="宋体" w:hAnsi="宋体" w:cs="Times New Roman"/>
          <w:b/>
          <w:bCs/>
          <w:sz w:val="36"/>
          <w:szCs w:val="24"/>
        </w:rPr>
        <w:t>项目编号：</w:t>
      </w:r>
    </w:p>
    <w:p>
      <w:pPr>
        <w:spacing w:line="360" w:lineRule="auto"/>
        <w:ind w:left="2051" w:leftChars="619" w:right="1299" w:rightChars="619" w:hanging="752" w:hangingChars="209"/>
        <w:rPr>
          <w:rFonts w:ascii="宋体" w:hAnsi="宋体" w:cs="Times New Roman"/>
          <w:bCs/>
          <w:sz w:val="36"/>
          <w:szCs w:val="24"/>
        </w:rPr>
      </w:pPr>
      <w:r>
        <w:rPr>
          <w:rFonts w:hint="eastAsia" w:ascii="宋体" w:hAnsi="宋体" w:cs="Times New Roman"/>
          <w:b/>
          <w:bCs/>
          <w:sz w:val="36"/>
          <w:szCs w:val="24"/>
        </w:rPr>
        <w:t>项目名称：</w:t>
      </w:r>
    </w:p>
    <w:p>
      <w:pPr>
        <w:spacing w:line="360" w:lineRule="auto"/>
        <w:ind w:left="2051" w:leftChars="619" w:right="1299" w:rightChars="619" w:hanging="752" w:hangingChars="209"/>
        <w:rPr>
          <w:rFonts w:ascii="宋体" w:hAnsi="宋体" w:cs="Times New Roman"/>
          <w:sz w:val="36"/>
          <w:szCs w:val="36"/>
        </w:rPr>
      </w:pPr>
      <w:r>
        <w:rPr>
          <w:rFonts w:hint="eastAsia" w:ascii="宋体" w:hAnsi="宋体" w:cs="Times New Roman"/>
          <w:b/>
          <w:bCs/>
          <w:sz w:val="36"/>
          <w:szCs w:val="24"/>
        </w:rPr>
        <w:t>招标内容：</w:t>
      </w:r>
    </w:p>
    <w:p>
      <w:pPr>
        <w:spacing w:afterLines="500" w:line="360" w:lineRule="auto"/>
        <w:ind w:left="2347" w:leftChars="271" w:right="569" w:rightChars="271" w:hanging="1778" w:hangingChars="494"/>
        <w:jc w:val="center"/>
        <w:rPr>
          <w:rFonts w:ascii="宋体" w:hAnsi="宋体" w:cs="Times New Roman"/>
          <w:sz w:val="36"/>
          <w:szCs w:val="36"/>
        </w:rPr>
      </w:pPr>
    </w:p>
    <w:p>
      <w:pPr>
        <w:spacing w:line="360" w:lineRule="auto"/>
        <w:ind w:left="1971" w:leftChars="613" w:right="1287" w:rightChars="613" w:hanging="684" w:hangingChars="214"/>
        <w:rPr>
          <w:rFonts w:ascii="宋体" w:hAnsi="宋体" w:cs="Times New Roman"/>
          <w:b/>
          <w:bCs/>
          <w:sz w:val="32"/>
          <w:szCs w:val="32"/>
        </w:rPr>
      </w:pPr>
      <w:r>
        <w:rPr>
          <w:rFonts w:hint="eastAsia" w:ascii="宋体" w:hAnsi="宋体" w:cs="Times New Roman"/>
          <w:b/>
          <w:bCs/>
          <w:sz w:val="32"/>
          <w:szCs w:val="32"/>
        </w:rPr>
        <w:t>投标人（盖章）：</w:t>
      </w:r>
    </w:p>
    <w:p>
      <w:pPr>
        <w:spacing w:line="360" w:lineRule="auto"/>
        <w:ind w:left="1971" w:leftChars="613" w:right="1287" w:rightChars="613" w:hanging="684" w:hangingChars="214"/>
        <w:rPr>
          <w:rFonts w:ascii="宋体" w:hAnsi="宋体" w:cs="Times New Roman"/>
          <w:b/>
          <w:bCs/>
          <w:sz w:val="32"/>
          <w:szCs w:val="32"/>
        </w:rPr>
      </w:pPr>
      <w:r>
        <w:rPr>
          <w:rFonts w:hint="eastAsia" w:ascii="宋体" w:hAnsi="宋体" w:cs="Times New Roman"/>
          <w:b/>
          <w:bCs/>
          <w:sz w:val="32"/>
          <w:szCs w:val="32"/>
        </w:rPr>
        <w:t>投标人授权代表（签字）：</w:t>
      </w:r>
    </w:p>
    <w:p>
      <w:pPr>
        <w:spacing w:beforeLines="100" w:afterLines="100" w:line="360" w:lineRule="auto"/>
        <w:ind w:left="2256" w:leftChars="466" w:right="466" w:hanging="1278" w:hangingChars="355"/>
        <w:jc w:val="center"/>
        <w:rPr>
          <w:rFonts w:ascii="宋体" w:hAnsi="宋体"/>
          <w:b/>
          <w:sz w:val="36"/>
          <w:szCs w:val="36"/>
        </w:rPr>
      </w:pPr>
      <w:r>
        <w:rPr>
          <w:rFonts w:hint="eastAsia" w:ascii="宋体" w:hAnsi="宋体" w:cs="Times New Roman"/>
          <w:b/>
          <w:bCs/>
          <w:sz w:val="36"/>
          <w:szCs w:val="36"/>
        </w:rPr>
        <w:t>二0一</w:t>
      </w:r>
      <w:r>
        <w:rPr>
          <w:rFonts w:hint="eastAsia" w:ascii="宋体" w:hAnsi="宋体"/>
          <w:b/>
          <w:sz w:val="36"/>
          <w:szCs w:val="36"/>
        </w:rPr>
        <w:t xml:space="preserve">  年 月</w:t>
      </w:r>
    </w:p>
    <w:p/>
    <w:p>
      <w:pPr>
        <w:spacing w:beforeLines="100" w:line="360" w:lineRule="auto"/>
        <w:jc w:val="left"/>
        <w:rPr>
          <w:rFonts w:ascii="宋体" w:hAnsi="宋体" w:cs="Times New Roman"/>
          <w:b/>
          <w:bCs/>
          <w:sz w:val="30"/>
          <w:szCs w:val="30"/>
        </w:rPr>
      </w:pPr>
      <w:r>
        <w:rPr>
          <w:rFonts w:hint="eastAsia" w:ascii="宋体" w:hAnsi="宋体" w:cs="Times New Roman"/>
          <w:b/>
          <w:bCs/>
          <w:sz w:val="30"/>
          <w:szCs w:val="30"/>
        </w:rPr>
        <w:t>格式（参考）说明：</w:t>
      </w:r>
    </w:p>
    <w:p>
      <w:pPr>
        <w:spacing w:before="120" w:after="120" w:line="578" w:lineRule="auto"/>
        <w:jc w:val="center"/>
        <w:rPr>
          <w:rFonts w:ascii="黑体" w:hAnsi="黑体" w:eastAsia="黑体" w:cs="Times New Roman"/>
          <w:b/>
          <w:sz w:val="36"/>
          <w:szCs w:val="36"/>
        </w:rPr>
      </w:pPr>
      <w:bookmarkStart w:id="75" w:name="_Toc494664996"/>
      <w:bookmarkStart w:id="76" w:name="_Toc494745313"/>
      <w:bookmarkStart w:id="77" w:name="_Toc494665549"/>
      <w:bookmarkStart w:id="78" w:name="_Toc494721096"/>
      <w:bookmarkStart w:id="79" w:name="_Toc494702266"/>
      <w:bookmarkStart w:id="80" w:name="_Toc494665946"/>
      <w:r>
        <w:rPr>
          <w:rFonts w:hint="eastAsia" w:ascii="黑体" w:hAnsi="黑体" w:eastAsia="黑体" w:cs="Times New Roman"/>
          <w:b/>
          <w:sz w:val="36"/>
          <w:szCs w:val="36"/>
        </w:rPr>
        <w:t>资格证明文件组成</w:t>
      </w:r>
      <w:bookmarkEnd w:id="75"/>
      <w:bookmarkEnd w:id="76"/>
      <w:bookmarkEnd w:id="77"/>
      <w:bookmarkEnd w:id="78"/>
      <w:bookmarkEnd w:id="79"/>
      <w:bookmarkEnd w:id="80"/>
    </w:p>
    <w:p>
      <w:pPr>
        <w:autoSpaceDE w:val="0"/>
        <w:autoSpaceDN w:val="0"/>
        <w:adjustRightInd w:val="0"/>
        <w:spacing w:beforeLines="50" w:afterLines="50" w:line="360" w:lineRule="auto"/>
        <w:ind w:firstLine="480" w:firstLineChars="200"/>
        <w:rPr>
          <w:rFonts w:ascii="宋体" w:hAnsi="宋体" w:cs="Times New Roman"/>
          <w:color w:val="0D0D0D"/>
          <w:kern w:val="0"/>
          <w:sz w:val="24"/>
          <w:szCs w:val="32"/>
        </w:rPr>
      </w:pPr>
      <w:r>
        <w:rPr>
          <w:rFonts w:hint="eastAsia" w:ascii="宋体" w:hAnsi="宋体" w:cs="Times New Roman"/>
          <w:color w:val="0D0D0D"/>
          <w:kern w:val="0"/>
          <w:sz w:val="24"/>
          <w:szCs w:val="32"/>
        </w:rPr>
        <w:t>由各投标人根据参考格式要求自行编写。目录清晰、内容详尽、易于理解和审查。具体内容应包括但不限于以下内容：</w:t>
      </w:r>
    </w:p>
    <w:p>
      <w:pPr>
        <w:numPr>
          <w:ilvl w:val="0"/>
          <w:numId w:val="53"/>
        </w:numPr>
        <w:autoSpaceDE w:val="0"/>
        <w:autoSpaceDN w:val="0"/>
        <w:adjustRightInd w:val="0"/>
        <w:spacing w:line="360" w:lineRule="auto"/>
        <w:ind w:left="490" w:hanging="370"/>
        <w:rPr>
          <w:rFonts w:ascii="宋体" w:hAnsi="宋体" w:cs="Times New Roman"/>
          <w:kern w:val="0"/>
          <w:sz w:val="24"/>
          <w:szCs w:val="32"/>
        </w:rPr>
      </w:pPr>
      <w:r>
        <w:rPr>
          <w:rFonts w:hint="eastAsia" w:ascii="宋体" w:hAnsi="宋体" w:cs="Times New Roman"/>
          <w:kern w:val="0"/>
          <w:sz w:val="24"/>
          <w:szCs w:val="32"/>
        </w:rPr>
        <w:t>资格证明文件目录</w:t>
      </w:r>
      <w:r>
        <w:rPr>
          <w:rFonts w:hint="eastAsia" w:ascii="宋体" w:hAnsi="宋体" w:cs="Times New Roman"/>
          <w:b/>
          <w:kern w:val="0"/>
          <w:sz w:val="24"/>
          <w:szCs w:val="32"/>
        </w:rPr>
        <w:t>（目录应涵盖下述所有资料，页码清晰以便查阅）</w:t>
      </w:r>
      <w:r>
        <w:rPr>
          <w:rFonts w:hint="eastAsia" w:ascii="宋体" w:hAnsi="宋体" w:cs="Times New Roman"/>
          <w:kern w:val="0"/>
          <w:sz w:val="24"/>
          <w:szCs w:val="32"/>
        </w:rPr>
        <w:t>；</w:t>
      </w:r>
    </w:p>
    <w:p>
      <w:pPr>
        <w:widowControl/>
        <w:spacing w:line="360" w:lineRule="auto"/>
        <w:ind w:firstLine="480" w:firstLineChars="200"/>
        <w:rPr>
          <w:rFonts w:hint="eastAsia" w:ascii="宋体" w:hAnsi="宋体"/>
          <w:color w:val="000000"/>
          <w:sz w:val="24"/>
        </w:rPr>
      </w:pPr>
      <w:r>
        <w:rPr>
          <w:rFonts w:hint="eastAsia" w:ascii="宋体" w:hAnsi="宋体"/>
          <w:sz w:val="24"/>
          <w:lang w:val="en-US" w:eastAsia="zh-CN"/>
        </w:rPr>
        <w:t xml:space="preserve"> 1</w:t>
      </w:r>
      <w:r>
        <w:rPr>
          <w:rFonts w:hint="eastAsia" w:ascii="宋体" w:hAnsi="宋体"/>
          <w:sz w:val="24"/>
        </w:rPr>
        <w:t>、</w:t>
      </w:r>
      <w:r>
        <w:rPr>
          <w:rFonts w:hint="eastAsia" w:ascii="宋体" w:hAnsi="宋体"/>
          <w:color w:val="000000"/>
          <w:sz w:val="24"/>
        </w:rPr>
        <w:t>投标人必须是在中国境内依法注册的法人、其他组织或者自然人</w:t>
      </w:r>
      <w:r>
        <w:rPr>
          <w:rFonts w:hint="eastAsia" w:ascii="宋体" w:hAnsi="宋体"/>
          <w:color w:val="000000"/>
          <w:sz w:val="24"/>
          <w:lang w:eastAsia="zh-CN"/>
        </w:rPr>
        <w:t>，依法成立五年（含）以上</w:t>
      </w:r>
      <w:r>
        <w:rPr>
          <w:rFonts w:hint="eastAsia" w:ascii="宋体" w:hAnsi="宋体"/>
          <w:color w:val="000000"/>
          <w:sz w:val="24"/>
        </w:rPr>
        <w:t>；</w:t>
      </w:r>
    </w:p>
    <w:p>
      <w:pPr>
        <w:widowControl/>
        <w:spacing w:line="360" w:lineRule="auto"/>
        <w:ind w:firstLine="482"/>
        <w:rPr>
          <w:rFonts w:ascii="宋体" w:hAnsi="宋体"/>
          <w:kern w:val="0"/>
          <w:sz w:val="24"/>
        </w:rPr>
      </w:pPr>
      <w:r>
        <w:rPr>
          <w:rFonts w:hint="eastAsia" w:ascii="宋体" w:hAnsi="宋体"/>
          <w:kern w:val="0"/>
          <w:sz w:val="24"/>
          <w:lang w:val="en-US" w:eastAsia="zh-CN"/>
        </w:rPr>
        <w:t>2</w:t>
      </w:r>
      <w:r>
        <w:rPr>
          <w:rFonts w:hint="eastAsia" w:ascii="宋体" w:hAnsi="宋体"/>
          <w:kern w:val="0"/>
          <w:sz w:val="24"/>
        </w:rPr>
        <w:t>、</w:t>
      </w:r>
      <w:r>
        <w:rPr>
          <w:rFonts w:ascii="宋体" w:hAnsi="宋体"/>
          <w:kern w:val="0"/>
          <w:sz w:val="24"/>
        </w:rPr>
        <w:t>应具备《中华人民共和国政府采购法》第二十二条规定的条件；</w:t>
      </w:r>
    </w:p>
    <w:p>
      <w:pPr>
        <w:widowControl/>
        <w:spacing w:line="360" w:lineRule="auto"/>
        <w:ind w:firstLine="480" w:firstLineChars="200"/>
        <w:rPr>
          <w:rFonts w:hint="eastAsia"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(1）具有独立承担民事责任的能力；</w:t>
      </w:r>
    </w:p>
    <w:p>
      <w:pPr>
        <w:widowControl/>
        <w:spacing w:line="360" w:lineRule="auto"/>
        <w:ind w:firstLine="720" w:firstLineChars="300"/>
        <w:rPr>
          <w:rFonts w:hint="eastAsia" w:ascii="宋体" w:hAnsi="宋体"/>
          <w:color w:val="000000"/>
          <w:sz w:val="24"/>
        </w:rPr>
      </w:pPr>
      <w:r>
        <w:rPr>
          <w:rFonts w:hint="eastAsia" w:ascii="宋体" w:hAnsi="宋体"/>
          <w:color w:val="000000"/>
          <w:sz w:val="24"/>
        </w:rPr>
        <w:t>(2）具有良好的商业信誉和健全的财务会计制度；</w:t>
      </w:r>
    </w:p>
    <w:p>
      <w:pPr>
        <w:widowControl/>
        <w:spacing w:line="360" w:lineRule="auto"/>
        <w:ind w:firstLine="720" w:firstLineChars="300"/>
        <w:rPr>
          <w:rFonts w:hint="eastAsia" w:ascii="宋体" w:hAnsi="宋体"/>
          <w:color w:val="000000"/>
          <w:sz w:val="24"/>
        </w:rPr>
      </w:pPr>
      <w:r>
        <w:rPr>
          <w:rFonts w:hint="eastAsia" w:ascii="宋体" w:hAnsi="宋体"/>
          <w:color w:val="000000"/>
          <w:sz w:val="24"/>
        </w:rPr>
        <w:t>(3）具有履行合同所必需的设备和专业技术能力；</w:t>
      </w:r>
    </w:p>
    <w:p>
      <w:pPr>
        <w:widowControl/>
        <w:spacing w:line="360" w:lineRule="auto"/>
        <w:ind w:firstLine="720" w:firstLineChars="300"/>
        <w:rPr>
          <w:rFonts w:hint="eastAsia" w:ascii="宋体" w:hAnsi="宋体"/>
          <w:color w:val="000000"/>
          <w:sz w:val="24"/>
        </w:rPr>
      </w:pPr>
      <w:r>
        <w:rPr>
          <w:rFonts w:hint="eastAsia" w:ascii="宋体" w:hAnsi="宋体"/>
          <w:color w:val="000000"/>
          <w:sz w:val="24"/>
        </w:rPr>
        <w:t>(4）有依法交纳税收和社会保障资金的良好记录；</w:t>
      </w:r>
    </w:p>
    <w:p>
      <w:pPr>
        <w:widowControl/>
        <w:spacing w:line="360" w:lineRule="auto"/>
        <w:ind w:firstLine="720" w:firstLineChars="300"/>
        <w:rPr>
          <w:rFonts w:hint="eastAsia" w:ascii="宋体" w:hAnsi="宋体"/>
          <w:color w:val="000000"/>
          <w:sz w:val="24"/>
        </w:rPr>
      </w:pPr>
      <w:r>
        <w:rPr>
          <w:rFonts w:hint="eastAsia" w:ascii="宋体" w:hAnsi="宋体"/>
          <w:color w:val="000000"/>
          <w:kern w:val="10"/>
          <w:sz w:val="24"/>
          <w:szCs w:val="24"/>
        </w:rPr>
        <w:t>(5）</w:t>
      </w:r>
      <w:r>
        <w:rPr>
          <w:rFonts w:hint="eastAsia" w:ascii="宋体" w:hAnsi="宋体"/>
          <w:color w:val="000000"/>
          <w:sz w:val="24"/>
        </w:rPr>
        <w:t>参加政府采购活动前三年内，在经营活动中没有重大违法记录；</w:t>
      </w:r>
    </w:p>
    <w:p>
      <w:pPr>
        <w:widowControl/>
        <w:spacing w:line="360" w:lineRule="auto"/>
        <w:ind w:firstLine="720" w:firstLineChars="300"/>
        <w:rPr>
          <w:rFonts w:hint="eastAsia" w:ascii="宋体" w:hAnsi="宋体"/>
          <w:color w:val="000000"/>
          <w:sz w:val="24"/>
        </w:rPr>
      </w:pPr>
      <w:r>
        <w:rPr>
          <w:rFonts w:hint="eastAsia" w:ascii="宋体" w:hAnsi="宋体"/>
          <w:color w:val="000000"/>
          <w:sz w:val="24"/>
        </w:rPr>
        <w:t>(6）法律、行政法规规定的其他条件。</w:t>
      </w:r>
    </w:p>
    <w:p>
      <w:pPr>
        <w:numPr>
          <w:ilvl w:val="0"/>
          <w:numId w:val="0"/>
        </w:numPr>
        <w:tabs>
          <w:tab w:val="left" w:pos="896"/>
        </w:tabs>
        <w:spacing w:line="360" w:lineRule="auto"/>
        <w:ind w:left="482" w:leftChars="0"/>
        <w:rPr>
          <w:rFonts w:hint="eastAsia" w:ascii="宋体" w:hAnsi="宋体" w:cs="仿宋"/>
          <w:sz w:val="24"/>
          <w:lang w:eastAsia="zh-CN"/>
        </w:rPr>
      </w:pPr>
      <w:r>
        <w:rPr>
          <w:rFonts w:hint="eastAsia" w:ascii="宋体" w:hAnsi="宋体"/>
          <w:color w:val="000000"/>
          <w:sz w:val="24"/>
          <w:lang w:val="en-US" w:eastAsia="zh-CN"/>
        </w:rPr>
        <w:t>3、</w:t>
      </w:r>
      <w:r>
        <w:rPr>
          <w:rFonts w:hint="eastAsia" w:ascii="宋体" w:hAnsi="宋体"/>
          <w:color w:val="000000"/>
          <w:sz w:val="24"/>
        </w:rPr>
        <w:t>投标人须具备《</w:t>
      </w:r>
      <w:r>
        <w:rPr>
          <w:rFonts w:hint="eastAsia" w:ascii="宋体" w:hAnsi="宋体"/>
          <w:color w:val="000000"/>
          <w:sz w:val="24"/>
          <w:lang w:eastAsia="zh-CN"/>
        </w:rPr>
        <w:t>中国信息安全认证中心颁发的《信息安全服务资质》（一级应急处理服务）、《信息安全服务资质》（风险评估二级）《信息安全服务资质》（一级信息系统安全集成服务），具备中国国家信息安全漏洞库（</w:t>
      </w:r>
      <w:r>
        <w:rPr>
          <w:rFonts w:hint="eastAsia" w:ascii="宋体" w:hAnsi="宋体"/>
          <w:color w:val="000000"/>
          <w:sz w:val="24"/>
          <w:lang w:val="en-US" w:eastAsia="zh-CN"/>
        </w:rPr>
        <w:t>CNNVD）的技术支撑单位（一级）</w:t>
      </w:r>
      <w:r>
        <w:rPr>
          <w:rFonts w:hint="eastAsia" w:ascii="宋体" w:hAnsi="宋体" w:cs="仿宋"/>
          <w:sz w:val="24"/>
          <w:lang w:eastAsia="zh-CN"/>
        </w:rPr>
        <w:t>。</w:t>
      </w:r>
    </w:p>
    <w:p>
      <w:pPr>
        <w:numPr>
          <w:ilvl w:val="0"/>
          <w:numId w:val="0"/>
        </w:numPr>
        <w:tabs>
          <w:tab w:val="left" w:pos="896"/>
        </w:tabs>
        <w:spacing w:line="360" w:lineRule="auto"/>
        <w:ind w:left="482" w:leftChars="0"/>
        <w:rPr>
          <w:rFonts w:hint="eastAsia" w:ascii="宋体" w:hAnsi="宋体"/>
          <w:sz w:val="30"/>
          <w:szCs w:val="30"/>
        </w:rPr>
      </w:pPr>
      <w:r>
        <w:rPr>
          <w:rFonts w:hint="eastAsia" w:ascii="宋体" w:hAnsi="宋体" w:cs="仿宋"/>
          <w:sz w:val="24"/>
          <w:lang w:val="en-US" w:eastAsia="zh-CN"/>
        </w:rPr>
        <w:t>4、</w:t>
      </w:r>
      <w:r>
        <w:rPr>
          <w:rFonts w:hint="eastAsia" w:ascii="宋体" w:hAnsi="宋体"/>
          <w:color w:val="000000"/>
          <w:sz w:val="24"/>
        </w:rPr>
        <w:t>投标人</w:t>
      </w:r>
      <w:r>
        <w:rPr>
          <w:rFonts w:hint="eastAsia" w:ascii="宋体" w:hAnsi="宋体"/>
          <w:color w:val="000000"/>
          <w:sz w:val="24"/>
          <w:lang w:eastAsia="zh-CN"/>
        </w:rPr>
        <w:t>在近三年（</w:t>
      </w:r>
      <w:r>
        <w:rPr>
          <w:rFonts w:hint="eastAsia" w:ascii="宋体" w:hAnsi="宋体"/>
          <w:color w:val="000000"/>
          <w:sz w:val="24"/>
          <w:lang w:val="en-US" w:eastAsia="zh-CN"/>
        </w:rPr>
        <w:t>2015年、2016年、2017年）至少有1项类似项目的服务业绩（类似业绩不与评分标准中的业绩重复）</w:t>
      </w:r>
      <w:r>
        <w:rPr>
          <w:rFonts w:hint="eastAsia" w:ascii="宋体" w:hAnsi="宋体"/>
          <w:sz w:val="30"/>
          <w:szCs w:val="30"/>
        </w:rPr>
        <w:t>。</w:t>
      </w:r>
    </w:p>
    <w:p>
      <w:pPr>
        <w:numPr>
          <w:ilvl w:val="0"/>
          <w:numId w:val="0"/>
        </w:numPr>
        <w:tabs>
          <w:tab w:val="left" w:pos="896"/>
        </w:tabs>
        <w:spacing w:line="360" w:lineRule="auto"/>
        <w:ind w:left="482" w:leftChars="0"/>
        <w:rPr>
          <w:rFonts w:hint="eastAsia" w:ascii="宋体" w:hAnsi="宋体" w:cs="仿宋"/>
          <w:sz w:val="24"/>
          <w:lang w:val="en-US" w:eastAsia="zh-CN"/>
        </w:rPr>
      </w:pPr>
      <w:r>
        <w:rPr>
          <w:rFonts w:hint="eastAsia" w:ascii="宋体" w:hAnsi="宋体" w:cs="仿宋"/>
          <w:sz w:val="24"/>
          <w:lang w:val="en-US" w:eastAsia="zh-CN"/>
        </w:rPr>
        <w:t>5、投标人应具备自主漏洞挖掘能力，提供CVE漏洞挖掘列表、CNNVD漏洞挖掘列表，以及在国家信息安全漏洞共享平台（CNVD)上“企业单位原创积分排名”情况。</w:t>
      </w:r>
    </w:p>
    <w:p>
      <w:pPr>
        <w:numPr>
          <w:ilvl w:val="0"/>
          <w:numId w:val="0"/>
        </w:numPr>
        <w:tabs>
          <w:tab w:val="left" w:pos="896"/>
        </w:tabs>
        <w:spacing w:line="360" w:lineRule="auto"/>
        <w:ind w:left="482" w:leftChars="0"/>
        <w:rPr>
          <w:rFonts w:hint="eastAsia" w:ascii="宋体" w:hAnsi="宋体" w:cs="仿宋"/>
          <w:sz w:val="24"/>
          <w:lang w:val="en-US" w:eastAsia="zh-CN"/>
        </w:rPr>
      </w:pPr>
      <w:r>
        <w:rPr>
          <w:rFonts w:hint="eastAsia" w:ascii="宋体" w:hAnsi="宋体" w:cs="仿宋"/>
          <w:sz w:val="24"/>
          <w:lang w:val="en-US" w:eastAsia="zh-CN"/>
        </w:rPr>
        <w:t>6.投标人近三年经营状况须良好，提供2015、2016、2017年度财务报表。</w:t>
      </w:r>
    </w:p>
    <w:p>
      <w:pPr>
        <w:numPr>
          <w:ilvl w:val="0"/>
          <w:numId w:val="0"/>
        </w:numPr>
        <w:tabs>
          <w:tab w:val="left" w:pos="896"/>
        </w:tabs>
        <w:spacing w:line="360" w:lineRule="auto"/>
        <w:ind w:left="482" w:leftChars="0"/>
        <w:rPr>
          <w:rFonts w:hint="default" w:ascii="宋体" w:hAnsi="宋体" w:cs="仿宋"/>
          <w:sz w:val="24"/>
          <w:lang w:val="en-US" w:eastAsia="zh-CN"/>
        </w:rPr>
      </w:pPr>
      <w:r>
        <w:rPr>
          <w:rFonts w:hint="eastAsia" w:ascii="宋体" w:hAnsi="宋体" w:cs="仿宋"/>
          <w:sz w:val="24"/>
          <w:lang w:val="en-US" w:eastAsia="zh-CN"/>
        </w:rPr>
        <w:t>7.投标人在近三年（2015年、2016年、2017年）的经营活动中信誉良好，无违法经营和不正当竞争行为，没有重大违法记录，在国内无任何不良记录，提供加盖公章的书面承诺函。</w:t>
      </w:r>
    </w:p>
    <w:p>
      <w:pPr>
        <w:widowControl/>
        <w:spacing w:line="360" w:lineRule="auto"/>
        <w:rPr>
          <w:rFonts w:hint="eastAsia" w:ascii="宋体" w:hAnsi="宋体" w:eastAsia="宋体"/>
          <w:kern w:val="0"/>
          <w:sz w:val="24"/>
          <w:lang w:eastAsia="zh-CN"/>
        </w:rPr>
      </w:pPr>
      <w:r>
        <w:rPr>
          <w:rFonts w:hint="eastAsia" w:ascii="宋体" w:hAnsi="宋体"/>
          <w:color w:val="000000"/>
          <w:sz w:val="24"/>
          <w:lang w:val="en-US" w:eastAsia="zh-CN"/>
        </w:rPr>
        <w:t xml:space="preserve">   8</w:t>
      </w:r>
      <w:r>
        <w:rPr>
          <w:rFonts w:hint="eastAsia" w:ascii="宋体" w:hAnsi="宋体"/>
          <w:color w:val="000000"/>
          <w:sz w:val="24"/>
        </w:rPr>
        <w:t>、</w:t>
      </w:r>
      <w:r>
        <w:rPr>
          <w:rFonts w:ascii="宋体" w:hAnsi="宋体"/>
          <w:kern w:val="0"/>
          <w:sz w:val="24"/>
        </w:rPr>
        <w:t>未被列入“信用中国”网站（www.creditchina.gov.cn）失信被执行人、重大税收违法案件当事人名单、政府采购严重违法失信行为记录名单</w:t>
      </w:r>
      <w:r>
        <w:rPr>
          <w:rFonts w:hint="eastAsia" w:ascii="宋体" w:hAnsi="宋体"/>
          <w:kern w:val="0"/>
          <w:sz w:val="24"/>
          <w:lang w:eastAsia="zh-CN"/>
        </w:rPr>
        <w:t>。</w:t>
      </w:r>
      <w:r>
        <w:rPr>
          <w:rFonts w:hint="eastAsia" w:ascii="宋体" w:hAnsi="宋体"/>
          <w:kern w:val="0"/>
          <w:sz w:val="24"/>
        </w:rPr>
        <w:t>（</w:t>
      </w:r>
      <w:r>
        <w:rPr>
          <w:rFonts w:hint="eastAsia" w:ascii="宋体" w:hAnsi="宋体"/>
          <w:kern w:val="0"/>
          <w:sz w:val="24"/>
          <w:lang w:eastAsia="zh-CN"/>
        </w:rPr>
        <w:t>须</w:t>
      </w:r>
      <w:r>
        <w:rPr>
          <w:rFonts w:hint="eastAsia" w:ascii="宋体" w:hAnsi="宋体"/>
          <w:kern w:val="0"/>
          <w:sz w:val="24"/>
        </w:rPr>
        <w:t>提供加盖单位</w:t>
      </w:r>
      <w:r>
        <w:rPr>
          <w:rFonts w:hint="eastAsia" w:ascii="宋体" w:hAnsi="宋体"/>
          <w:kern w:val="0"/>
          <w:sz w:val="24"/>
          <w:lang w:eastAsia="zh-CN"/>
        </w:rPr>
        <w:t>公</w:t>
      </w:r>
      <w:r>
        <w:rPr>
          <w:rFonts w:hint="eastAsia" w:ascii="宋体" w:hAnsi="宋体"/>
          <w:kern w:val="0"/>
          <w:sz w:val="24"/>
        </w:rPr>
        <w:t>章的网页查询结果，以本公告发布后的查询结果为准）</w:t>
      </w:r>
      <w:r>
        <w:rPr>
          <w:rFonts w:hint="eastAsia" w:ascii="宋体" w:hAnsi="宋体"/>
          <w:kern w:val="0"/>
          <w:sz w:val="24"/>
          <w:lang w:eastAsia="zh-CN"/>
        </w:rPr>
        <w:t>。</w:t>
      </w:r>
    </w:p>
    <w:p>
      <w:pPr>
        <w:spacing w:line="440" w:lineRule="exact"/>
        <w:ind w:firstLine="480" w:firstLineChars="200"/>
        <w:outlineLvl w:val="0"/>
        <w:rPr>
          <w:rFonts w:hint="eastAsia" w:eastAsia="宋体"/>
          <w:sz w:val="24"/>
          <w:lang w:eastAsia="zh-CN"/>
        </w:rPr>
      </w:pPr>
      <w:r>
        <w:rPr>
          <w:rFonts w:hint="eastAsia"/>
          <w:sz w:val="24"/>
          <w:lang w:val="en-US" w:eastAsia="zh-CN"/>
        </w:rPr>
        <w:t>9</w:t>
      </w:r>
      <w:r>
        <w:rPr>
          <w:sz w:val="24"/>
        </w:rPr>
        <w:t>、</w:t>
      </w:r>
      <w:r>
        <w:rPr>
          <w:rFonts w:hint="eastAsia"/>
          <w:sz w:val="24"/>
        </w:rPr>
        <w:t>是否专门面向中小企业</w:t>
      </w:r>
      <w:r>
        <w:rPr>
          <w:rFonts w:hint="eastAsia"/>
          <w:color w:val="000000"/>
          <w:sz w:val="24"/>
        </w:rPr>
        <w:t>、监狱企业、残疾人福利性单位</w:t>
      </w:r>
      <w:r>
        <w:rPr>
          <w:rFonts w:hint="eastAsia"/>
          <w:sz w:val="24"/>
        </w:rPr>
        <w:t>：否</w:t>
      </w:r>
      <w:r>
        <w:rPr>
          <w:rFonts w:hint="eastAsia"/>
          <w:sz w:val="24"/>
          <w:lang w:eastAsia="zh-CN"/>
        </w:rPr>
        <w:t>。</w:t>
      </w:r>
    </w:p>
    <w:p>
      <w:pPr>
        <w:spacing w:line="440" w:lineRule="exact"/>
        <w:ind w:firstLine="480" w:firstLineChars="200"/>
        <w:outlineLvl w:val="0"/>
        <w:rPr>
          <w:rFonts w:hint="eastAsia" w:eastAsia="宋体"/>
          <w:sz w:val="24"/>
          <w:lang w:val="en-US" w:eastAsia="zh-CN"/>
        </w:rPr>
      </w:pPr>
      <w:r>
        <w:rPr>
          <w:rFonts w:hint="eastAsia"/>
          <w:sz w:val="24"/>
          <w:lang w:val="en-US" w:eastAsia="zh-CN"/>
        </w:rPr>
        <w:t>10、本项目不接受联合体招标；不允许转包、分包。</w:t>
      </w:r>
    </w:p>
    <w:p>
      <w:pPr>
        <w:spacing w:line="1100" w:lineRule="exact"/>
        <w:jc w:val="center"/>
        <w:rPr>
          <w:rFonts w:ascii="黑体" w:hAnsi="黑体" w:eastAsia="黑体"/>
          <w:b/>
          <w:sz w:val="72"/>
          <w:szCs w:val="72"/>
        </w:rPr>
      </w:pPr>
    </w:p>
    <w:p>
      <w:pPr>
        <w:spacing w:afterLines="200"/>
        <w:jc w:val="both"/>
        <w:rPr>
          <w:rFonts w:ascii="黑体" w:hAnsi="黑体" w:eastAsia="黑体"/>
          <w:b/>
          <w:sz w:val="72"/>
          <w:szCs w:val="72"/>
        </w:rPr>
      </w:pPr>
    </w:p>
    <w:p>
      <w:pPr>
        <w:spacing w:afterLines="200"/>
        <w:jc w:val="center"/>
        <w:rPr>
          <w:rFonts w:ascii="黑体" w:hAnsi="黑体" w:eastAsia="黑体"/>
          <w:b/>
          <w:sz w:val="72"/>
          <w:szCs w:val="72"/>
        </w:rPr>
      </w:pPr>
    </w:p>
    <w:p>
      <w:pPr>
        <w:spacing w:afterLines="200"/>
        <w:jc w:val="center"/>
        <w:rPr>
          <w:rFonts w:ascii="黑体" w:hAnsi="黑体" w:eastAsia="黑体"/>
          <w:b/>
          <w:sz w:val="72"/>
          <w:szCs w:val="72"/>
        </w:rPr>
      </w:pPr>
    </w:p>
    <w:p>
      <w:pPr>
        <w:spacing w:afterLines="200"/>
        <w:jc w:val="center"/>
        <w:rPr>
          <w:rFonts w:ascii="黑体" w:hAnsi="黑体" w:eastAsia="黑体"/>
          <w:b/>
          <w:sz w:val="72"/>
          <w:szCs w:val="72"/>
        </w:rPr>
      </w:pPr>
    </w:p>
    <w:p>
      <w:pPr>
        <w:spacing w:afterLines="200"/>
        <w:jc w:val="center"/>
        <w:rPr>
          <w:rFonts w:ascii="黑体" w:hAnsi="黑体" w:eastAsia="黑体"/>
          <w:b/>
          <w:sz w:val="72"/>
          <w:szCs w:val="72"/>
        </w:rPr>
      </w:pPr>
    </w:p>
    <w:p>
      <w:pPr>
        <w:spacing w:afterLines="200"/>
        <w:jc w:val="center"/>
        <w:rPr>
          <w:rFonts w:ascii="黑体" w:hAnsi="黑体" w:eastAsia="黑体"/>
          <w:b/>
          <w:sz w:val="72"/>
          <w:szCs w:val="72"/>
        </w:rPr>
      </w:pPr>
    </w:p>
    <w:p>
      <w:pPr>
        <w:spacing w:afterLines="200"/>
        <w:jc w:val="center"/>
        <w:rPr>
          <w:rFonts w:ascii="黑体" w:hAnsi="黑体" w:eastAsia="黑体"/>
          <w:b/>
          <w:sz w:val="72"/>
          <w:szCs w:val="72"/>
        </w:rPr>
      </w:pPr>
    </w:p>
    <w:p>
      <w:pPr>
        <w:spacing w:afterLines="200"/>
        <w:jc w:val="center"/>
        <w:rPr>
          <w:rFonts w:ascii="黑体" w:hAnsi="黑体" w:eastAsia="黑体"/>
          <w:b/>
          <w:sz w:val="72"/>
          <w:szCs w:val="72"/>
        </w:rPr>
      </w:pPr>
    </w:p>
    <w:p>
      <w:pPr>
        <w:spacing w:afterLines="200"/>
        <w:jc w:val="center"/>
        <w:rPr>
          <w:rFonts w:ascii="黑体" w:hAnsi="黑体" w:eastAsia="黑体"/>
          <w:b/>
          <w:sz w:val="72"/>
          <w:szCs w:val="72"/>
        </w:rPr>
      </w:pPr>
    </w:p>
    <w:p>
      <w:pPr>
        <w:spacing w:afterLines="200"/>
        <w:jc w:val="center"/>
        <w:rPr>
          <w:rFonts w:ascii="黑体" w:hAnsi="黑体" w:eastAsia="黑体"/>
          <w:b/>
          <w:sz w:val="72"/>
          <w:szCs w:val="72"/>
        </w:rPr>
      </w:pPr>
      <w:r>
        <w:rPr>
          <w:rFonts w:hint="eastAsia" w:ascii="黑体" w:hAnsi="黑体" w:eastAsia="黑体"/>
          <w:b/>
          <w:sz w:val="72"/>
          <w:szCs w:val="72"/>
        </w:rPr>
        <w:t>投 标 文 件</w:t>
      </w:r>
    </w:p>
    <w:p>
      <w:pPr>
        <w:pStyle w:val="3"/>
        <w:spacing w:before="340" w:after="480" w:line="360" w:lineRule="auto"/>
        <w:jc w:val="center"/>
        <w:rPr>
          <w:rFonts w:ascii="宋体" w:hAnsi="宋体" w:cs="Times New Roman"/>
          <w:bCs w:val="0"/>
          <w:sz w:val="44"/>
          <w:szCs w:val="44"/>
        </w:rPr>
      </w:pPr>
      <w:bookmarkStart w:id="81" w:name="_Toc494664997"/>
      <w:bookmarkStart w:id="82" w:name="_Toc494745314"/>
      <w:bookmarkStart w:id="83" w:name="_Toc494702267"/>
      <w:bookmarkStart w:id="84" w:name="_Toc494721097"/>
      <w:bookmarkStart w:id="85" w:name="_Toc494665550"/>
      <w:bookmarkStart w:id="86" w:name="_Toc494665947"/>
      <w:bookmarkStart w:id="87" w:name="_Toc497459199"/>
      <w:r>
        <w:rPr>
          <w:rFonts w:hint="eastAsia" w:ascii="宋体" w:hAnsi="宋体" w:cs="Times New Roman"/>
          <w:bCs w:val="0"/>
          <w:sz w:val="44"/>
          <w:szCs w:val="44"/>
        </w:rPr>
        <w:t>第二部分 商务文件</w:t>
      </w:r>
      <w:bookmarkEnd w:id="81"/>
      <w:bookmarkEnd w:id="82"/>
      <w:bookmarkEnd w:id="83"/>
      <w:bookmarkEnd w:id="84"/>
      <w:bookmarkEnd w:id="85"/>
      <w:bookmarkEnd w:id="86"/>
      <w:bookmarkEnd w:id="87"/>
    </w:p>
    <w:p>
      <w:pPr>
        <w:spacing w:line="360" w:lineRule="auto"/>
        <w:ind w:left="2051" w:leftChars="619" w:right="1299" w:rightChars="619" w:hanging="752" w:hangingChars="209"/>
        <w:rPr>
          <w:rFonts w:ascii="宋体" w:hAnsi="宋体" w:cs="Times New Roman"/>
          <w:bCs/>
          <w:sz w:val="36"/>
          <w:szCs w:val="24"/>
        </w:rPr>
      </w:pPr>
      <w:r>
        <w:rPr>
          <w:rFonts w:hint="eastAsia" w:ascii="宋体" w:hAnsi="宋体" w:cs="Times New Roman"/>
          <w:b/>
          <w:bCs/>
          <w:sz w:val="36"/>
          <w:szCs w:val="24"/>
        </w:rPr>
        <w:t>项目编号：</w:t>
      </w:r>
    </w:p>
    <w:p>
      <w:pPr>
        <w:spacing w:line="360" w:lineRule="auto"/>
        <w:ind w:left="2051" w:leftChars="619" w:right="1299" w:rightChars="619" w:hanging="752" w:hangingChars="209"/>
        <w:rPr>
          <w:rFonts w:ascii="宋体" w:hAnsi="宋体" w:cs="Times New Roman"/>
          <w:bCs/>
          <w:sz w:val="36"/>
          <w:szCs w:val="24"/>
        </w:rPr>
      </w:pPr>
      <w:r>
        <w:rPr>
          <w:rFonts w:hint="eastAsia" w:ascii="宋体" w:hAnsi="宋体" w:cs="Times New Roman"/>
          <w:b/>
          <w:bCs/>
          <w:sz w:val="36"/>
          <w:szCs w:val="24"/>
        </w:rPr>
        <w:t>项目名称：</w:t>
      </w:r>
    </w:p>
    <w:p>
      <w:pPr>
        <w:spacing w:line="360" w:lineRule="auto"/>
        <w:ind w:left="2051" w:leftChars="619" w:right="1299" w:rightChars="619" w:hanging="752" w:hangingChars="209"/>
        <w:rPr>
          <w:rFonts w:ascii="宋体" w:hAnsi="宋体" w:cs="Times New Roman"/>
          <w:sz w:val="36"/>
          <w:szCs w:val="36"/>
        </w:rPr>
      </w:pPr>
      <w:r>
        <w:rPr>
          <w:rFonts w:hint="eastAsia" w:ascii="宋体" w:hAnsi="宋体" w:cs="Times New Roman"/>
          <w:b/>
          <w:bCs/>
          <w:sz w:val="36"/>
          <w:szCs w:val="24"/>
        </w:rPr>
        <w:t>招标内容：</w:t>
      </w:r>
    </w:p>
    <w:p>
      <w:pPr>
        <w:spacing w:afterLines="500" w:line="360" w:lineRule="auto"/>
        <w:ind w:left="2347" w:leftChars="271" w:right="569" w:rightChars="271" w:hanging="1778" w:hangingChars="494"/>
        <w:jc w:val="center"/>
        <w:rPr>
          <w:rFonts w:ascii="宋体" w:hAnsi="宋体" w:cs="Times New Roman"/>
          <w:sz w:val="36"/>
          <w:szCs w:val="36"/>
        </w:rPr>
      </w:pPr>
    </w:p>
    <w:p>
      <w:pPr>
        <w:spacing w:line="360" w:lineRule="auto"/>
        <w:ind w:left="1971" w:leftChars="613" w:right="1287" w:rightChars="613" w:hanging="684" w:hangingChars="214"/>
        <w:rPr>
          <w:rFonts w:ascii="宋体" w:hAnsi="宋体" w:cs="Times New Roman"/>
          <w:b/>
          <w:bCs/>
          <w:sz w:val="32"/>
          <w:szCs w:val="32"/>
        </w:rPr>
      </w:pPr>
      <w:r>
        <w:rPr>
          <w:rFonts w:hint="eastAsia" w:ascii="宋体" w:hAnsi="宋体" w:cs="Times New Roman"/>
          <w:b/>
          <w:bCs/>
          <w:sz w:val="32"/>
          <w:szCs w:val="32"/>
        </w:rPr>
        <w:t>投标人（盖章）：</w:t>
      </w:r>
    </w:p>
    <w:p>
      <w:pPr>
        <w:spacing w:line="360" w:lineRule="auto"/>
        <w:ind w:left="1971" w:leftChars="613" w:right="1287" w:rightChars="613" w:hanging="684" w:hangingChars="214"/>
        <w:rPr>
          <w:rFonts w:ascii="宋体" w:hAnsi="宋体" w:cs="Times New Roman"/>
          <w:b/>
          <w:bCs/>
          <w:sz w:val="32"/>
          <w:szCs w:val="32"/>
        </w:rPr>
      </w:pPr>
      <w:r>
        <w:rPr>
          <w:rFonts w:hint="eastAsia" w:ascii="宋体" w:hAnsi="宋体" w:cs="Times New Roman"/>
          <w:b/>
          <w:bCs/>
          <w:sz w:val="32"/>
          <w:szCs w:val="32"/>
        </w:rPr>
        <w:t>投标人授权代表（签字）：</w:t>
      </w:r>
    </w:p>
    <w:p>
      <w:pPr>
        <w:spacing w:beforeLines="100" w:afterLines="100" w:line="360" w:lineRule="auto"/>
        <w:ind w:left="2256" w:leftChars="466" w:right="466" w:hanging="1278" w:hangingChars="355"/>
        <w:jc w:val="center"/>
        <w:rPr>
          <w:rFonts w:ascii="宋体" w:hAnsi="宋体"/>
          <w:b/>
          <w:sz w:val="36"/>
          <w:szCs w:val="36"/>
        </w:rPr>
      </w:pPr>
      <w:r>
        <w:rPr>
          <w:rFonts w:hint="eastAsia" w:ascii="宋体" w:hAnsi="宋体" w:cs="Times New Roman"/>
          <w:b/>
          <w:bCs/>
          <w:sz w:val="36"/>
          <w:szCs w:val="36"/>
        </w:rPr>
        <w:t>二0一</w:t>
      </w:r>
      <w:r>
        <w:rPr>
          <w:rFonts w:hint="eastAsia" w:ascii="宋体" w:hAnsi="宋体"/>
          <w:b/>
          <w:sz w:val="36"/>
          <w:szCs w:val="36"/>
        </w:rPr>
        <w:t xml:space="preserve"> </w:t>
      </w:r>
      <w:r>
        <w:rPr>
          <w:rFonts w:hint="eastAsia" w:ascii="宋体" w:hAnsi="宋体"/>
          <w:b/>
          <w:sz w:val="36"/>
          <w:szCs w:val="36"/>
          <w:lang w:val="en-US" w:eastAsia="zh-CN"/>
        </w:rPr>
        <w:t xml:space="preserve"> </w:t>
      </w:r>
      <w:r>
        <w:rPr>
          <w:rFonts w:hint="eastAsia" w:ascii="宋体" w:hAnsi="宋体"/>
          <w:b/>
          <w:sz w:val="36"/>
          <w:szCs w:val="36"/>
        </w:rPr>
        <w:t xml:space="preserve"> 年</w:t>
      </w:r>
      <w:r>
        <w:rPr>
          <w:rFonts w:hint="eastAsia" w:ascii="宋体" w:hAnsi="宋体"/>
          <w:b/>
          <w:sz w:val="36"/>
          <w:szCs w:val="36"/>
          <w:lang w:val="en-US" w:eastAsia="zh-CN"/>
        </w:rPr>
        <w:t xml:space="preserve">   </w:t>
      </w:r>
      <w:r>
        <w:rPr>
          <w:rFonts w:hint="eastAsia" w:ascii="宋体" w:hAnsi="宋体"/>
          <w:b/>
          <w:sz w:val="36"/>
          <w:szCs w:val="36"/>
        </w:rPr>
        <w:t xml:space="preserve"> 月</w:t>
      </w:r>
    </w:p>
    <w:p/>
    <w:p/>
    <w:p>
      <w:pPr>
        <w:spacing w:beforeLines="100" w:line="360" w:lineRule="auto"/>
        <w:jc w:val="left"/>
        <w:rPr>
          <w:rFonts w:hint="eastAsia" w:ascii="宋体" w:hAnsi="宋体" w:cs="Times New Roman"/>
          <w:b/>
          <w:bCs/>
          <w:sz w:val="30"/>
          <w:szCs w:val="30"/>
        </w:rPr>
      </w:pPr>
    </w:p>
    <w:p>
      <w:pPr>
        <w:spacing w:beforeLines="100" w:line="360" w:lineRule="auto"/>
        <w:jc w:val="left"/>
        <w:rPr>
          <w:rFonts w:hint="eastAsia" w:ascii="宋体" w:hAnsi="宋体" w:cs="Times New Roman"/>
          <w:b/>
          <w:bCs/>
          <w:sz w:val="30"/>
          <w:szCs w:val="30"/>
        </w:rPr>
      </w:pPr>
    </w:p>
    <w:p>
      <w:pPr>
        <w:spacing w:beforeLines="100" w:line="360" w:lineRule="auto"/>
        <w:jc w:val="left"/>
        <w:rPr>
          <w:rFonts w:hint="eastAsia" w:ascii="宋体" w:hAnsi="宋体" w:cs="Times New Roman"/>
          <w:b/>
          <w:bCs/>
          <w:sz w:val="30"/>
          <w:szCs w:val="30"/>
        </w:rPr>
      </w:pPr>
    </w:p>
    <w:p>
      <w:pPr>
        <w:spacing w:beforeLines="100" w:line="360" w:lineRule="auto"/>
        <w:jc w:val="left"/>
        <w:rPr>
          <w:rFonts w:ascii="宋体" w:hAnsi="宋体" w:cs="Times New Roman"/>
          <w:b/>
          <w:bCs/>
          <w:sz w:val="30"/>
          <w:szCs w:val="30"/>
        </w:rPr>
      </w:pPr>
      <w:r>
        <w:rPr>
          <w:rFonts w:hint="eastAsia" w:ascii="宋体" w:hAnsi="宋体" w:cs="Times New Roman"/>
          <w:b/>
          <w:bCs/>
          <w:sz w:val="30"/>
          <w:szCs w:val="30"/>
        </w:rPr>
        <w:t>格式（参考）说明：</w:t>
      </w:r>
    </w:p>
    <w:p>
      <w:pPr>
        <w:spacing w:before="120" w:after="120" w:line="578" w:lineRule="auto"/>
        <w:jc w:val="center"/>
        <w:rPr>
          <w:rFonts w:ascii="黑体" w:hAnsi="黑体" w:eastAsia="黑体" w:cs="Times New Roman"/>
          <w:b/>
          <w:sz w:val="36"/>
          <w:szCs w:val="36"/>
        </w:rPr>
      </w:pPr>
      <w:bookmarkStart w:id="88" w:name="_Toc494665948"/>
      <w:bookmarkStart w:id="89" w:name="_Toc494745315"/>
      <w:bookmarkStart w:id="90" w:name="_Toc494665551"/>
      <w:bookmarkStart w:id="91" w:name="_Toc494721098"/>
      <w:bookmarkStart w:id="92" w:name="_Toc494702268"/>
      <w:bookmarkStart w:id="93" w:name="_Toc494664998"/>
      <w:r>
        <w:rPr>
          <w:rFonts w:hint="eastAsia" w:ascii="黑体" w:hAnsi="黑体" w:eastAsia="黑体" w:cs="Times New Roman"/>
          <w:b/>
          <w:sz w:val="36"/>
          <w:szCs w:val="36"/>
        </w:rPr>
        <w:t>商务文件组成</w:t>
      </w:r>
      <w:bookmarkEnd w:id="88"/>
      <w:bookmarkEnd w:id="89"/>
      <w:bookmarkEnd w:id="90"/>
      <w:bookmarkEnd w:id="91"/>
      <w:bookmarkEnd w:id="92"/>
      <w:bookmarkEnd w:id="93"/>
    </w:p>
    <w:p>
      <w:pPr>
        <w:autoSpaceDE w:val="0"/>
        <w:autoSpaceDN w:val="0"/>
        <w:adjustRightInd w:val="0"/>
        <w:spacing w:beforeLines="50" w:afterLines="50" w:line="360" w:lineRule="auto"/>
        <w:ind w:firstLine="480" w:firstLineChars="200"/>
        <w:rPr>
          <w:rFonts w:ascii="宋体" w:hAnsi="宋体" w:cs="Times New Roman"/>
          <w:color w:val="0D0D0D"/>
          <w:kern w:val="0"/>
          <w:sz w:val="24"/>
          <w:szCs w:val="32"/>
        </w:rPr>
      </w:pPr>
      <w:r>
        <w:rPr>
          <w:rFonts w:hint="eastAsia" w:ascii="宋体" w:hAnsi="宋体" w:cs="Times New Roman"/>
          <w:color w:val="0D0D0D"/>
          <w:kern w:val="0"/>
          <w:sz w:val="24"/>
          <w:szCs w:val="32"/>
        </w:rPr>
        <w:t>由各投标人根据参考格式要求自行编写。目录清晰、内容详尽、易于理解和评审并富有建设性的商务方案在评标时具有优势。具体内容应包括但不限于以下内容：</w:t>
      </w:r>
    </w:p>
    <w:p>
      <w:pPr>
        <w:numPr>
          <w:ilvl w:val="0"/>
          <w:numId w:val="54"/>
        </w:numPr>
        <w:autoSpaceDE w:val="0"/>
        <w:autoSpaceDN w:val="0"/>
        <w:adjustRightInd w:val="0"/>
        <w:spacing w:line="360" w:lineRule="auto"/>
        <w:ind w:left="490" w:hanging="370"/>
        <w:rPr>
          <w:rFonts w:ascii="宋体" w:hAnsi="宋体" w:cs="Times New Roman"/>
          <w:kern w:val="0"/>
          <w:sz w:val="24"/>
          <w:szCs w:val="32"/>
        </w:rPr>
      </w:pPr>
      <w:r>
        <w:rPr>
          <w:rFonts w:hint="eastAsia" w:ascii="宋体" w:hAnsi="宋体" w:cs="Times New Roman"/>
          <w:kern w:val="0"/>
          <w:sz w:val="24"/>
          <w:szCs w:val="32"/>
        </w:rPr>
        <w:t>商务文件目录</w:t>
      </w:r>
      <w:r>
        <w:rPr>
          <w:rFonts w:hint="eastAsia" w:ascii="宋体" w:hAnsi="宋体" w:cs="Times New Roman"/>
          <w:b/>
          <w:kern w:val="0"/>
          <w:sz w:val="24"/>
          <w:szCs w:val="32"/>
        </w:rPr>
        <w:t>（目录应涵盖下述所有资料，页码清晰以便查阅）</w:t>
      </w:r>
      <w:r>
        <w:rPr>
          <w:rFonts w:hint="eastAsia" w:ascii="宋体" w:hAnsi="宋体" w:cs="Times New Roman"/>
          <w:kern w:val="0"/>
          <w:sz w:val="24"/>
          <w:szCs w:val="32"/>
        </w:rPr>
        <w:t>；</w:t>
      </w:r>
    </w:p>
    <w:p>
      <w:pPr>
        <w:numPr>
          <w:ilvl w:val="0"/>
          <w:numId w:val="54"/>
        </w:numPr>
        <w:autoSpaceDE w:val="0"/>
        <w:autoSpaceDN w:val="0"/>
        <w:adjustRightInd w:val="0"/>
        <w:spacing w:line="360" w:lineRule="auto"/>
        <w:ind w:left="490" w:hanging="370"/>
        <w:rPr>
          <w:rFonts w:ascii="宋体" w:hAnsi="宋体" w:cs="Times New Roman"/>
          <w:kern w:val="0"/>
          <w:sz w:val="24"/>
          <w:szCs w:val="32"/>
        </w:rPr>
      </w:pPr>
      <w:r>
        <w:rPr>
          <w:rFonts w:hint="eastAsia" w:ascii="宋体" w:hAnsi="宋体" w:cs="Times New Roman"/>
          <w:kern w:val="0"/>
          <w:sz w:val="24"/>
          <w:szCs w:val="32"/>
        </w:rPr>
        <w:t>投标书（附件一）；</w:t>
      </w:r>
    </w:p>
    <w:p>
      <w:pPr>
        <w:numPr>
          <w:ilvl w:val="0"/>
          <w:numId w:val="54"/>
        </w:numPr>
        <w:autoSpaceDE w:val="0"/>
        <w:autoSpaceDN w:val="0"/>
        <w:adjustRightInd w:val="0"/>
        <w:spacing w:line="360" w:lineRule="auto"/>
        <w:ind w:left="490" w:hanging="370"/>
        <w:rPr>
          <w:rFonts w:ascii="宋体" w:hAnsi="宋体" w:cs="Times New Roman"/>
          <w:color w:val="0D0D0D"/>
          <w:kern w:val="0"/>
          <w:sz w:val="24"/>
          <w:szCs w:val="32"/>
        </w:rPr>
      </w:pPr>
      <w:r>
        <w:rPr>
          <w:rFonts w:hint="eastAsia" w:ascii="宋体" w:hAnsi="宋体" w:cs="Times New Roman"/>
          <w:color w:val="0D0D0D"/>
          <w:kern w:val="0"/>
          <w:sz w:val="24"/>
          <w:szCs w:val="32"/>
        </w:rPr>
        <w:t>制造商中小企业声明函（附件二）；</w:t>
      </w:r>
    </w:p>
    <w:p>
      <w:pPr>
        <w:numPr>
          <w:ilvl w:val="0"/>
          <w:numId w:val="54"/>
        </w:numPr>
        <w:autoSpaceDE w:val="0"/>
        <w:autoSpaceDN w:val="0"/>
        <w:adjustRightInd w:val="0"/>
        <w:spacing w:line="360" w:lineRule="auto"/>
        <w:ind w:left="490" w:hanging="370"/>
        <w:rPr>
          <w:rFonts w:ascii="宋体" w:hAnsi="宋体" w:cs="Times New Roman"/>
          <w:color w:val="0D0D0D"/>
          <w:kern w:val="0"/>
          <w:sz w:val="24"/>
          <w:szCs w:val="32"/>
        </w:rPr>
      </w:pPr>
      <w:r>
        <w:rPr>
          <w:rFonts w:hint="eastAsia" w:ascii="宋体" w:hAnsi="宋体" w:cs="Times New Roman"/>
          <w:kern w:val="0"/>
          <w:sz w:val="24"/>
          <w:szCs w:val="32"/>
        </w:rPr>
        <w:t>中小企业声</w:t>
      </w:r>
      <w:r>
        <w:rPr>
          <w:rFonts w:hint="eastAsia" w:ascii="宋体" w:hAnsi="宋体" w:cs="Times New Roman"/>
          <w:color w:val="0D0D0D"/>
          <w:kern w:val="0"/>
          <w:sz w:val="24"/>
          <w:szCs w:val="32"/>
        </w:rPr>
        <w:t>明函（附件三）；</w:t>
      </w:r>
    </w:p>
    <w:p>
      <w:pPr>
        <w:numPr>
          <w:ilvl w:val="0"/>
          <w:numId w:val="54"/>
        </w:numPr>
        <w:autoSpaceDE w:val="0"/>
        <w:autoSpaceDN w:val="0"/>
        <w:adjustRightInd w:val="0"/>
        <w:spacing w:line="360" w:lineRule="auto"/>
        <w:ind w:left="490" w:hanging="370"/>
        <w:rPr>
          <w:rFonts w:ascii="宋体" w:hAnsi="宋体" w:cs="Times New Roman"/>
          <w:color w:val="0D0D0D"/>
          <w:kern w:val="0"/>
          <w:sz w:val="24"/>
          <w:szCs w:val="32"/>
        </w:rPr>
      </w:pPr>
      <w:r>
        <w:rPr>
          <w:rFonts w:hint="eastAsia" w:ascii="宋体" w:hAnsi="宋体" w:cs="Times New Roman"/>
          <w:color w:val="0D0D0D"/>
          <w:kern w:val="0"/>
          <w:sz w:val="24"/>
          <w:szCs w:val="32"/>
        </w:rPr>
        <w:t>残疾人福利性单位声明函（附件四）</w:t>
      </w:r>
    </w:p>
    <w:p>
      <w:pPr>
        <w:numPr>
          <w:ilvl w:val="0"/>
          <w:numId w:val="54"/>
        </w:numPr>
        <w:autoSpaceDE w:val="0"/>
        <w:autoSpaceDN w:val="0"/>
        <w:adjustRightInd w:val="0"/>
        <w:spacing w:line="360" w:lineRule="auto"/>
        <w:ind w:left="490" w:hanging="370"/>
        <w:rPr>
          <w:rFonts w:ascii="宋体" w:hAnsi="宋体" w:cs="Courier New"/>
          <w:color w:val="0D0D0D"/>
          <w:sz w:val="24"/>
          <w:szCs w:val="24"/>
        </w:rPr>
      </w:pPr>
      <w:r>
        <w:rPr>
          <w:rFonts w:hint="eastAsia" w:ascii="宋体" w:hAnsi="宋体" w:cs="Courier New"/>
          <w:color w:val="0D0D0D"/>
          <w:sz w:val="24"/>
          <w:szCs w:val="24"/>
        </w:rPr>
        <w:t>开标一览表（附件五）；</w:t>
      </w:r>
    </w:p>
    <w:p>
      <w:pPr>
        <w:numPr>
          <w:ilvl w:val="0"/>
          <w:numId w:val="54"/>
        </w:numPr>
        <w:autoSpaceDE w:val="0"/>
        <w:autoSpaceDN w:val="0"/>
        <w:adjustRightInd w:val="0"/>
        <w:spacing w:line="360" w:lineRule="auto"/>
        <w:ind w:left="490" w:hanging="370"/>
        <w:rPr>
          <w:rFonts w:ascii="宋体" w:hAnsi="宋体" w:cs="Courier New"/>
          <w:color w:val="0D0D0D"/>
          <w:sz w:val="24"/>
          <w:szCs w:val="24"/>
        </w:rPr>
      </w:pPr>
      <w:r>
        <w:rPr>
          <w:rFonts w:hint="eastAsia" w:ascii="宋体" w:hAnsi="宋体" w:cs="Courier New"/>
          <w:color w:val="0D0D0D"/>
          <w:sz w:val="24"/>
          <w:szCs w:val="24"/>
        </w:rPr>
        <w:t>投标报价明细表（附件六）；</w:t>
      </w:r>
    </w:p>
    <w:p>
      <w:pPr>
        <w:numPr>
          <w:ilvl w:val="0"/>
          <w:numId w:val="54"/>
        </w:numPr>
        <w:autoSpaceDE w:val="0"/>
        <w:autoSpaceDN w:val="0"/>
        <w:adjustRightInd w:val="0"/>
        <w:spacing w:line="360" w:lineRule="auto"/>
        <w:ind w:left="490" w:hanging="370"/>
        <w:rPr>
          <w:rFonts w:ascii="宋体" w:hAnsi="宋体" w:cs="Courier New"/>
          <w:color w:val="0D0D0D"/>
          <w:sz w:val="24"/>
          <w:szCs w:val="24"/>
        </w:rPr>
      </w:pPr>
      <w:r>
        <w:rPr>
          <w:rFonts w:hint="eastAsia" w:ascii="宋体" w:hAnsi="宋体" w:cs="Courier New"/>
          <w:color w:val="0D0D0D"/>
          <w:sz w:val="24"/>
          <w:szCs w:val="24"/>
        </w:rPr>
        <w:t>小型和微型企业、监狱企业、残疾人福利性单位货物汇总表（附件七）；</w:t>
      </w:r>
    </w:p>
    <w:p>
      <w:pPr>
        <w:numPr>
          <w:ilvl w:val="0"/>
          <w:numId w:val="54"/>
        </w:numPr>
        <w:autoSpaceDE w:val="0"/>
        <w:autoSpaceDN w:val="0"/>
        <w:adjustRightInd w:val="0"/>
        <w:spacing w:line="360" w:lineRule="auto"/>
        <w:ind w:left="490" w:hanging="370"/>
        <w:rPr>
          <w:rFonts w:ascii="宋体" w:hAnsi="宋体" w:cs="Courier New"/>
          <w:color w:val="0D0D0D"/>
          <w:sz w:val="24"/>
          <w:szCs w:val="24"/>
        </w:rPr>
      </w:pPr>
      <w:r>
        <w:rPr>
          <w:rFonts w:hint="eastAsia" w:ascii="宋体" w:hAnsi="宋体" w:cs="Courier New"/>
          <w:color w:val="0D0D0D"/>
          <w:sz w:val="24"/>
          <w:szCs w:val="24"/>
        </w:rPr>
        <w:t>投标货物、服务清单（附件八）；</w:t>
      </w:r>
    </w:p>
    <w:p>
      <w:pPr>
        <w:numPr>
          <w:ilvl w:val="0"/>
          <w:numId w:val="54"/>
        </w:numPr>
        <w:autoSpaceDE w:val="0"/>
        <w:autoSpaceDN w:val="0"/>
        <w:adjustRightInd w:val="0"/>
        <w:spacing w:line="360" w:lineRule="auto"/>
        <w:ind w:left="616" w:hanging="496"/>
        <w:rPr>
          <w:rFonts w:ascii="宋体" w:hAnsi="宋体" w:cs="Courier New"/>
          <w:color w:val="0D0D0D"/>
          <w:sz w:val="24"/>
          <w:szCs w:val="24"/>
        </w:rPr>
      </w:pPr>
      <w:r>
        <w:rPr>
          <w:rFonts w:hint="eastAsia" w:ascii="宋体" w:hAnsi="宋体" w:cs="Courier New"/>
          <w:color w:val="0D0D0D"/>
          <w:sz w:val="24"/>
          <w:szCs w:val="24"/>
        </w:rPr>
        <w:t>法定代表人授权书（附件</w:t>
      </w:r>
      <w:r>
        <w:rPr>
          <w:rFonts w:hint="eastAsia" w:ascii="宋体" w:hAnsi="宋体" w:cs="Courier New"/>
          <w:color w:val="0D0D0D"/>
          <w:sz w:val="24"/>
          <w:szCs w:val="24"/>
          <w:lang w:eastAsia="zh-CN"/>
        </w:rPr>
        <w:t>九</w:t>
      </w:r>
      <w:r>
        <w:rPr>
          <w:rFonts w:hint="eastAsia" w:ascii="宋体" w:hAnsi="宋体" w:cs="Courier New"/>
          <w:color w:val="0D0D0D"/>
          <w:sz w:val="24"/>
          <w:szCs w:val="24"/>
        </w:rPr>
        <w:t>）；</w:t>
      </w:r>
    </w:p>
    <w:p>
      <w:pPr>
        <w:numPr>
          <w:ilvl w:val="0"/>
          <w:numId w:val="54"/>
        </w:numPr>
        <w:autoSpaceDE w:val="0"/>
        <w:autoSpaceDN w:val="0"/>
        <w:adjustRightInd w:val="0"/>
        <w:spacing w:line="360" w:lineRule="auto"/>
        <w:ind w:left="616" w:hanging="496"/>
        <w:rPr>
          <w:rFonts w:ascii="宋体" w:hAnsi="宋体" w:cs="Courier New"/>
          <w:color w:val="0D0D0D"/>
          <w:sz w:val="24"/>
          <w:szCs w:val="24"/>
        </w:rPr>
      </w:pPr>
      <w:r>
        <w:rPr>
          <w:rFonts w:hint="eastAsia" w:ascii="宋体" w:hAnsi="宋体" w:cs="Courier New"/>
          <w:color w:val="0D0D0D"/>
          <w:sz w:val="24"/>
          <w:szCs w:val="24"/>
        </w:rPr>
        <w:t>关于不存在招标文件第二章“十 其他注意事项”中规定禁止情形的书面声明；</w:t>
      </w:r>
    </w:p>
    <w:p>
      <w:pPr>
        <w:numPr>
          <w:ilvl w:val="0"/>
          <w:numId w:val="54"/>
        </w:numPr>
        <w:autoSpaceDE w:val="0"/>
        <w:autoSpaceDN w:val="0"/>
        <w:adjustRightInd w:val="0"/>
        <w:spacing w:line="360" w:lineRule="auto"/>
        <w:ind w:left="616" w:hanging="496"/>
        <w:rPr>
          <w:rFonts w:ascii="宋体" w:hAnsi="宋体" w:cs="Courier New"/>
          <w:color w:val="0D0D0D"/>
          <w:sz w:val="24"/>
          <w:szCs w:val="24"/>
        </w:rPr>
      </w:pPr>
      <w:r>
        <w:rPr>
          <w:rFonts w:hint="eastAsia" w:ascii="宋体" w:hAnsi="宋体" w:cs="Courier New"/>
          <w:color w:val="0D0D0D"/>
          <w:sz w:val="24"/>
          <w:szCs w:val="24"/>
        </w:rPr>
        <w:t>投标人的资格声明（附件十）；</w:t>
      </w:r>
    </w:p>
    <w:p>
      <w:pPr>
        <w:numPr>
          <w:ilvl w:val="0"/>
          <w:numId w:val="54"/>
        </w:numPr>
        <w:autoSpaceDE w:val="0"/>
        <w:autoSpaceDN w:val="0"/>
        <w:adjustRightInd w:val="0"/>
        <w:spacing w:line="360" w:lineRule="auto"/>
        <w:ind w:left="616" w:hanging="496"/>
        <w:rPr>
          <w:rFonts w:ascii="宋体" w:hAnsi="宋体" w:cs="Courier New"/>
          <w:color w:val="0D0D0D"/>
          <w:sz w:val="24"/>
          <w:szCs w:val="24"/>
        </w:rPr>
      </w:pPr>
      <w:r>
        <w:rPr>
          <w:rFonts w:hint="eastAsia" w:ascii="宋体" w:hAnsi="宋体" w:cs="Courier New"/>
          <w:color w:val="0D0D0D"/>
          <w:sz w:val="24"/>
          <w:szCs w:val="24"/>
        </w:rPr>
        <w:t>项目负责人、技术负责人简历表（附件十</w:t>
      </w:r>
      <w:r>
        <w:rPr>
          <w:rFonts w:hint="eastAsia" w:ascii="宋体" w:hAnsi="宋体" w:cs="Courier New"/>
          <w:color w:val="0D0D0D"/>
          <w:sz w:val="24"/>
          <w:szCs w:val="24"/>
          <w:lang w:eastAsia="zh-CN"/>
        </w:rPr>
        <w:t>一</w:t>
      </w:r>
      <w:r>
        <w:rPr>
          <w:rFonts w:hint="eastAsia" w:ascii="宋体" w:hAnsi="宋体" w:cs="Courier New"/>
          <w:color w:val="0D0D0D"/>
          <w:sz w:val="24"/>
          <w:szCs w:val="24"/>
        </w:rPr>
        <w:t>）；</w:t>
      </w:r>
    </w:p>
    <w:p>
      <w:pPr>
        <w:numPr>
          <w:ilvl w:val="0"/>
          <w:numId w:val="54"/>
        </w:numPr>
        <w:autoSpaceDE w:val="0"/>
        <w:autoSpaceDN w:val="0"/>
        <w:adjustRightInd w:val="0"/>
        <w:spacing w:line="360" w:lineRule="auto"/>
        <w:ind w:left="616" w:hanging="496"/>
        <w:rPr>
          <w:rFonts w:ascii="宋体" w:hAnsi="宋体" w:cs="Courier New"/>
          <w:color w:val="0D0D0D"/>
          <w:sz w:val="24"/>
          <w:szCs w:val="24"/>
        </w:rPr>
      </w:pPr>
      <w:r>
        <w:rPr>
          <w:rFonts w:hint="eastAsia" w:ascii="宋体" w:hAnsi="宋体" w:cs="Courier New"/>
          <w:color w:val="0D0D0D"/>
          <w:sz w:val="24"/>
          <w:szCs w:val="24"/>
        </w:rPr>
        <w:t>项目班子成员情况表（附件十</w:t>
      </w:r>
      <w:r>
        <w:rPr>
          <w:rFonts w:hint="eastAsia" w:ascii="宋体" w:hAnsi="宋体" w:cs="Courier New"/>
          <w:color w:val="0D0D0D"/>
          <w:sz w:val="24"/>
          <w:szCs w:val="24"/>
          <w:lang w:eastAsia="zh-CN"/>
        </w:rPr>
        <w:t>二</w:t>
      </w:r>
      <w:r>
        <w:rPr>
          <w:rFonts w:hint="eastAsia" w:ascii="宋体" w:hAnsi="宋体" w:cs="Courier New"/>
          <w:color w:val="0D0D0D"/>
          <w:sz w:val="24"/>
          <w:szCs w:val="24"/>
        </w:rPr>
        <w:t>）；</w:t>
      </w:r>
    </w:p>
    <w:p>
      <w:pPr>
        <w:numPr>
          <w:ilvl w:val="0"/>
          <w:numId w:val="54"/>
        </w:numPr>
        <w:autoSpaceDE w:val="0"/>
        <w:autoSpaceDN w:val="0"/>
        <w:adjustRightInd w:val="0"/>
        <w:spacing w:line="360" w:lineRule="auto"/>
        <w:ind w:left="616" w:hanging="496"/>
        <w:rPr>
          <w:rFonts w:ascii="宋体" w:hAnsi="宋体" w:cs="Courier New"/>
          <w:color w:val="0D0D0D"/>
          <w:sz w:val="24"/>
          <w:szCs w:val="24"/>
        </w:rPr>
      </w:pPr>
      <w:r>
        <w:rPr>
          <w:rFonts w:hint="eastAsia" w:ascii="宋体" w:hAnsi="宋体" w:cs="Courier New"/>
          <w:color w:val="0D0D0D"/>
          <w:sz w:val="24"/>
          <w:szCs w:val="24"/>
        </w:rPr>
        <w:t>投标人类似项目业绩表（附件十</w:t>
      </w:r>
      <w:r>
        <w:rPr>
          <w:rFonts w:hint="eastAsia" w:ascii="宋体" w:hAnsi="宋体" w:cs="Courier New"/>
          <w:color w:val="0D0D0D"/>
          <w:sz w:val="24"/>
          <w:szCs w:val="24"/>
          <w:lang w:eastAsia="zh-CN"/>
        </w:rPr>
        <w:t>三</w:t>
      </w:r>
      <w:r>
        <w:rPr>
          <w:rFonts w:hint="eastAsia" w:ascii="宋体" w:hAnsi="宋体" w:cs="Courier New"/>
          <w:color w:val="0D0D0D"/>
          <w:sz w:val="24"/>
          <w:szCs w:val="24"/>
        </w:rPr>
        <w:t>）；</w:t>
      </w:r>
    </w:p>
    <w:p>
      <w:pPr>
        <w:numPr>
          <w:ilvl w:val="0"/>
          <w:numId w:val="54"/>
        </w:numPr>
        <w:autoSpaceDE w:val="0"/>
        <w:autoSpaceDN w:val="0"/>
        <w:adjustRightInd w:val="0"/>
        <w:spacing w:line="360" w:lineRule="auto"/>
        <w:ind w:left="616" w:hanging="496"/>
        <w:rPr>
          <w:rFonts w:ascii="宋体" w:hAnsi="宋体" w:cs="Courier New"/>
          <w:color w:val="0D0D0D"/>
          <w:sz w:val="24"/>
          <w:szCs w:val="24"/>
        </w:rPr>
      </w:pPr>
      <w:r>
        <w:rPr>
          <w:rFonts w:hint="eastAsia" w:ascii="宋体" w:hAnsi="宋体" w:cs="Courier New"/>
          <w:color w:val="0D0D0D"/>
          <w:sz w:val="24"/>
          <w:szCs w:val="24"/>
        </w:rPr>
        <w:t>招标文件要求提供或投标人认为需提供的其它资料；</w:t>
      </w:r>
    </w:p>
    <w:p>
      <w:pPr>
        <w:numPr>
          <w:ilvl w:val="0"/>
          <w:numId w:val="54"/>
        </w:numPr>
        <w:autoSpaceDE w:val="0"/>
        <w:autoSpaceDN w:val="0"/>
        <w:adjustRightInd w:val="0"/>
        <w:spacing w:line="360" w:lineRule="auto"/>
        <w:ind w:left="616" w:hanging="496"/>
        <w:rPr>
          <w:rFonts w:ascii="宋体" w:hAnsi="宋体" w:cs="Courier New"/>
          <w:color w:val="0D0D0D"/>
          <w:sz w:val="24"/>
          <w:szCs w:val="24"/>
        </w:rPr>
      </w:pPr>
      <w:r>
        <w:rPr>
          <w:rFonts w:hint="eastAsia" w:ascii="宋体" w:hAnsi="宋体" w:cs="Courier New"/>
          <w:color w:val="0D0D0D"/>
          <w:sz w:val="24"/>
          <w:szCs w:val="24"/>
        </w:rPr>
        <w:t>符合性审查对照表（附件十</w:t>
      </w:r>
      <w:r>
        <w:rPr>
          <w:rFonts w:hint="eastAsia" w:ascii="宋体" w:hAnsi="宋体" w:cs="Courier New"/>
          <w:color w:val="0D0D0D"/>
          <w:sz w:val="24"/>
          <w:szCs w:val="24"/>
          <w:lang w:eastAsia="zh-CN"/>
        </w:rPr>
        <w:t>四</w:t>
      </w:r>
      <w:r>
        <w:rPr>
          <w:rFonts w:hint="eastAsia" w:ascii="宋体" w:hAnsi="宋体" w:cs="Courier New"/>
          <w:color w:val="0D0D0D"/>
          <w:sz w:val="24"/>
          <w:szCs w:val="24"/>
        </w:rPr>
        <w:t>）；</w:t>
      </w:r>
    </w:p>
    <w:p>
      <w:pPr>
        <w:numPr>
          <w:ilvl w:val="0"/>
          <w:numId w:val="54"/>
        </w:numPr>
        <w:autoSpaceDE w:val="0"/>
        <w:autoSpaceDN w:val="0"/>
        <w:adjustRightInd w:val="0"/>
        <w:spacing w:line="360" w:lineRule="auto"/>
        <w:ind w:left="616" w:hanging="496"/>
        <w:rPr>
          <w:rFonts w:ascii="宋体" w:hAnsi="宋体" w:cs="Courier New"/>
          <w:color w:val="0D0D0D"/>
          <w:sz w:val="24"/>
          <w:szCs w:val="24"/>
        </w:rPr>
      </w:pPr>
      <w:r>
        <w:rPr>
          <w:rFonts w:hint="eastAsia" w:ascii="宋体" w:hAnsi="宋体" w:cs="Courier New"/>
          <w:color w:val="0D0D0D"/>
          <w:sz w:val="24"/>
          <w:szCs w:val="24"/>
        </w:rPr>
        <w:t>商务要求响应、偏离说明表（附件十</w:t>
      </w:r>
      <w:r>
        <w:rPr>
          <w:rFonts w:hint="eastAsia" w:ascii="宋体" w:hAnsi="宋体" w:cs="Courier New"/>
          <w:color w:val="0D0D0D"/>
          <w:sz w:val="24"/>
          <w:szCs w:val="24"/>
          <w:lang w:eastAsia="zh-CN"/>
        </w:rPr>
        <w:t>五</w:t>
      </w:r>
      <w:r>
        <w:rPr>
          <w:rFonts w:hint="eastAsia" w:ascii="宋体" w:hAnsi="宋体" w:cs="Courier New"/>
          <w:color w:val="0D0D0D"/>
          <w:sz w:val="24"/>
          <w:szCs w:val="24"/>
        </w:rPr>
        <w:t>）；</w:t>
      </w:r>
    </w:p>
    <w:p>
      <w:pPr>
        <w:numPr>
          <w:ilvl w:val="0"/>
          <w:numId w:val="54"/>
        </w:numPr>
        <w:autoSpaceDE w:val="0"/>
        <w:autoSpaceDN w:val="0"/>
        <w:adjustRightInd w:val="0"/>
        <w:spacing w:line="360" w:lineRule="auto"/>
        <w:ind w:left="616" w:hanging="496"/>
        <w:rPr>
          <w:rFonts w:ascii="宋体" w:hAnsi="宋体" w:cs="Courier New"/>
          <w:color w:val="0D0D0D"/>
          <w:sz w:val="24"/>
          <w:szCs w:val="24"/>
        </w:rPr>
      </w:pPr>
      <w:r>
        <w:rPr>
          <w:rFonts w:hint="eastAsia" w:ascii="宋体" w:hAnsi="宋体" w:cs="Courier New"/>
          <w:color w:val="0D0D0D"/>
          <w:sz w:val="24"/>
          <w:szCs w:val="24"/>
        </w:rPr>
        <w:t>商务要求“★”号条款响应、偏离说明表（附件十</w:t>
      </w:r>
      <w:r>
        <w:rPr>
          <w:rFonts w:hint="eastAsia" w:ascii="宋体" w:hAnsi="宋体" w:cs="Courier New"/>
          <w:color w:val="0D0D0D"/>
          <w:sz w:val="24"/>
          <w:szCs w:val="24"/>
          <w:lang w:eastAsia="zh-CN"/>
        </w:rPr>
        <w:t>六</w:t>
      </w:r>
      <w:r>
        <w:rPr>
          <w:rFonts w:hint="eastAsia" w:ascii="宋体" w:hAnsi="宋体" w:cs="Courier New"/>
          <w:color w:val="0D0D0D"/>
          <w:sz w:val="24"/>
          <w:szCs w:val="24"/>
        </w:rPr>
        <w:t>）</w:t>
      </w:r>
    </w:p>
    <w:p>
      <w:pPr>
        <w:numPr>
          <w:ilvl w:val="0"/>
          <w:numId w:val="54"/>
        </w:numPr>
        <w:autoSpaceDE w:val="0"/>
        <w:autoSpaceDN w:val="0"/>
        <w:adjustRightInd w:val="0"/>
        <w:spacing w:line="360" w:lineRule="auto"/>
        <w:ind w:left="616" w:hanging="496"/>
        <w:rPr>
          <w:rFonts w:hint="eastAsia" w:ascii="宋体" w:hAnsi="宋体" w:eastAsia="宋体" w:cs="Courier New"/>
          <w:b w:val="0"/>
          <w:bCs w:val="0"/>
          <w:color w:val="0D0D0D"/>
          <w:kern w:val="2"/>
          <w:sz w:val="24"/>
          <w:szCs w:val="24"/>
          <w:lang w:val="en-US" w:eastAsia="zh-CN" w:bidi="ar-SA"/>
        </w:rPr>
      </w:pPr>
      <w:r>
        <w:rPr>
          <w:rFonts w:hint="eastAsia" w:ascii="宋体" w:hAnsi="宋体" w:cs="Courier New"/>
          <w:color w:val="0D0D0D"/>
          <w:sz w:val="24"/>
          <w:szCs w:val="24"/>
        </w:rPr>
        <w:t>商务评议对照表（附件十</w:t>
      </w:r>
      <w:r>
        <w:rPr>
          <w:rFonts w:hint="eastAsia" w:ascii="宋体" w:hAnsi="宋体" w:cs="Courier New"/>
          <w:color w:val="0D0D0D"/>
          <w:sz w:val="24"/>
          <w:szCs w:val="24"/>
          <w:lang w:eastAsia="zh-CN"/>
        </w:rPr>
        <w:t>七</w:t>
      </w:r>
      <w:r>
        <w:rPr>
          <w:rFonts w:hint="eastAsia" w:ascii="宋体" w:hAnsi="宋体" w:cs="Courier New"/>
          <w:color w:val="0D0D0D"/>
          <w:sz w:val="24"/>
          <w:szCs w:val="24"/>
        </w:rPr>
        <w:t>）。</w:t>
      </w:r>
    </w:p>
    <w:p>
      <w:pPr>
        <w:numPr>
          <w:ilvl w:val="0"/>
          <w:numId w:val="54"/>
        </w:numPr>
        <w:autoSpaceDE w:val="0"/>
        <w:autoSpaceDN w:val="0"/>
        <w:adjustRightInd w:val="0"/>
        <w:spacing w:line="360" w:lineRule="auto"/>
        <w:ind w:left="616" w:hanging="496"/>
        <w:rPr>
          <w:rFonts w:ascii="宋体" w:hAnsi="宋体"/>
        </w:rPr>
      </w:pPr>
      <w:r>
        <w:rPr>
          <w:rFonts w:hint="eastAsia" w:ascii="宋体" w:hAnsi="宋体" w:eastAsia="宋体" w:cs="Courier New"/>
          <w:b w:val="0"/>
          <w:bCs w:val="0"/>
          <w:color w:val="0D0D0D"/>
          <w:kern w:val="2"/>
          <w:sz w:val="24"/>
          <w:szCs w:val="24"/>
          <w:lang w:val="en-US" w:eastAsia="zh-CN" w:bidi="ar-SA"/>
        </w:rPr>
        <w:t>技术、服务要求响应、偏离说明表</w:t>
      </w:r>
      <w:r>
        <w:rPr>
          <w:rFonts w:hint="eastAsia" w:ascii="宋体" w:hAnsi="宋体" w:cs="Courier New"/>
          <w:color w:val="0D0D0D"/>
          <w:sz w:val="24"/>
          <w:szCs w:val="24"/>
        </w:rPr>
        <w:t>（附件十</w:t>
      </w:r>
      <w:r>
        <w:rPr>
          <w:rFonts w:hint="eastAsia" w:ascii="宋体" w:hAnsi="宋体" w:cs="Courier New"/>
          <w:color w:val="0D0D0D"/>
          <w:sz w:val="24"/>
          <w:szCs w:val="24"/>
          <w:lang w:eastAsia="zh-CN"/>
        </w:rPr>
        <w:t>八</w:t>
      </w:r>
      <w:r>
        <w:rPr>
          <w:rFonts w:hint="eastAsia" w:ascii="宋体" w:hAnsi="宋体" w:cs="Courier New"/>
          <w:color w:val="0D0D0D"/>
          <w:sz w:val="24"/>
          <w:szCs w:val="24"/>
        </w:rPr>
        <w:t>）</w:t>
      </w:r>
    </w:p>
    <w:p>
      <w:pPr>
        <w:numPr>
          <w:ilvl w:val="0"/>
          <w:numId w:val="54"/>
        </w:numPr>
        <w:autoSpaceDE w:val="0"/>
        <w:autoSpaceDN w:val="0"/>
        <w:adjustRightInd w:val="0"/>
        <w:spacing w:line="360" w:lineRule="auto"/>
        <w:ind w:left="616" w:hanging="496"/>
        <w:rPr>
          <w:rFonts w:hint="eastAsia" w:ascii="宋体" w:hAnsi="宋体" w:eastAsia="宋体" w:cs="Courier New"/>
          <w:b w:val="0"/>
          <w:bCs w:val="0"/>
          <w:color w:val="0D0D0D"/>
          <w:kern w:val="2"/>
          <w:sz w:val="24"/>
          <w:szCs w:val="24"/>
          <w:lang w:val="en-US" w:eastAsia="zh-CN" w:bidi="ar-SA"/>
        </w:rPr>
      </w:pPr>
      <w:r>
        <w:rPr>
          <w:rFonts w:hint="eastAsia" w:ascii="宋体" w:hAnsi="宋体" w:eastAsia="宋体" w:cs="Courier New"/>
          <w:b w:val="0"/>
          <w:bCs w:val="0"/>
          <w:color w:val="0D0D0D"/>
          <w:kern w:val="2"/>
          <w:sz w:val="24"/>
          <w:szCs w:val="24"/>
          <w:lang w:val="en-US" w:eastAsia="zh-CN" w:bidi="ar-SA"/>
        </w:rPr>
        <w:t>技术、服务要求“★”号条款响应、偏离说明表</w:t>
      </w:r>
      <w:r>
        <w:rPr>
          <w:rFonts w:hint="eastAsia" w:ascii="宋体" w:hAnsi="宋体" w:cs="Courier New"/>
          <w:color w:val="0D0D0D"/>
          <w:sz w:val="24"/>
          <w:szCs w:val="24"/>
        </w:rPr>
        <w:t>（附件</w:t>
      </w:r>
      <w:r>
        <w:rPr>
          <w:rFonts w:hint="eastAsia" w:ascii="宋体" w:hAnsi="宋体" w:cs="Courier New"/>
          <w:color w:val="0D0D0D"/>
          <w:sz w:val="24"/>
          <w:szCs w:val="24"/>
          <w:lang w:eastAsia="zh-CN"/>
        </w:rPr>
        <w:t>十九</w:t>
      </w:r>
      <w:r>
        <w:rPr>
          <w:rFonts w:hint="eastAsia" w:ascii="宋体" w:hAnsi="宋体" w:cs="Courier New"/>
          <w:color w:val="0D0D0D"/>
          <w:sz w:val="24"/>
          <w:szCs w:val="24"/>
        </w:rPr>
        <w:t>）</w:t>
      </w:r>
    </w:p>
    <w:p>
      <w:pPr>
        <w:numPr>
          <w:ilvl w:val="0"/>
          <w:numId w:val="54"/>
        </w:numPr>
        <w:autoSpaceDE w:val="0"/>
        <w:autoSpaceDN w:val="0"/>
        <w:adjustRightInd w:val="0"/>
        <w:spacing w:line="360" w:lineRule="auto"/>
        <w:ind w:left="616" w:hanging="496"/>
        <w:rPr>
          <w:rFonts w:hint="eastAsia" w:ascii="宋体" w:hAnsi="宋体" w:eastAsia="宋体" w:cs="Courier New"/>
          <w:b w:val="0"/>
          <w:bCs w:val="0"/>
          <w:color w:val="0D0D0D"/>
          <w:kern w:val="2"/>
          <w:sz w:val="24"/>
          <w:szCs w:val="24"/>
          <w:lang w:val="en-US" w:eastAsia="zh-CN" w:bidi="ar-SA"/>
        </w:rPr>
      </w:pPr>
      <w:r>
        <w:rPr>
          <w:rFonts w:hint="eastAsia" w:ascii="宋体" w:hAnsi="宋体" w:eastAsia="宋体" w:cs="Courier New"/>
          <w:b w:val="0"/>
          <w:bCs w:val="0"/>
          <w:color w:val="0D0D0D"/>
          <w:kern w:val="2"/>
          <w:sz w:val="24"/>
          <w:szCs w:val="24"/>
          <w:lang w:val="en-US" w:eastAsia="zh-CN" w:bidi="ar-SA"/>
        </w:rPr>
        <w:t>技术、服务评议对照表</w:t>
      </w:r>
      <w:r>
        <w:rPr>
          <w:rFonts w:hint="eastAsia" w:ascii="宋体" w:hAnsi="宋体" w:cs="Courier New"/>
          <w:color w:val="0D0D0D"/>
          <w:sz w:val="24"/>
          <w:szCs w:val="24"/>
        </w:rPr>
        <w:t>（附件</w:t>
      </w:r>
      <w:r>
        <w:rPr>
          <w:rFonts w:hint="eastAsia" w:ascii="宋体" w:hAnsi="宋体" w:cs="Courier New"/>
          <w:color w:val="0D0D0D"/>
          <w:sz w:val="24"/>
          <w:szCs w:val="24"/>
          <w:lang w:eastAsia="zh-CN"/>
        </w:rPr>
        <w:t>二十</w:t>
      </w:r>
      <w:r>
        <w:rPr>
          <w:rFonts w:hint="eastAsia" w:ascii="宋体" w:hAnsi="宋体" w:cs="Courier New"/>
          <w:color w:val="0D0D0D"/>
          <w:sz w:val="24"/>
          <w:szCs w:val="24"/>
        </w:rPr>
        <w:t>）</w:t>
      </w:r>
    </w:p>
    <w:p>
      <w:pPr>
        <w:numPr>
          <w:ilvl w:val="0"/>
          <w:numId w:val="54"/>
        </w:numPr>
        <w:autoSpaceDE w:val="0"/>
        <w:autoSpaceDN w:val="0"/>
        <w:adjustRightInd w:val="0"/>
        <w:spacing w:line="360" w:lineRule="auto"/>
        <w:ind w:left="616" w:hanging="496"/>
      </w:pPr>
      <w:r>
        <w:rPr>
          <w:rFonts w:hint="default" w:ascii="_5b8b_4f53" w:hAnsi="_5b8b_4f53" w:eastAsia="_5b8b_4f53" w:cs="_5b8b_4f53"/>
          <w:i w:val="0"/>
          <w:caps w:val="0"/>
          <w:color w:val="000000"/>
          <w:spacing w:val="0"/>
          <w:shd w:val="clear" w:fill="FFFFFF"/>
        </w:rPr>
        <w:t>投标人信用承诺书</w:t>
      </w:r>
      <w:r>
        <w:rPr>
          <w:rFonts w:hint="eastAsia" w:ascii="宋体" w:hAnsi="宋体" w:cs="Courier New"/>
          <w:color w:val="0D0D0D"/>
          <w:sz w:val="24"/>
          <w:szCs w:val="24"/>
        </w:rPr>
        <w:t>（附件</w:t>
      </w:r>
      <w:r>
        <w:rPr>
          <w:rFonts w:hint="eastAsia" w:ascii="宋体" w:hAnsi="宋体" w:cs="Courier New"/>
          <w:color w:val="0D0D0D"/>
          <w:sz w:val="24"/>
          <w:szCs w:val="24"/>
          <w:lang w:eastAsia="zh-CN"/>
        </w:rPr>
        <w:t>二十一</w:t>
      </w:r>
      <w:r>
        <w:rPr>
          <w:rFonts w:hint="eastAsia" w:ascii="宋体" w:hAnsi="宋体" w:cs="Courier New"/>
          <w:color w:val="0D0D0D"/>
          <w:sz w:val="24"/>
          <w:szCs w:val="24"/>
        </w:rPr>
        <w:t>）</w:t>
      </w:r>
      <w:r>
        <w:br w:type="page"/>
      </w:r>
    </w:p>
    <w:p>
      <w:pPr>
        <w:spacing w:line="1100" w:lineRule="exact"/>
        <w:jc w:val="center"/>
        <w:rPr>
          <w:rFonts w:ascii="黑体" w:hAnsi="黑体" w:eastAsia="黑体"/>
          <w:b/>
          <w:sz w:val="72"/>
          <w:szCs w:val="72"/>
        </w:rPr>
      </w:pPr>
    </w:p>
    <w:p>
      <w:pPr>
        <w:spacing w:afterLines="200"/>
        <w:jc w:val="center"/>
        <w:rPr>
          <w:rFonts w:ascii="黑体" w:hAnsi="黑体" w:eastAsia="黑体"/>
          <w:b/>
          <w:sz w:val="72"/>
          <w:szCs w:val="72"/>
        </w:rPr>
      </w:pPr>
      <w:r>
        <w:rPr>
          <w:rFonts w:hint="eastAsia" w:ascii="黑体" w:hAnsi="黑体" w:eastAsia="黑体"/>
          <w:b/>
          <w:sz w:val="72"/>
          <w:szCs w:val="72"/>
        </w:rPr>
        <w:t>投 标 文 件</w:t>
      </w:r>
    </w:p>
    <w:p>
      <w:pPr>
        <w:pStyle w:val="3"/>
        <w:spacing w:before="340" w:after="480" w:line="360" w:lineRule="auto"/>
        <w:jc w:val="center"/>
        <w:rPr>
          <w:rFonts w:ascii="宋体" w:hAnsi="宋体" w:cs="Times New Roman"/>
          <w:bCs w:val="0"/>
          <w:sz w:val="44"/>
          <w:szCs w:val="44"/>
        </w:rPr>
      </w:pPr>
      <w:bookmarkStart w:id="94" w:name="_Toc494702269"/>
      <w:bookmarkStart w:id="95" w:name="_Toc494664999"/>
      <w:bookmarkStart w:id="96" w:name="_Toc494745316"/>
      <w:bookmarkStart w:id="97" w:name="_Toc497459200"/>
      <w:bookmarkStart w:id="98" w:name="_Toc494721099"/>
      <w:bookmarkStart w:id="99" w:name="_Toc494665552"/>
      <w:bookmarkStart w:id="100" w:name="_Toc494665949"/>
      <w:r>
        <w:rPr>
          <w:rFonts w:hint="eastAsia" w:ascii="宋体" w:hAnsi="宋体" w:cs="Times New Roman"/>
          <w:bCs w:val="0"/>
          <w:sz w:val="44"/>
          <w:szCs w:val="44"/>
        </w:rPr>
        <w:t>第三部分 技术、服务文件</w:t>
      </w:r>
      <w:bookmarkEnd w:id="94"/>
      <w:bookmarkEnd w:id="95"/>
      <w:bookmarkEnd w:id="96"/>
      <w:bookmarkEnd w:id="97"/>
      <w:bookmarkEnd w:id="98"/>
      <w:bookmarkEnd w:id="99"/>
      <w:bookmarkEnd w:id="100"/>
    </w:p>
    <w:p>
      <w:pPr>
        <w:spacing w:line="360" w:lineRule="auto"/>
        <w:ind w:left="2051" w:leftChars="619" w:right="1299" w:rightChars="619" w:hanging="752" w:hangingChars="209"/>
        <w:rPr>
          <w:rFonts w:ascii="宋体" w:hAnsi="宋体" w:cs="Times New Roman"/>
          <w:bCs/>
          <w:sz w:val="36"/>
          <w:szCs w:val="24"/>
        </w:rPr>
      </w:pPr>
      <w:r>
        <w:rPr>
          <w:rFonts w:hint="eastAsia" w:ascii="宋体" w:hAnsi="宋体" w:cs="Times New Roman"/>
          <w:b/>
          <w:bCs/>
          <w:sz w:val="36"/>
          <w:szCs w:val="24"/>
        </w:rPr>
        <w:t>项目编号：</w:t>
      </w:r>
    </w:p>
    <w:p>
      <w:pPr>
        <w:spacing w:line="360" w:lineRule="auto"/>
        <w:ind w:left="2051" w:leftChars="619" w:right="1299" w:rightChars="619" w:hanging="752" w:hangingChars="209"/>
        <w:rPr>
          <w:rFonts w:ascii="宋体" w:hAnsi="宋体" w:cs="Times New Roman"/>
          <w:bCs/>
          <w:sz w:val="36"/>
          <w:szCs w:val="24"/>
        </w:rPr>
      </w:pPr>
      <w:r>
        <w:rPr>
          <w:rFonts w:hint="eastAsia" w:ascii="宋体" w:hAnsi="宋体" w:cs="Times New Roman"/>
          <w:b/>
          <w:bCs/>
          <w:sz w:val="36"/>
          <w:szCs w:val="24"/>
        </w:rPr>
        <w:t>项目名称：</w:t>
      </w:r>
    </w:p>
    <w:p>
      <w:pPr>
        <w:spacing w:line="360" w:lineRule="auto"/>
        <w:ind w:left="2051" w:leftChars="619" w:right="1299" w:rightChars="619" w:hanging="752" w:hangingChars="209"/>
        <w:rPr>
          <w:rFonts w:ascii="宋体" w:hAnsi="宋体" w:cs="Times New Roman"/>
          <w:sz w:val="36"/>
          <w:szCs w:val="36"/>
        </w:rPr>
      </w:pPr>
      <w:r>
        <w:rPr>
          <w:rFonts w:hint="eastAsia" w:ascii="宋体" w:hAnsi="宋体" w:cs="Times New Roman"/>
          <w:b/>
          <w:bCs/>
          <w:sz w:val="36"/>
          <w:szCs w:val="24"/>
        </w:rPr>
        <w:t>招标内容：</w:t>
      </w:r>
    </w:p>
    <w:p>
      <w:pPr>
        <w:spacing w:afterLines="500" w:line="360" w:lineRule="auto"/>
        <w:ind w:left="2347" w:leftChars="271" w:right="569" w:rightChars="271" w:hanging="1778" w:hangingChars="494"/>
        <w:jc w:val="center"/>
        <w:rPr>
          <w:rFonts w:ascii="宋体" w:hAnsi="宋体" w:cs="Times New Roman"/>
          <w:sz w:val="36"/>
          <w:szCs w:val="36"/>
        </w:rPr>
      </w:pPr>
    </w:p>
    <w:p>
      <w:pPr>
        <w:spacing w:line="360" w:lineRule="auto"/>
        <w:ind w:left="1971" w:leftChars="613" w:right="1287" w:rightChars="613" w:hanging="684" w:hangingChars="214"/>
        <w:rPr>
          <w:rFonts w:ascii="宋体" w:hAnsi="宋体" w:cs="Times New Roman"/>
          <w:b/>
          <w:bCs/>
          <w:sz w:val="32"/>
          <w:szCs w:val="32"/>
        </w:rPr>
      </w:pPr>
      <w:r>
        <w:rPr>
          <w:rFonts w:hint="eastAsia" w:ascii="宋体" w:hAnsi="宋体" w:cs="Times New Roman"/>
          <w:b/>
          <w:bCs/>
          <w:sz w:val="32"/>
          <w:szCs w:val="32"/>
        </w:rPr>
        <w:t>投标人（盖章）：</w:t>
      </w:r>
    </w:p>
    <w:p>
      <w:pPr>
        <w:spacing w:line="360" w:lineRule="auto"/>
        <w:ind w:left="1971" w:leftChars="613" w:right="1287" w:rightChars="613" w:hanging="684" w:hangingChars="214"/>
        <w:rPr>
          <w:rFonts w:ascii="宋体" w:hAnsi="宋体" w:cs="Times New Roman"/>
          <w:b/>
          <w:bCs/>
          <w:sz w:val="32"/>
          <w:szCs w:val="32"/>
        </w:rPr>
      </w:pPr>
      <w:r>
        <w:rPr>
          <w:rFonts w:hint="eastAsia" w:ascii="宋体" w:hAnsi="宋体" w:cs="Times New Roman"/>
          <w:b/>
          <w:bCs/>
          <w:sz w:val="32"/>
          <w:szCs w:val="32"/>
        </w:rPr>
        <w:t>投标人授权代表（签字）：</w:t>
      </w:r>
    </w:p>
    <w:p>
      <w:pPr>
        <w:spacing w:beforeLines="100" w:afterLines="100" w:line="360" w:lineRule="auto"/>
        <w:ind w:left="2256" w:leftChars="466" w:right="466" w:hanging="1278" w:hangingChars="355"/>
        <w:jc w:val="center"/>
        <w:rPr>
          <w:rFonts w:ascii="宋体" w:hAnsi="宋体"/>
          <w:b/>
          <w:sz w:val="36"/>
          <w:szCs w:val="36"/>
        </w:rPr>
      </w:pPr>
      <w:r>
        <w:rPr>
          <w:rFonts w:hint="eastAsia" w:ascii="宋体" w:hAnsi="宋体" w:cs="Times New Roman"/>
          <w:b/>
          <w:bCs/>
          <w:sz w:val="36"/>
          <w:szCs w:val="36"/>
        </w:rPr>
        <w:t>二0一</w:t>
      </w:r>
      <w:r>
        <w:rPr>
          <w:rFonts w:hint="eastAsia" w:ascii="宋体" w:hAnsi="宋体"/>
          <w:b/>
          <w:sz w:val="36"/>
          <w:szCs w:val="36"/>
        </w:rPr>
        <w:t xml:space="preserve">  年</w:t>
      </w:r>
      <w:r>
        <w:rPr>
          <w:rFonts w:hint="eastAsia" w:ascii="宋体" w:hAnsi="宋体"/>
          <w:b/>
          <w:sz w:val="36"/>
          <w:szCs w:val="36"/>
          <w:lang w:val="en-US" w:eastAsia="zh-CN"/>
        </w:rPr>
        <w:t xml:space="preserve">   </w:t>
      </w:r>
      <w:r>
        <w:rPr>
          <w:rFonts w:hint="eastAsia" w:ascii="宋体" w:hAnsi="宋体"/>
          <w:b/>
          <w:sz w:val="36"/>
          <w:szCs w:val="36"/>
        </w:rPr>
        <w:t xml:space="preserve"> 月</w:t>
      </w:r>
    </w:p>
    <w:p/>
    <w:p/>
    <w:p/>
    <w:p/>
    <w:p/>
    <w:p/>
    <w:p/>
    <w:p/>
    <w:p/>
    <w:p/>
    <w:p/>
    <w:p>
      <w:pPr>
        <w:spacing w:beforeLines="100" w:line="360" w:lineRule="auto"/>
        <w:jc w:val="left"/>
        <w:rPr>
          <w:rFonts w:ascii="宋体" w:hAnsi="宋体" w:cs="Times New Roman"/>
          <w:b/>
          <w:bCs/>
          <w:sz w:val="30"/>
          <w:szCs w:val="30"/>
        </w:rPr>
      </w:pPr>
      <w:r>
        <w:rPr>
          <w:rFonts w:hint="eastAsia" w:ascii="宋体" w:hAnsi="宋体" w:cs="Times New Roman"/>
          <w:b/>
          <w:bCs/>
          <w:sz w:val="30"/>
          <w:szCs w:val="30"/>
        </w:rPr>
        <w:t>格式（参考）说明：</w:t>
      </w:r>
    </w:p>
    <w:p>
      <w:pPr>
        <w:spacing w:before="120" w:after="120" w:line="578" w:lineRule="auto"/>
        <w:jc w:val="center"/>
        <w:rPr>
          <w:rFonts w:ascii="黑体" w:hAnsi="黑体" w:eastAsia="黑体" w:cs="Times New Roman"/>
          <w:b/>
          <w:sz w:val="36"/>
          <w:szCs w:val="36"/>
        </w:rPr>
      </w:pPr>
      <w:bookmarkStart w:id="101" w:name="_Toc494665950"/>
      <w:bookmarkStart w:id="102" w:name="_Toc494702270"/>
      <w:bookmarkStart w:id="103" w:name="_Toc494721100"/>
      <w:bookmarkStart w:id="104" w:name="_Toc494745317"/>
      <w:bookmarkStart w:id="105" w:name="_Toc494665000"/>
      <w:bookmarkStart w:id="106" w:name="_Toc494665553"/>
      <w:r>
        <w:rPr>
          <w:rFonts w:hint="eastAsia" w:ascii="黑体" w:hAnsi="黑体" w:eastAsia="黑体" w:cs="Times New Roman"/>
          <w:b/>
          <w:bCs/>
          <w:sz w:val="36"/>
          <w:szCs w:val="36"/>
        </w:rPr>
        <w:t>技术</w:t>
      </w:r>
      <w:r>
        <w:rPr>
          <w:rFonts w:hint="eastAsia" w:ascii="黑体" w:hAnsi="黑体" w:eastAsia="黑体" w:cs="Times New Roman"/>
          <w:b/>
          <w:sz w:val="36"/>
          <w:szCs w:val="36"/>
        </w:rPr>
        <w:t>、服务文件组成</w:t>
      </w:r>
      <w:bookmarkEnd w:id="101"/>
      <w:bookmarkEnd w:id="102"/>
      <w:bookmarkEnd w:id="103"/>
      <w:bookmarkEnd w:id="104"/>
      <w:bookmarkEnd w:id="105"/>
      <w:bookmarkEnd w:id="106"/>
    </w:p>
    <w:p>
      <w:pPr>
        <w:autoSpaceDE w:val="0"/>
        <w:autoSpaceDN w:val="0"/>
        <w:adjustRightInd w:val="0"/>
        <w:spacing w:beforeLines="50" w:afterLines="50" w:line="360" w:lineRule="auto"/>
        <w:ind w:firstLine="480" w:firstLineChars="200"/>
        <w:rPr>
          <w:rFonts w:ascii="宋体" w:hAnsi="宋体" w:cs="Times New Roman"/>
          <w:color w:val="0D0D0D"/>
          <w:kern w:val="0"/>
          <w:sz w:val="24"/>
          <w:szCs w:val="32"/>
        </w:rPr>
      </w:pPr>
      <w:r>
        <w:rPr>
          <w:rFonts w:hint="eastAsia" w:ascii="宋体" w:hAnsi="宋体" w:cs="Times New Roman"/>
          <w:color w:val="0D0D0D"/>
          <w:kern w:val="0"/>
          <w:sz w:val="24"/>
          <w:szCs w:val="32"/>
        </w:rPr>
        <w:t>由各投标人根据参考格式要求自行编写。目录清晰、内容详尽、易于理解和评审并富有建设性的技术、服务方案在评标时具有优势。具体内容应包括但不限于以下内容：</w:t>
      </w:r>
    </w:p>
    <w:p>
      <w:pPr>
        <w:numPr>
          <w:ilvl w:val="0"/>
          <w:numId w:val="55"/>
        </w:numPr>
        <w:autoSpaceDE w:val="0"/>
        <w:autoSpaceDN w:val="0"/>
        <w:adjustRightInd w:val="0"/>
        <w:spacing w:line="360" w:lineRule="auto"/>
        <w:ind w:left="490" w:hanging="370"/>
        <w:rPr>
          <w:rFonts w:ascii="宋体" w:hAnsi="宋体" w:cs="Times New Roman"/>
          <w:kern w:val="0"/>
          <w:sz w:val="24"/>
          <w:szCs w:val="32"/>
        </w:rPr>
      </w:pPr>
      <w:r>
        <w:rPr>
          <w:rFonts w:hint="eastAsia" w:ascii="宋体" w:hAnsi="宋体" w:cs="Times New Roman"/>
          <w:kern w:val="0"/>
          <w:sz w:val="24"/>
          <w:szCs w:val="32"/>
        </w:rPr>
        <w:t>技术、服务文件目录（目录应涵盖下述所有资料，页码清晰以便查阅）；</w:t>
      </w:r>
    </w:p>
    <w:p>
      <w:pPr>
        <w:numPr>
          <w:ilvl w:val="0"/>
          <w:numId w:val="55"/>
        </w:numPr>
        <w:autoSpaceDE w:val="0"/>
        <w:autoSpaceDN w:val="0"/>
        <w:adjustRightInd w:val="0"/>
        <w:spacing w:line="360" w:lineRule="auto"/>
        <w:ind w:left="488" w:hanging="369"/>
        <w:rPr>
          <w:rFonts w:ascii="宋体" w:hAnsi="宋体" w:cs="Times New Roman"/>
          <w:kern w:val="0"/>
          <w:sz w:val="24"/>
          <w:szCs w:val="32"/>
        </w:rPr>
      </w:pPr>
      <w:r>
        <w:rPr>
          <w:rFonts w:hint="eastAsia" w:ascii="宋体" w:hAnsi="宋体" w:cs="Times New Roman"/>
          <w:kern w:val="0"/>
          <w:sz w:val="24"/>
          <w:szCs w:val="32"/>
        </w:rPr>
        <w:t>投标货物（工程或服务）介绍，项目建设（服务）方案；</w:t>
      </w:r>
    </w:p>
    <w:p>
      <w:pPr>
        <w:numPr>
          <w:ilvl w:val="0"/>
          <w:numId w:val="55"/>
        </w:numPr>
        <w:autoSpaceDE w:val="0"/>
        <w:autoSpaceDN w:val="0"/>
        <w:adjustRightInd w:val="0"/>
        <w:spacing w:line="360" w:lineRule="auto"/>
        <w:ind w:left="490" w:hanging="370"/>
        <w:rPr>
          <w:rFonts w:ascii="宋体" w:hAnsi="宋体" w:cs="Times New Roman"/>
          <w:kern w:val="0"/>
          <w:sz w:val="24"/>
          <w:szCs w:val="32"/>
        </w:rPr>
      </w:pPr>
      <w:r>
        <w:rPr>
          <w:rFonts w:hint="eastAsia" w:ascii="宋体" w:hAnsi="宋体" w:cs="Times New Roman"/>
          <w:kern w:val="0"/>
          <w:sz w:val="24"/>
          <w:szCs w:val="32"/>
        </w:rPr>
        <w:t>技术、服务要求响应、偏离说明表（附件十九）；</w:t>
      </w:r>
    </w:p>
    <w:p>
      <w:pPr>
        <w:numPr>
          <w:ilvl w:val="0"/>
          <w:numId w:val="55"/>
        </w:numPr>
        <w:autoSpaceDE w:val="0"/>
        <w:autoSpaceDN w:val="0"/>
        <w:adjustRightInd w:val="0"/>
        <w:spacing w:line="360" w:lineRule="auto"/>
        <w:ind w:left="490" w:hanging="370"/>
        <w:rPr>
          <w:rFonts w:ascii="宋体" w:hAnsi="宋体" w:cs="Times New Roman"/>
          <w:kern w:val="0"/>
          <w:sz w:val="24"/>
          <w:szCs w:val="32"/>
        </w:rPr>
      </w:pPr>
      <w:r>
        <w:rPr>
          <w:rFonts w:hint="eastAsia" w:ascii="宋体" w:hAnsi="宋体" w:cs="Times New Roman"/>
          <w:kern w:val="0"/>
          <w:sz w:val="24"/>
          <w:szCs w:val="32"/>
        </w:rPr>
        <w:t>技术、服务要求“★”号条款响应、偏离说明表（附件二十）；</w:t>
      </w:r>
    </w:p>
    <w:p>
      <w:pPr>
        <w:numPr>
          <w:ilvl w:val="0"/>
          <w:numId w:val="55"/>
        </w:numPr>
        <w:autoSpaceDE w:val="0"/>
        <w:autoSpaceDN w:val="0"/>
        <w:adjustRightInd w:val="0"/>
        <w:spacing w:line="360" w:lineRule="auto"/>
        <w:ind w:left="490" w:hanging="370"/>
        <w:rPr>
          <w:rFonts w:ascii="宋体" w:hAnsi="宋体" w:cs="Times New Roman"/>
          <w:kern w:val="0"/>
          <w:sz w:val="24"/>
          <w:szCs w:val="32"/>
        </w:rPr>
      </w:pPr>
      <w:r>
        <w:rPr>
          <w:rFonts w:hint="eastAsia" w:ascii="宋体" w:hAnsi="宋体" w:cs="Times New Roman"/>
          <w:kern w:val="0"/>
          <w:sz w:val="24"/>
          <w:szCs w:val="32"/>
        </w:rPr>
        <w:t>技术、服务评议对照表（附件二十</w:t>
      </w:r>
      <w:r>
        <w:rPr>
          <w:rFonts w:hint="eastAsia" w:ascii="宋体" w:hAnsi="宋体" w:cs="Times New Roman"/>
          <w:kern w:val="0"/>
          <w:sz w:val="24"/>
          <w:szCs w:val="32"/>
          <w:lang w:eastAsia="zh-CN"/>
        </w:rPr>
        <w:t>一</w:t>
      </w:r>
      <w:r>
        <w:rPr>
          <w:rFonts w:hint="eastAsia" w:ascii="宋体" w:hAnsi="宋体" w:cs="Times New Roman"/>
          <w:kern w:val="0"/>
          <w:sz w:val="24"/>
          <w:szCs w:val="32"/>
        </w:rPr>
        <w:t>）；</w:t>
      </w:r>
    </w:p>
    <w:p>
      <w:pPr>
        <w:numPr>
          <w:ilvl w:val="0"/>
          <w:numId w:val="55"/>
        </w:numPr>
        <w:autoSpaceDE w:val="0"/>
        <w:autoSpaceDN w:val="0"/>
        <w:adjustRightInd w:val="0"/>
        <w:spacing w:line="360" w:lineRule="auto"/>
        <w:ind w:left="490" w:hanging="370"/>
        <w:rPr>
          <w:rFonts w:ascii="宋体" w:hAnsi="宋体" w:cs="Times New Roman"/>
          <w:kern w:val="0"/>
          <w:sz w:val="24"/>
          <w:szCs w:val="32"/>
        </w:rPr>
      </w:pPr>
      <w:r>
        <w:rPr>
          <w:rFonts w:hint="eastAsia" w:ascii="宋体" w:hAnsi="宋体" w:cs="Times New Roman"/>
          <w:kern w:val="0"/>
          <w:sz w:val="24"/>
          <w:szCs w:val="32"/>
        </w:rPr>
        <w:t>招标文件要求提供或投标人认为需提供的其它资料。</w:t>
      </w:r>
    </w:p>
    <w:p>
      <w:pPr>
        <w:autoSpaceDE w:val="0"/>
        <w:autoSpaceDN w:val="0"/>
        <w:adjustRightInd w:val="0"/>
        <w:spacing w:line="360" w:lineRule="auto"/>
        <w:rPr>
          <w:rFonts w:ascii="宋体" w:hAnsi="宋体" w:cs="Times New Roman"/>
          <w:kern w:val="0"/>
          <w:sz w:val="24"/>
          <w:szCs w:val="32"/>
        </w:rPr>
      </w:pPr>
    </w:p>
    <w:p>
      <w:pPr>
        <w:autoSpaceDE w:val="0"/>
        <w:autoSpaceDN w:val="0"/>
        <w:adjustRightInd w:val="0"/>
        <w:spacing w:line="360" w:lineRule="auto"/>
        <w:ind w:left="715" w:leftChars="-6" w:hanging="727" w:hangingChars="303"/>
        <w:rPr>
          <w:rFonts w:ascii="宋体" w:hAnsi="宋体" w:cs="Times New Roman"/>
          <w:color w:val="0D0D0D"/>
          <w:kern w:val="0"/>
          <w:sz w:val="24"/>
          <w:szCs w:val="32"/>
        </w:rPr>
      </w:pPr>
      <w:r>
        <w:rPr>
          <w:rFonts w:hint="eastAsia" w:ascii="宋体" w:hAnsi="宋体" w:cs="Times New Roman"/>
          <w:color w:val="0D0D0D"/>
          <w:kern w:val="0"/>
          <w:sz w:val="24"/>
          <w:szCs w:val="32"/>
        </w:rPr>
        <w:t>说明：投标文件技术、服务文件的编制原则，一是按招标文件要求，提供相应说明、资料、表格以证明所投货物（工程或服务）是否响应招标文件要求；二是对应评分标准，充分体现所投货物（工程或服务）对于评分标准的响应程度和优势。</w:t>
      </w:r>
    </w:p>
    <w:p/>
    <w:p/>
    <w:p/>
    <w:p/>
    <w:p/>
    <w:p/>
    <w:p/>
    <w:p/>
    <w:p/>
    <w:p/>
    <w:p/>
    <w:p/>
    <w:p/>
    <w:p/>
    <w:p/>
    <w:p/>
    <w:p/>
    <w:p/>
    <w:p/>
    <w:p>
      <w:pPr>
        <w:pStyle w:val="3"/>
        <w:numPr>
          <w:ilvl w:val="0"/>
          <w:numId w:val="56"/>
        </w:numPr>
        <w:spacing w:before="100" w:beforeAutospacing="1" w:afterLines="50" w:line="360" w:lineRule="auto"/>
        <w:ind w:left="1288" w:hanging="1288"/>
        <w:rPr>
          <w:rFonts w:ascii="宋体" w:hAnsi="宋体"/>
        </w:rPr>
      </w:pPr>
      <w:bookmarkStart w:id="107" w:name="_Toc494665951"/>
      <w:bookmarkStart w:id="108" w:name="_Toc494665554"/>
      <w:bookmarkStart w:id="109" w:name="_Toc494745318"/>
      <w:bookmarkStart w:id="110" w:name="_Toc238276242"/>
      <w:bookmarkStart w:id="111" w:name="_Toc236473298"/>
      <w:bookmarkStart w:id="112" w:name="_Toc494721101"/>
      <w:bookmarkStart w:id="113" w:name="_Toc497459201"/>
      <w:bookmarkStart w:id="114" w:name="_Toc494702271"/>
      <w:bookmarkStart w:id="115" w:name="_Toc494665001"/>
      <w:r>
        <w:rPr>
          <w:rFonts w:hint="eastAsia" w:ascii="宋体" w:hAnsi="宋体"/>
        </w:rPr>
        <w:t>投标书</w:t>
      </w:r>
      <w:bookmarkEnd w:id="107"/>
      <w:bookmarkEnd w:id="108"/>
      <w:bookmarkEnd w:id="109"/>
      <w:bookmarkEnd w:id="110"/>
      <w:bookmarkEnd w:id="111"/>
      <w:bookmarkEnd w:id="112"/>
      <w:bookmarkEnd w:id="113"/>
      <w:bookmarkEnd w:id="114"/>
      <w:bookmarkEnd w:id="115"/>
    </w:p>
    <w:p>
      <w:pPr>
        <w:spacing w:line="360" w:lineRule="auto"/>
        <w:ind w:firstLine="480" w:firstLineChars="200"/>
        <w:rPr>
          <w:rFonts w:ascii="宋体" w:hAnsi="宋体"/>
          <w:color w:val="0C0C0C"/>
          <w:sz w:val="24"/>
          <w:szCs w:val="24"/>
        </w:rPr>
      </w:pPr>
      <w:r>
        <w:rPr>
          <w:rFonts w:hint="eastAsia" w:ascii="宋体" w:hAnsi="宋体"/>
          <w:color w:val="0C0C0C"/>
          <w:sz w:val="24"/>
          <w:szCs w:val="24"/>
        </w:rPr>
        <w:t>采购代理机构：</w:t>
      </w:r>
    </w:p>
    <w:p>
      <w:pPr>
        <w:spacing w:line="360" w:lineRule="auto"/>
        <w:ind w:firstLine="480" w:firstLineChars="200"/>
        <w:rPr>
          <w:rFonts w:ascii="宋体" w:hAnsi="宋体"/>
          <w:color w:val="0C0C0C"/>
          <w:sz w:val="24"/>
          <w:szCs w:val="24"/>
        </w:rPr>
      </w:pPr>
      <w:r>
        <w:rPr>
          <w:rFonts w:hint="eastAsia" w:ascii="宋体" w:hAnsi="宋体"/>
          <w:color w:val="0C0C0C"/>
          <w:sz w:val="24"/>
          <w:szCs w:val="24"/>
        </w:rPr>
        <w:t>依据贵方___</w:t>
      </w:r>
      <w:r>
        <w:rPr>
          <w:rFonts w:hint="eastAsia" w:ascii="宋体" w:hAnsi="宋体"/>
          <w:color w:val="0C0C0C"/>
          <w:sz w:val="24"/>
          <w:szCs w:val="24"/>
          <w:u w:val="single"/>
        </w:rPr>
        <w:t xml:space="preserve">  _</w:t>
      </w:r>
      <w:r>
        <w:rPr>
          <w:rFonts w:hint="eastAsia" w:ascii="宋体" w:hAnsi="宋体"/>
          <w:color w:val="0C0C0C"/>
          <w:sz w:val="24"/>
          <w:szCs w:val="24"/>
        </w:rPr>
        <w:t>项目（项目编号：_____）招标的投标邀请，我方代表</w:t>
      </w:r>
      <w:r>
        <w:rPr>
          <w:rFonts w:hint="eastAsia" w:ascii="宋体" w:hAnsi="宋体"/>
          <w:color w:val="0C0C0C"/>
          <w:sz w:val="24"/>
          <w:szCs w:val="24"/>
          <w:u w:val="single"/>
        </w:rPr>
        <w:t>（姓名、职务）</w:t>
      </w:r>
      <w:r>
        <w:rPr>
          <w:rFonts w:hint="eastAsia" w:ascii="宋体" w:hAnsi="宋体"/>
          <w:color w:val="0C0C0C"/>
          <w:sz w:val="24"/>
          <w:szCs w:val="24"/>
        </w:rPr>
        <w:t>经正式授权并代表投标人</w:t>
      </w:r>
      <w:r>
        <w:rPr>
          <w:rFonts w:hint="eastAsia" w:ascii="宋体" w:hAnsi="宋体"/>
          <w:color w:val="0C0C0C"/>
          <w:sz w:val="24"/>
          <w:szCs w:val="24"/>
          <w:u w:val="single"/>
        </w:rPr>
        <w:t>（投标人全称 ）</w:t>
      </w:r>
      <w:r>
        <w:rPr>
          <w:rFonts w:hint="eastAsia" w:ascii="宋体" w:hAnsi="宋体"/>
          <w:color w:val="0C0C0C"/>
          <w:sz w:val="24"/>
          <w:szCs w:val="24"/>
        </w:rPr>
        <w:t>提交</w:t>
      </w:r>
      <w:r>
        <w:rPr>
          <w:rFonts w:hint="eastAsia" w:ascii="宋体" w:hAnsi="宋体"/>
          <w:color w:val="0C0C0C"/>
          <w:kern w:val="0"/>
          <w:sz w:val="24"/>
        </w:rPr>
        <w:t>“开标一览表”信封和下述文件正本1份，副本4份。</w:t>
      </w:r>
    </w:p>
    <w:p>
      <w:pPr>
        <w:spacing w:line="360" w:lineRule="auto"/>
        <w:ind w:left="12" w:leftChars="6" w:firstLine="472" w:firstLineChars="197"/>
        <w:rPr>
          <w:rFonts w:ascii="宋体" w:hAnsi="宋体"/>
          <w:sz w:val="24"/>
          <w:szCs w:val="24"/>
        </w:rPr>
      </w:pPr>
      <w:r>
        <w:rPr>
          <w:rFonts w:hint="eastAsia" w:ascii="宋体" w:hAnsi="宋体"/>
          <w:sz w:val="24"/>
          <w:szCs w:val="24"/>
        </w:rPr>
        <w:t xml:space="preserve">1.资格证明文件； </w:t>
      </w:r>
    </w:p>
    <w:p>
      <w:pPr>
        <w:spacing w:line="360" w:lineRule="auto"/>
        <w:ind w:left="12" w:leftChars="6" w:firstLine="472" w:firstLineChars="197"/>
        <w:rPr>
          <w:rFonts w:ascii="宋体" w:hAnsi="宋体"/>
          <w:sz w:val="24"/>
          <w:szCs w:val="24"/>
        </w:rPr>
      </w:pPr>
      <w:r>
        <w:rPr>
          <w:rFonts w:hint="eastAsia" w:ascii="宋体" w:hAnsi="宋体"/>
          <w:sz w:val="24"/>
          <w:szCs w:val="24"/>
        </w:rPr>
        <w:t>2.商务文件；</w:t>
      </w:r>
    </w:p>
    <w:p>
      <w:pPr>
        <w:spacing w:line="360" w:lineRule="auto"/>
        <w:ind w:left="12" w:leftChars="6" w:firstLine="472" w:firstLineChars="197"/>
        <w:rPr>
          <w:rFonts w:ascii="宋体" w:hAnsi="宋体"/>
          <w:sz w:val="24"/>
          <w:szCs w:val="24"/>
        </w:rPr>
      </w:pPr>
      <w:r>
        <w:rPr>
          <w:rFonts w:hint="eastAsia" w:ascii="宋体" w:hAnsi="宋体"/>
          <w:sz w:val="24"/>
          <w:szCs w:val="24"/>
        </w:rPr>
        <w:t>3.技术、服务文件。</w:t>
      </w:r>
    </w:p>
    <w:p>
      <w:pPr>
        <w:spacing w:line="360" w:lineRule="auto"/>
        <w:rPr>
          <w:rFonts w:ascii="宋体" w:hAnsi="宋体" w:cs="Times New Roman"/>
          <w:b/>
          <w:color w:val="0C0C0C"/>
          <w:kern w:val="0"/>
          <w:sz w:val="24"/>
          <w:szCs w:val="24"/>
        </w:rPr>
      </w:pPr>
      <w:r>
        <w:rPr>
          <w:rFonts w:hint="eastAsia" w:ascii="宋体" w:hAnsi="宋体" w:cs="Times New Roman"/>
          <w:b/>
          <w:color w:val="0C0C0C"/>
          <w:kern w:val="0"/>
          <w:sz w:val="24"/>
          <w:szCs w:val="24"/>
        </w:rPr>
        <w:t>在此，我方宣布同意如下：</w:t>
      </w:r>
    </w:p>
    <w:p>
      <w:pPr>
        <w:spacing w:line="360" w:lineRule="auto"/>
        <w:ind w:left="12" w:leftChars="6" w:firstLine="472" w:firstLineChars="197"/>
        <w:rPr>
          <w:rFonts w:ascii="宋体" w:hAnsi="宋体"/>
          <w:sz w:val="24"/>
          <w:szCs w:val="24"/>
        </w:rPr>
      </w:pPr>
      <w:r>
        <w:rPr>
          <w:rFonts w:hint="eastAsia" w:ascii="宋体" w:hAnsi="宋体"/>
          <w:sz w:val="24"/>
          <w:szCs w:val="24"/>
        </w:rPr>
        <w:t>1．《开标一览表》中规定的应提交和交付的</w:t>
      </w:r>
      <w:r>
        <w:rPr>
          <w:rFonts w:hint="eastAsia" w:ascii="宋体" w:hAnsi="宋体"/>
          <w:sz w:val="24"/>
          <w:szCs w:val="24"/>
          <w:u w:val="single"/>
        </w:rPr>
        <w:t xml:space="preserve">  （包号）  </w:t>
      </w:r>
      <w:r>
        <w:rPr>
          <w:rFonts w:hint="eastAsia" w:ascii="宋体" w:hAnsi="宋体"/>
          <w:sz w:val="24"/>
          <w:szCs w:val="24"/>
        </w:rPr>
        <w:t>货物（工程或服务）投标总价为</w:t>
      </w:r>
      <w:r>
        <w:rPr>
          <w:rFonts w:hint="eastAsia" w:ascii="宋体" w:hAnsi="宋体"/>
          <w:sz w:val="24"/>
          <w:szCs w:val="24"/>
          <w:u w:val="single"/>
        </w:rPr>
        <w:t>（注明币种，并用大写和小写表述投标总价）</w:t>
      </w:r>
      <w:r>
        <w:rPr>
          <w:rFonts w:hint="eastAsia" w:ascii="宋体" w:hAnsi="宋体"/>
          <w:sz w:val="24"/>
          <w:szCs w:val="24"/>
        </w:rPr>
        <w:t>；</w:t>
      </w:r>
    </w:p>
    <w:p>
      <w:pPr>
        <w:spacing w:line="360" w:lineRule="auto"/>
        <w:ind w:left="12" w:leftChars="6" w:firstLine="472" w:firstLineChars="197"/>
        <w:rPr>
          <w:rFonts w:ascii="宋体" w:hAnsi="宋体"/>
          <w:sz w:val="24"/>
          <w:szCs w:val="24"/>
        </w:rPr>
      </w:pPr>
      <w:r>
        <w:rPr>
          <w:rFonts w:hint="eastAsia" w:ascii="宋体" w:hAnsi="宋体"/>
          <w:sz w:val="24"/>
          <w:szCs w:val="24"/>
        </w:rPr>
        <w:t>2．按招标文件的约定履行合同责任和义务；</w:t>
      </w:r>
    </w:p>
    <w:p>
      <w:pPr>
        <w:spacing w:line="360" w:lineRule="auto"/>
        <w:ind w:left="12" w:leftChars="6" w:firstLine="472" w:firstLineChars="197"/>
        <w:rPr>
          <w:rFonts w:ascii="宋体" w:hAnsi="宋体"/>
          <w:sz w:val="24"/>
          <w:szCs w:val="24"/>
        </w:rPr>
      </w:pPr>
      <w:r>
        <w:rPr>
          <w:rFonts w:hint="eastAsia" w:ascii="宋体" w:hAnsi="宋体"/>
          <w:sz w:val="24"/>
          <w:szCs w:val="24"/>
        </w:rPr>
        <w:t>3．已详细审查全部招标文件，包括</w:t>
      </w:r>
      <w:r>
        <w:rPr>
          <w:rFonts w:hint="eastAsia" w:ascii="宋体" w:hAnsi="宋体"/>
          <w:sz w:val="24"/>
          <w:szCs w:val="24"/>
          <w:u w:val="single"/>
        </w:rPr>
        <w:t>（修正或补充文件）（如果有的话）</w:t>
      </w:r>
      <w:r>
        <w:rPr>
          <w:rFonts w:hint="eastAsia" w:ascii="宋体" w:hAnsi="宋体"/>
          <w:sz w:val="24"/>
          <w:szCs w:val="24"/>
        </w:rPr>
        <w:t>，对此无异议；</w:t>
      </w:r>
    </w:p>
    <w:p>
      <w:pPr>
        <w:spacing w:line="360" w:lineRule="auto"/>
        <w:ind w:left="12" w:leftChars="6" w:firstLine="472" w:firstLineChars="197"/>
        <w:rPr>
          <w:rFonts w:ascii="宋体" w:hAnsi="宋体"/>
          <w:sz w:val="24"/>
          <w:szCs w:val="24"/>
        </w:rPr>
      </w:pPr>
      <w:r>
        <w:rPr>
          <w:rFonts w:hint="eastAsia" w:ascii="宋体" w:hAnsi="宋体"/>
          <w:sz w:val="24"/>
          <w:szCs w:val="24"/>
        </w:rPr>
        <w:t>4．投标有效期为</w:t>
      </w:r>
      <w:r>
        <w:rPr>
          <w:rFonts w:hint="eastAsia" w:ascii="宋体" w:hAnsi="宋体"/>
          <w:color w:val="0C0C0C"/>
          <w:sz w:val="24"/>
          <w:szCs w:val="24"/>
        </w:rPr>
        <w:t>自</w:t>
      </w:r>
      <w:r>
        <w:rPr>
          <w:rFonts w:hint="eastAsia" w:ascii="宋体" w:hAnsi="宋体"/>
          <w:color w:val="0C0C0C"/>
          <w:kern w:val="0"/>
          <w:sz w:val="24"/>
        </w:rPr>
        <w:t>递交投标文件截止之日</w:t>
      </w:r>
      <w:r>
        <w:rPr>
          <w:rFonts w:hint="eastAsia" w:ascii="宋体" w:hAnsi="宋体"/>
          <w:color w:val="0C0C0C"/>
          <w:sz w:val="24"/>
          <w:szCs w:val="24"/>
        </w:rPr>
        <w:t>起</w:t>
      </w:r>
      <w:r>
        <w:rPr>
          <w:rFonts w:hint="eastAsia" w:ascii="宋体" w:hAnsi="宋体"/>
          <w:sz w:val="24"/>
          <w:szCs w:val="24"/>
        </w:rPr>
        <w:t>，共90个日历日；</w:t>
      </w:r>
    </w:p>
    <w:p>
      <w:pPr>
        <w:spacing w:line="360" w:lineRule="auto"/>
        <w:ind w:left="12" w:leftChars="6" w:firstLine="472" w:firstLineChars="197"/>
        <w:rPr>
          <w:rFonts w:ascii="宋体" w:hAnsi="宋体"/>
          <w:sz w:val="24"/>
          <w:szCs w:val="24"/>
        </w:rPr>
      </w:pPr>
      <w:r>
        <w:rPr>
          <w:rFonts w:hint="eastAsia" w:ascii="宋体" w:hAnsi="宋体"/>
          <w:sz w:val="24"/>
          <w:szCs w:val="24"/>
        </w:rPr>
        <w:t>5．接受招标文件关于不予退还投标保证金的约定；</w:t>
      </w:r>
    </w:p>
    <w:p>
      <w:pPr>
        <w:spacing w:line="360" w:lineRule="auto"/>
        <w:ind w:left="12" w:leftChars="6" w:firstLine="472" w:firstLineChars="197"/>
        <w:rPr>
          <w:rFonts w:ascii="宋体" w:hAnsi="宋体"/>
          <w:sz w:val="24"/>
          <w:szCs w:val="24"/>
        </w:rPr>
      </w:pPr>
      <w:r>
        <w:rPr>
          <w:rFonts w:hint="eastAsia" w:ascii="宋体" w:hAnsi="宋体"/>
          <w:sz w:val="24"/>
          <w:szCs w:val="24"/>
        </w:rPr>
        <w:t>6．提供按照贵方可能要求的与投标有关的一切数据或资料；</w:t>
      </w:r>
    </w:p>
    <w:p>
      <w:pPr>
        <w:spacing w:line="360" w:lineRule="auto"/>
        <w:ind w:left="12" w:leftChars="6" w:firstLine="472" w:firstLineChars="197"/>
        <w:rPr>
          <w:rFonts w:ascii="宋体" w:hAnsi="宋体"/>
          <w:sz w:val="24"/>
          <w:szCs w:val="24"/>
        </w:rPr>
      </w:pPr>
      <w:r>
        <w:rPr>
          <w:rFonts w:hint="eastAsia" w:ascii="宋体" w:hAnsi="宋体"/>
          <w:sz w:val="24"/>
          <w:szCs w:val="24"/>
        </w:rPr>
        <w:t>7．与投标有关的一切正式往来信函请寄：。</w:t>
      </w:r>
    </w:p>
    <w:p>
      <w:pPr>
        <w:autoSpaceDE w:val="0"/>
        <w:autoSpaceDN w:val="0"/>
        <w:adjustRightInd w:val="0"/>
        <w:spacing w:line="400" w:lineRule="exact"/>
        <w:ind w:right="246" w:firstLine="480" w:firstLineChars="200"/>
        <w:rPr>
          <w:rFonts w:ascii="宋体" w:hAnsi="宋体" w:cs="Times New Roman"/>
          <w:kern w:val="0"/>
          <w:sz w:val="24"/>
          <w:szCs w:val="24"/>
        </w:rPr>
      </w:pPr>
    </w:p>
    <w:p>
      <w:pPr>
        <w:spacing w:line="360" w:lineRule="auto"/>
        <w:ind w:left="12" w:leftChars="6" w:firstLine="472" w:firstLineChars="197"/>
        <w:rPr>
          <w:rFonts w:ascii="宋体" w:hAnsi="宋体"/>
          <w:sz w:val="24"/>
          <w:szCs w:val="24"/>
        </w:rPr>
      </w:pPr>
      <w:r>
        <w:rPr>
          <w:rFonts w:hint="eastAsia" w:ascii="宋体" w:hAnsi="宋体"/>
          <w:sz w:val="24"/>
          <w:szCs w:val="24"/>
        </w:rPr>
        <w:t>投标人：</w:t>
      </w:r>
    </w:p>
    <w:p>
      <w:pPr>
        <w:spacing w:line="360" w:lineRule="auto"/>
        <w:ind w:left="12" w:leftChars="6" w:firstLine="472" w:firstLineChars="197"/>
        <w:rPr>
          <w:rFonts w:ascii="宋体" w:hAnsi="宋体"/>
          <w:sz w:val="24"/>
          <w:szCs w:val="24"/>
        </w:rPr>
      </w:pPr>
      <w:r>
        <w:rPr>
          <w:rFonts w:hint="eastAsia" w:ascii="宋体" w:hAnsi="宋体"/>
          <w:sz w:val="24"/>
          <w:szCs w:val="24"/>
        </w:rPr>
        <w:t>地  址：</w:t>
      </w:r>
    </w:p>
    <w:p>
      <w:pPr>
        <w:spacing w:line="360" w:lineRule="auto"/>
        <w:ind w:left="12" w:leftChars="6" w:firstLine="472" w:firstLineChars="197"/>
        <w:rPr>
          <w:rFonts w:ascii="宋体" w:hAnsi="宋体"/>
          <w:sz w:val="24"/>
          <w:szCs w:val="24"/>
        </w:rPr>
      </w:pPr>
      <w:r>
        <w:rPr>
          <w:rFonts w:hint="eastAsia" w:ascii="宋体" w:hAnsi="宋体"/>
          <w:sz w:val="24"/>
          <w:szCs w:val="24"/>
        </w:rPr>
        <w:t>电话/传真：</w:t>
      </w:r>
    </w:p>
    <w:p>
      <w:pPr>
        <w:spacing w:line="360" w:lineRule="auto"/>
        <w:ind w:left="12" w:leftChars="6" w:firstLine="472" w:firstLineChars="197"/>
        <w:rPr>
          <w:rFonts w:ascii="宋体" w:hAnsi="宋体"/>
          <w:sz w:val="24"/>
          <w:szCs w:val="24"/>
        </w:rPr>
      </w:pPr>
      <w:r>
        <w:rPr>
          <w:rFonts w:hint="eastAsia" w:ascii="宋体" w:hAnsi="宋体"/>
          <w:sz w:val="24"/>
          <w:szCs w:val="24"/>
        </w:rPr>
        <w:t>电子邮件：</w:t>
      </w:r>
    </w:p>
    <w:p>
      <w:pPr>
        <w:spacing w:line="360" w:lineRule="auto"/>
        <w:ind w:left="12" w:leftChars="6" w:firstLine="472" w:firstLineChars="197"/>
        <w:rPr>
          <w:rFonts w:ascii="宋体" w:hAnsi="宋体"/>
          <w:sz w:val="24"/>
          <w:szCs w:val="24"/>
        </w:rPr>
      </w:pPr>
      <w:r>
        <w:rPr>
          <w:rFonts w:hint="eastAsia" w:ascii="宋体" w:hAnsi="宋体"/>
          <w:sz w:val="24"/>
          <w:szCs w:val="24"/>
        </w:rPr>
        <w:t>投标人(公章)：</w:t>
      </w:r>
    </w:p>
    <w:p>
      <w:pPr>
        <w:spacing w:line="360" w:lineRule="auto"/>
        <w:ind w:left="12" w:leftChars="6" w:firstLine="472" w:firstLineChars="197"/>
        <w:rPr>
          <w:rFonts w:ascii="宋体" w:hAnsi="宋体"/>
          <w:sz w:val="24"/>
          <w:szCs w:val="24"/>
        </w:rPr>
      </w:pPr>
      <w:r>
        <w:rPr>
          <w:rFonts w:hint="eastAsia" w:ascii="宋体" w:hAnsi="宋体"/>
          <w:sz w:val="24"/>
          <w:szCs w:val="24"/>
        </w:rPr>
        <w:t>投标人授权代表（签字）：</w:t>
      </w:r>
    </w:p>
    <w:p>
      <w:pPr>
        <w:spacing w:line="360" w:lineRule="auto"/>
        <w:ind w:left="12" w:leftChars="6" w:firstLine="472" w:firstLineChars="197"/>
        <w:rPr>
          <w:rFonts w:ascii="宋体" w:hAnsi="宋体"/>
          <w:sz w:val="24"/>
          <w:szCs w:val="24"/>
        </w:rPr>
      </w:pPr>
      <w:r>
        <w:rPr>
          <w:rFonts w:hint="eastAsia" w:ascii="宋体" w:hAnsi="宋体"/>
          <w:sz w:val="24"/>
          <w:szCs w:val="24"/>
        </w:rPr>
        <w:t>日    期：</w:t>
      </w:r>
    </w:p>
    <w:p>
      <w:pPr>
        <w:spacing w:line="360" w:lineRule="auto"/>
        <w:ind w:left="12" w:leftChars="6" w:firstLine="472" w:firstLineChars="197"/>
        <w:rPr>
          <w:rFonts w:ascii="宋体" w:hAnsi="宋体"/>
          <w:sz w:val="24"/>
          <w:szCs w:val="24"/>
        </w:rPr>
      </w:pPr>
      <w:r>
        <w:rPr>
          <w:rFonts w:hint="eastAsia" w:ascii="宋体" w:hAnsi="宋体"/>
          <w:sz w:val="24"/>
          <w:szCs w:val="24"/>
        </w:rPr>
        <w:t>开户银行：</w:t>
      </w:r>
    </w:p>
    <w:p>
      <w:pPr>
        <w:spacing w:line="360" w:lineRule="auto"/>
        <w:ind w:left="12" w:leftChars="6" w:firstLine="472" w:firstLineChars="197"/>
        <w:rPr>
          <w:rFonts w:ascii="宋体" w:hAnsi="宋体"/>
          <w:sz w:val="24"/>
          <w:szCs w:val="24"/>
        </w:rPr>
      </w:pPr>
      <w:r>
        <w:rPr>
          <w:rFonts w:hint="eastAsia" w:ascii="宋体" w:hAnsi="宋体"/>
          <w:sz w:val="24"/>
          <w:szCs w:val="24"/>
        </w:rPr>
        <w:t>帐号/行号：</w:t>
      </w:r>
    </w:p>
    <w:p/>
    <w:p>
      <w:pPr>
        <w:pStyle w:val="3"/>
        <w:numPr>
          <w:ilvl w:val="0"/>
          <w:numId w:val="56"/>
        </w:numPr>
        <w:spacing w:before="100" w:beforeAutospacing="1" w:afterLines="50" w:line="360" w:lineRule="auto"/>
        <w:ind w:left="1288" w:hanging="1288"/>
        <w:rPr>
          <w:rFonts w:ascii="宋体" w:hAnsi="宋体"/>
        </w:rPr>
      </w:pPr>
      <w:bookmarkStart w:id="116" w:name="_Toc494745319"/>
      <w:bookmarkStart w:id="117" w:name="_Toc494665002"/>
      <w:bookmarkStart w:id="118" w:name="_Toc494702272"/>
      <w:bookmarkStart w:id="119" w:name="_Toc494665555"/>
      <w:bookmarkStart w:id="120" w:name="_Toc497459202"/>
      <w:bookmarkStart w:id="121" w:name="_Toc494665952"/>
      <w:bookmarkStart w:id="122" w:name="_Toc494721102"/>
      <w:r>
        <w:rPr>
          <w:rFonts w:hint="eastAsia" w:ascii="宋体" w:hAnsi="宋体"/>
        </w:rPr>
        <w:t>制造商中小企业声明函</w:t>
      </w:r>
      <w:bookmarkEnd w:id="116"/>
      <w:bookmarkEnd w:id="117"/>
      <w:bookmarkEnd w:id="118"/>
      <w:bookmarkEnd w:id="119"/>
      <w:bookmarkEnd w:id="120"/>
      <w:bookmarkEnd w:id="121"/>
      <w:bookmarkEnd w:id="122"/>
    </w:p>
    <w:p>
      <w:pPr>
        <w:adjustRightInd w:val="0"/>
        <w:snapToGrid w:val="0"/>
        <w:jc w:val="center"/>
        <w:rPr>
          <w:rFonts w:ascii="宋体" w:hAnsi="宋体" w:cs="Times New Roman"/>
          <w:b/>
          <w:sz w:val="30"/>
          <w:szCs w:val="30"/>
        </w:rPr>
      </w:pPr>
      <w:r>
        <w:rPr>
          <w:rFonts w:hint="eastAsia" w:ascii="宋体" w:hAnsi="宋体" w:cs="Times New Roman"/>
          <w:b/>
          <w:sz w:val="30"/>
          <w:szCs w:val="30"/>
        </w:rPr>
        <w:t>制造商中小企业声明函</w:t>
      </w:r>
    </w:p>
    <w:p>
      <w:pPr>
        <w:adjustRightInd w:val="0"/>
        <w:snapToGrid w:val="0"/>
        <w:spacing w:beforeLines="50" w:afterLines="50"/>
        <w:jc w:val="center"/>
        <w:rPr>
          <w:rFonts w:ascii="宋体" w:hAnsi="Courier New" w:cs="Times New Roman"/>
          <w:sz w:val="24"/>
          <w:szCs w:val="21"/>
        </w:rPr>
      </w:pPr>
      <w:r>
        <w:rPr>
          <w:rFonts w:hint="eastAsia" w:ascii="宋体" w:hAnsi="Courier New" w:cs="Times New Roman"/>
          <w:sz w:val="24"/>
          <w:szCs w:val="21"/>
        </w:rPr>
        <w:t>（适用于货物类项目）</w:t>
      </w:r>
    </w:p>
    <w:p>
      <w:pPr>
        <w:spacing w:line="360" w:lineRule="auto"/>
        <w:rPr>
          <w:b/>
          <w:sz w:val="28"/>
          <w:szCs w:val="28"/>
        </w:rPr>
      </w:pPr>
      <w:r>
        <w:rPr>
          <w:rFonts w:hint="eastAsia"/>
          <w:b/>
          <w:sz w:val="28"/>
          <w:szCs w:val="28"/>
        </w:rPr>
        <w:t>采购代理机构：</w:t>
      </w:r>
    </w:p>
    <w:p>
      <w:pPr>
        <w:spacing w:line="360" w:lineRule="auto"/>
        <w:ind w:firstLine="475" w:firstLineChars="198"/>
        <w:jc w:val="left"/>
        <w:rPr>
          <w:rFonts w:ascii="宋体" w:hAnsi="宋体" w:cs="Times New Roman"/>
          <w:sz w:val="24"/>
          <w:szCs w:val="21"/>
        </w:rPr>
      </w:pPr>
      <w:r>
        <w:rPr>
          <w:rFonts w:hint="eastAsia" w:ascii="宋体" w:hAnsi="宋体" w:cs="Times New Roman"/>
          <w:sz w:val="24"/>
          <w:szCs w:val="21"/>
        </w:rPr>
        <w:t>本公司郑重声明，根据《政府采购促进中小企业发展暂行办法》（财库〔2011〕181号）的规定，本公司为______（请填写：中型、小型、微型）企业。本公司同时满足以下条件：</w:t>
      </w:r>
    </w:p>
    <w:p>
      <w:pPr>
        <w:spacing w:line="360" w:lineRule="auto"/>
        <w:ind w:firstLine="475" w:firstLineChars="198"/>
        <w:jc w:val="left"/>
        <w:rPr>
          <w:rFonts w:ascii="宋体" w:hAnsi="宋体" w:cs="Times New Roman"/>
          <w:color w:val="0D0D0D"/>
          <w:sz w:val="24"/>
          <w:szCs w:val="21"/>
        </w:rPr>
      </w:pPr>
      <w:r>
        <w:rPr>
          <w:rFonts w:hint="eastAsia" w:ascii="宋体" w:hAnsi="宋体" w:cs="Times New Roman"/>
          <w:sz w:val="24"/>
          <w:szCs w:val="21"/>
        </w:rPr>
        <w:t>1.根据《工业和信息化部、国家统计局、国</w:t>
      </w:r>
      <w:r>
        <w:rPr>
          <w:rFonts w:hint="eastAsia" w:ascii="宋体" w:hAnsi="宋体" w:cs="Times New Roman"/>
          <w:color w:val="0D0D0D"/>
          <w:sz w:val="24"/>
          <w:szCs w:val="21"/>
        </w:rPr>
        <w:t>家发展和改革委员会、财政部关于印发中小企业划型标准规定的通知》（工信部联企业〔2011〕300号）规定的划分标准</w:t>
      </w:r>
      <w:r>
        <w:rPr>
          <w:rFonts w:hint="eastAsia" w:hAnsi="宋体"/>
          <w:color w:val="0C0C0C"/>
          <w:sz w:val="24"/>
        </w:rPr>
        <w:t>（详见《中小企业划型标准》）</w:t>
      </w:r>
      <w:r>
        <w:rPr>
          <w:rFonts w:hint="eastAsia" w:ascii="宋体" w:hAnsi="宋体" w:cs="Times New Roman"/>
          <w:color w:val="0D0D0D"/>
          <w:sz w:val="24"/>
          <w:szCs w:val="21"/>
        </w:rPr>
        <w:t>，本公司为______（请填写：中型、小型、微型）企业。</w:t>
      </w:r>
    </w:p>
    <w:p>
      <w:pPr>
        <w:spacing w:line="360" w:lineRule="auto"/>
        <w:ind w:firstLine="475" w:firstLineChars="198"/>
        <w:jc w:val="left"/>
        <w:rPr>
          <w:rFonts w:ascii="宋体" w:hAnsi="宋体" w:cs="Times New Roman"/>
          <w:sz w:val="24"/>
          <w:szCs w:val="21"/>
        </w:rPr>
      </w:pPr>
      <w:r>
        <w:rPr>
          <w:rFonts w:hint="eastAsia" w:ascii="宋体" w:hAnsi="宋体" w:cs="Times New Roman"/>
          <w:color w:val="0D0D0D"/>
          <w:sz w:val="24"/>
          <w:szCs w:val="21"/>
        </w:rPr>
        <w:t>2.本公司授权</w:t>
      </w:r>
      <w:r>
        <w:rPr>
          <w:rFonts w:hint="eastAsia" w:ascii="宋体" w:hAnsi="宋体" w:cs="Times New Roman"/>
          <w:color w:val="0D0D0D"/>
          <w:sz w:val="24"/>
          <w:szCs w:val="21"/>
          <w:u w:val="single"/>
        </w:rPr>
        <w:t xml:space="preserve">  （投标人）  </w:t>
      </w:r>
      <w:r>
        <w:rPr>
          <w:rFonts w:hint="eastAsia" w:ascii="宋体" w:hAnsi="宋体" w:cs="Times New Roman"/>
          <w:color w:val="0D0D0D"/>
          <w:sz w:val="24"/>
          <w:szCs w:val="21"/>
        </w:rPr>
        <w:t>参加_</w:t>
      </w:r>
      <w:r>
        <w:rPr>
          <w:rFonts w:hint="eastAsia" w:ascii="宋体" w:hAnsi="宋体" w:cs="Times New Roman"/>
          <w:color w:val="0D0D0D"/>
          <w:sz w:val="24"/>
          <w:szCs w:val="21"/>
          <w:u w:val="single"/>
        </w:rPr>
        <w:t>_（采购人）_</w:t>
      </w:r>
      <w:r>
        <w:rPr>
          <w:rFonts w:hint="eastAsia" w:ascii="宋体" w:hAnsi="宋体" w:cs="Times New Roman"/>
          <w:color w:val="0D0D0D"/>
          <w:sz w:val="24"/>
          <w:szCs w:val="21"/>
        </w:rPr>
        <w:t>的__</w:t>
      </w:r>
      <w:r>
        <w:rPr>
          <w:rFonts w:hint="eastAsia" w:ascii="宋体" w:hAnsi="宋体" w:cs="Times New Roman"/>
          <w:color w:val="0D0D0D"/>
          <w:sz w:val="24"/>
          <w:szCs w:val="21"/>
          <w:u w:val="single"/>
        </w:rPr>
        <w:t>__</w:t>
      </w:r>
      <w:r>
        <w:rPr>
          <w:rFonts w:hint="eastAsia" w:ascii="宋体" w:hAnsi="宋体" w:cs="Times New Roman"/>
          <w:color w:val="0D0D0D"/>
          <w:sz w:val="24"/>
          <w:szCs w:val="21"/>
        </w:rPr>
        <w:t>项</w:t>
      </w:r>
      <w:r>
        <w:rPr>
          <w:rFonts w:hint="eastAsia" w:ascii="宋体" w:hAnsi="宋体" w:cs="Times New Roman"/>
          <w:sz w:val="24"/>
          <w:szCs w:val="21"/>
        </w:rPr>
        <w:t>目（项目编号：_____）采购活动提供本企业制造的货物。本条所称货物不包括使用大型企业注册商标的货物。</w:t>
      </w:r>
    </w:p>
    <w:p>
      <w:pPr>
        <w:spacing w:line="360" w:lineRule="auto"/>
        <w:ind w:firstLine="480" w:firstLineChars="200"/>
        <w:rPr>
          <w:rFonts w:ascii="宋体" w:hAnsi="宋体" w:cs="Times New Roman"/>
          <w:bCs/>
          <w:color w:val="0D0D0D"/>
          <w:sz w:val="24"/>
          <w:szCs w:val="24"/>
        </w:rPr>
      </w:pPr>
      <w:r>
        <w:rPr>
          <w:rFonts w:hint="eastAsia" w:ascii="宋体" w:hAnsi="宋体" w:cs="Times New Roman"/>
          <w:bCs/>
          <w:sz w:val="24"/>
          <w:szCs w:val="24"/>
        </w:rPr>
        <w:t>3.由本公司制造的</w:t>
      </w:r>
      <w:r>
        <w:rPr>
          <w:rFonts w:hint="eastAsia" w:ascii="宋体" w:hAnsi="宋体" w:cs="Times New Roman"/>
          <w:bCs/>
          <w:color w:val="0D0D0D"/>
          <w:sz w:val="24"/>
          <w:szCs w:val="24"/>
        </w:rPr>
        <w:t>货物清单见下表：</w:t>
      </w:r>
    </w:p>
    <w:tbl>
      <w:tblPr>
        <w:tblStyle w:val="14"/>
        <w:tblW w:w="954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414"/>
        <w:gridCol w:w="1224"/>
        <w:gridCol w:w="907"/>
        <w:gridCol w:w="1278"/>
        <w:gridCol w:w="1843"/>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2" w:type="dxa"/>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序号</w:t>
            </w:r>
          </w:p>
        </w:tc>
        <w:tc>
          <w:tcPr>
            <w:tcW w:w="2414" w:type="dxa"/>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名称</w:t>
            </w:r>
          </w:p>
        </w:tc>
        <w:tc>
          <w:tcPr>
            <w:tcW w:w="1224" w:type="dxa"/>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品牌规格型号</w:t>
            </w:r>
          </w:p>
        </w:tc>
        <w:tc>
          <w:tcPr>
            <w:tcW w:w="907" w:type="dxa"/>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数量</w:t>
            </w:r>
          </w:p>
        </w:tc>
        <w:tc>
          <w:tcPr>
            <w:tcW w:w="1278" w:type="dxa"/>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单价(元)</w:t>
            </w:r>
          </w:p>
        </w:tc>
        <w:tc>
          <w:tcPr>
            <w:tcW w:w="1843" w:type="dxa"/>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分项合计(元)</w:t>
            </w:r>
          </w:p>
        </w:tc>
        <w:tc>
          <w:tcPr>
            <w:tcW w:w="1228" w:type="dxa"/>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2" w:type="dxa"/>
            <w:vAlign w:val="center"/>
          </w:tcPr>
          <w:p>
            <w:pPr>
              <w:numPr>
                <w:ilvl w:val="0"/>
                <w:numId w:val="57"/>
              </w:numPr>
              <w:tabs>
                <w:tab w:val="left" w:pos="82"/>
              </w:tabs>
              <w:adjustRightInd w:val="0"/>
              <w:snapToGrid w:val="0"/>
              <w:ind w:left="-2" w:firstLine="2"/>
              <w:jc w:val="center"/>
              <w:rPr>
                <w:rFonts w:ascii="宋体" w:hAnsi="宋体"/>
                <w:sz w:val="24"/>
              </w:rPr>
            </w:pPr>
          </w:p>
        </w:tc>
        <w:tc>
          <w:tcPr>
            <w:tcW w:w="2414" w:type="dxa"/>
            <w:vAlign w:val="center"/>
          </w:tcPr>
          <w:p>
            <w:pPr>
              <w:spacing w:line="240" w:lineRule="atLeast"/>
              <w:ind w:left="-48" w:leftChars="-23" w:right="-65" w:rightChars="-31"/>
              <w:jc w:val="left"/>
              <w:rPr>
                <w:rFonts w:ascii="宋体" w:hAnsi="宋体" w:cs="宋体"/>
                <w:color w:val="0D0D0D"/>
                <w:kern w:val="0"/>
                <w:sz w:val="24"/>
                <w:szCs w:val="24"/>
              </w:rPr>
            </w:pPr>
          </w:p>
        </w:tc>
        <w:tc>
          <w:tcPr>
            <w:tcW w:w="1224" w:type="dxa"/>
            <w:vAlign w:val="center"/>
          </w:tcPr>
          <w:p>
            <w:pPr>
              <w:spacing w:line="240" w:lineRule="atLeast"/>
              <w:ind w:left="-48" w:leftChars="-23" w:right="-65" w:rightChars="-31"/>
              <w:jc w:val="left"/>
              <w:rPr>
                <w:rFonts w:ascii="宋体" w:hAnsi="宋体" w:cs="宋体"/>
                <w:color w:val="0D0D0D"/>
                <w:kern w:val="0"/>
                <w:sz w:val="24"/>
                <w:szCs w:val="24"/>
              </w:rPr>
            </w:pPr>
          </w:p>
        </w:tc>
        <w:tc>
          <w:tcPr>
            <w:tcW w:w="907" w:type="dxa"/>
            <w:vAlign w:val="center"/>
          </w:tcPr>
          <w:p>
            <w:pPr>
              <w:spacing w:line="240" w:lineRule="atLeast"/>
              <w:ind w:left="-48" w:leftChars="-23" w:right="-375" w:rightChars="-179"/>
              <w:jc w:val="center"/>
              <w:rPr>
                <w:rFonts w:ascii="宋体" w:hAnsi="宋体" w:cs="宋体"/>
                <w:color w:val="0D0D0D"/>
                <w:kern w:val="0"/>
                <w:sz w:val="24"/>
                <w:szCs w:val="24"/>
              </w:rPr>
            </w:pPr>
          </w:p>
        </w:tc>
        <w:tc>
          <w:tcPr>
            <w:tcW w:w="1278"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843" w:type="dxa"/>
            <w:vAlign w:val="center"/>
          </w:tcPr>
          <w:p>
            <w:pPr>
              <w:spacing w:line="240" w:lineRule="atLeast"/>
              <w:ind w:left="-48" w:leftChars="-23" w:right="-65" w:rightChars="-31"/>
              <w:jc w:val="left"/>
              <w:rPr>
                <w:rFonts w:ascii="宋体" w:hAnsi="宋体" w:cs="宋体"/>
                <w:color w:val="0D0D0D"/>
                <w:kern w:val="0"/>
                <w:sz w:val="24"/>
                <w:szCs w:val="24"/>
              </w:rPr>
            </w:pPr>
          </w:p>
        </w:tc>
        <w:tc>
          <w:tcPr>
            <w:tcW w:w="1228" w:type="dxa"/>
            <w:vAlign w:val="center"/>
          </w:tcPr>
          <w:p>
            <w:pPr>
              <w:spacing w:line="240" w:lineRule="atLeast"/>
              <w:ind w:left="-48" w:leftChars="-23" w:right="-65" w:rightChars="-31"/>
              <w:jc w:val="center"/>
              <w:rPr>
                <w:rFonts w:ascii="宋体" w:hAnsi="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2" w:type="dxa"/>
            <w:vAlign w:val="center"/>
          </w:tcPr>
          <w:p>
            <w:pPr>
              <w:numPr>
                <w:ilvl w:val="0"/>
                <w:numId w:val="57"/>
              </w:numPr>
              <w:tabs>
                <w:tab w:val="left" w:pos="82"/>
              </w:tabs>
              <w:adjustRightInd w:val="0"/>
              <w:snapToGrid w:val="0"/>
              <w:ind w:left="-2" w:firstLine="2"/>
              <w:jc w:val="center"/>
              <w:rPr>
                <w:rFonts w:ascii="宋体" w:hAnsi="宋体"/>
                <w:sz w:val="24"/>
              </w:rPr>
            </w:pPr>
          </w:p>
        </w:tc>
        <w:tc>
          <w:tcPr>
            <w:tcW w:w="2414" w:type="dxa"/>
            <w:vAlign w:val="center"/>
          </w:tcPr>
          <w:p>
            <w:pPr>
              <w:spacing w:line="240" w:lineRule="atLeast"/>
              <w:ind w:left="-48" w:leftChars="-23" w:right="-65" w:rightChars="-31"/>
              <w:jc w:val="left"/>
              <w:rPr>
                <w:rFonts w:ascii="宋体" w:hAnsi="宋体" w:cs="宋体"/>
                <w:color w:val="0D0D0D"/>
                <w:kern w:val="0"/>
                <w:sz w:val="24"/>
                <w:szCs w:val="24"/>
              </w:rPr>
            </w:pPr>
          </w:p>
        </w:tc>
        <w:tc>
          <w:tcPr>
            <w:tcW w:w="1224" w:type="dxa"/>
            <w:vAlign w:val="center"/>
          </w:tcPr>
          <w:p>
            <w:pPr>
              <w:spacing w:line="240" w:lineRule="atLeast"/>
              <w:ind w:left="-48" w:leftChars="-23" w:right="-65" w:rightChars="-31"/>
              <w:jc w:val="left"/>
              <w:rPr>
                <w:rFonts w:ascii="宋体" w:hAnsi="宋体" w:cs="宋体"/>
                <w:color w:val="0D0D0D"/>
                <w:kern w:val="0"/>
                <w:sz w:val="24"/>
                <w:szCs w:val="24"/>
              </w:rPr>
            </w:pPr>
          </w:p>
        </w:tc>
        <w:tc>
          <w:tcPr>
            <w:tcW w:w="907"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278"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843" w:type="dxa"/>
            <w:vAlign w:val="center"/>
          </w:tcPr>
          <w:p>
            <w:pPr>
              <w:spacing w:line="240" w:lineRule="atLeast"/>
              <w:ind w:left="-48" w:leftChars="-23" w:right="-65" w:rightChars="-31"/>
              <w:jc w:val="left"/>
              <w:rPr>
                <w:rFonts w:ascii="宋体" w:hAnsi="宋体" w:cs="宋体"/>
                <w:color w:val="0D0D0D"/>
                <w:kern w:val="0"/>
                <w:sz w:val="24"/>
                <w:szCs w:val="24"/>
              </w:rPr>
            </w:pPr>
          </w:p>
        </w:tc>
        <w:tc>
          <w:tcPr>
            <w:tcW w:w="1228" w:type="dxa"/>
            <w:vAlign w:val="center"/>
          </w:tcPr>
          <w:p>
            <w:pPr>
              <w:spacing w:line="240" w:lineRule="atLeast"/>
              <w:ind w:left="-48" w:leftChars="-23" w:right="-65" w:rightChars="-31"/>
              <w:jc w:val="center"/>
              <w:rPr>
                <w:rFonts w:ascii="宋体" w:hAnsi="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2" w:type="dxa"/>
            <w:vAlign w:val="center"/>
          </w:tcPr>
          <w:p>
            <w:pPr>
              <w:tabs>
                <w:tab w:val="left" w:pos="82"/>
              </w:tabs>
              <w:adjustRightInd w:val="0"/>
              <w:snapToGrid w:val="0"/>
              <w:jc w:val="center"/>
              <w:rPr>
                <w:rFonts w:ascii="宋体" w:hAnsi="宋体"/>
                <w:sz w:val="24"/>
              </w:rPr>
            </w:pPr>
            <w:r>
              <w:rPr>
                <w:rFonts w:hint="eastAsia" w:ascii="宋体" w:hAnsi="宋体"/>
                <w:sz w:val="24"/>
              </w:rPr>
              <w:t>…</w:t>
            </w:r>
          </w:p>
        </w:tc>
        <w:tc>
          <w:tcPr>
            <w:tcW w:w="2414" w:type="dxa"/>
            <w:vAlign w:val="center"/>
          </w:tcPr>
          <w:p>
            <w:pPr>
              <w:spacing w:line="240" w:lineRule="atLeast"/>
              <w:ind w:left="-48" w:leftChars="-23" w:right="-65" w:rightChars="-31"/>
              <w:jc w:val="left"/>
              <w:rPr>
                <w:rFonts w:ascii="宋体" w:hAnsi="宋体" w:cs="宋体"/>
                <w:color w:val="0D0D0D"/>
                <w:kern w:val="0"/>
                <w:sz w:val="24"/>
                <w:szCs w:val="24"/>
              </w:rPr>
            </w:pPr>
          </w:p>
        </w:tc>
        <w:tc>
          <w:tcPr>
            <w:tcW w:w="1224" w:type="dxa"/>
            <w:vAlign w:val="center"/>
          </w:tcPr>
          <w:p>
            <w:pPr>
              <w:spacing w:line="240" w:lineRule="atLeast"/>
              <w:ind w:left="-48" w:leftChars="-23" w:right="-65" w:rightChars="-31"/>
              <w:jc w:val="left"/>
              <w:rPr>
                <w:rFonts w:ascii="宋体" w:hAnsi="宋体" w:cs="宋体"/>
                <w:color w:val="0D0D0D"/>
                <w:kern w:val="0"/>
                <w:sz w:val="24"/>
                <w:szCs w:val="24"/>
              </w:rPr>
            </w:pPr>
          </w:p>
        </w:tc>
        <w:tc>
          <w:tcPr>
            <w:tcW w:w="907"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278"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843" w:type="dxa"/>
            <w:vAlign w:val="center"/>
          </w:tcPr>
          <w:p>
            <w:pPr>
              <w:spacing w:line="240" w:lineRule="atLeast"/>
              <w:ind w:left="-48" w:leftChars="-23" w:right="-65" w:rightChars="-31"/>
              <w:jc w:val="left"/>
              <w:rPr>
                <w:rFonts w:ascii="宋体" w:hAnsi="宋体" w:cs="宋体"/>
                <w:color w:val="0D0D0D"/>
                <w:kern w:val="0"/>
                <w:sz w:val="24"/>
                <w:szCs w:val="24"/>
              </w:rPr>
            </w:pPr>
          </w:p>
        </w:tc>
        <w:tc>
          <w:tcPr>
            <w:tcW w:w="1228" w:type="dxa"/>
            <w:vAlign w:val="center"/>
          </w:tcPr>
          <w:p>
            <w:pPr>
              <w:spacing w:line="240" w:lineRule="atLeast"/>
              <w:ind w:left="-48" w:leftChars="-23" w:right="-65" w:rightChars="-31"/>
              <w:jc w:val="center"/>
              <w:rPr>
                <w:rFonts w:ascii="宋体" w:hAnsi="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75" w:type="dxa"/>
            <w:gridSpan w:val="5"/>
            <w:vAlign w:val="center"/>
          </w:tcPr>
          <w:p>
            <w:pPr>
              <w:spacing w:line="240" w:lineRule="atLeast"/>
              <w:ind w:left="-48" w:leftChars="-23" w:right="-65" w:rightChars="-31"/>
              <w:jc w:val="center"/>
              <w:rPr>
                <w:rFonts w:ascii="宋体" w:hAnsi="宋体" w:cs="宋体"/>
                <w:color w:val="0D0D0D"/>
                <w:kern w:val="0"/>
                <w:sz w:val="24"/>
                <w:szCs w:val="24"/>
              </w:rPr>
            </w:pPr>
            <w:r>
              <w:rPr>
                <w:rFonts w:hint="eastAsia" w:ascii="宋体" w:hAnsi="宋体" w:cs="宋体"/>
                <w:color w:val="0D0D0D"/>
                <w:kern w:val="0"/>
                <w:sz w:val="24"/>
                <w:szCs w:val="24"/>
              </w:rPr>
              <w:t>合计</w:t>
            </w:r>
          </w:p>
        </w:tc>
        <w:tc>
          <w:tcPr>
            <w:tcW w:w="3071" w:type="dxa"/>
            <w:gridSpan w:val="2"/>
            <w:vAlign w:val="center"/>
          </w:tcPr>
          <w:p>
            <w:pPr>
              <w:spacing w:line="240" w:lineRule="atLeast"/>
              <w:ind w:left="-48" w:leftChars="-23" w:right="-65" w:rightChars="-31"/>
              <w:jc w:val="left"/>
              <w:rPr>
                <w:rFonts w:ascii="宋体" w:hAnsi="宋体" w:cs="宋体"/>
                <w:color w:val="0D0D0D"/>
                <w:kern w:val="0"/>
                <w:sz w:val="24"/>
                <w:szCs w:val="24"/>
              </w:rPr>
            </w:pPr>
          </w:p>
        </w:tc>
      </w:tr>
    </w:tbl>
    <w:p>
      <w:pPr>
        <w:spacing w:beforeLines="50" w:line="360" w:lineRule="auto"/>
        <w:ind w:firstLine="475" w:firstLineChars="198"/>
        <w:jc w:val="left"/>
        <w:rPr>
          <w:rFonts w:ascii="宋体" w:hAnsi="宋体" w:cs="Times New Roman"/>
          <w:sz w:val="24"/>
          <w:szCs w:val="21"/>
        </w:rPr>
      </w:pPr>
      <w:r>
        <w:rPr>
          <w:rFonts w:hint="eastAsia" w:ascii="宋体" w:hAnsi="宋体" w:cs="Times New Roman"/>
          <w:sz w:val="24"/>
          <w:szCs w:val="21"/>
        </w:rPr>
        <w:t>本公司对上述声明的真实性负责。如有虚假，将依法承担相应责任。</w:t>
      </w:r>
    </w:p>
    <w:p>
      <w:pPr>
        <w:spacing w:line="360" w:lineRule="auto"/>
        <w:rPr>
          <w:rFonts w:ascii="宋体" w:hAnsi="宋体" w:cs="Times New Roman"/>
          <w:bCs/>
          <w:sz w:val="24"/>
          <w:szCs w:val="24"/>
        </w:rPr>
      </w:pPr>
    </w:p>
    <w:p>
      <w:pPr>
        <w:pStyle w:val="26"/>
        <w:spacing w:line="360" w:lineRule="auto"/>
        <w:ind w:left="960" w:hanging="960" w:hangingChars="400"/>
        <w:jc w:val="left"/>
        <w:rPr>
          <w:rFonts w:hAnsi="宋体" w:cs="Corbel"/>
          <w:color w:val="0C0C0C"/>
          <w:sz w:val="24"/>
        </w:rPr>
      </w:pPr>
      <w:r>
        <w:rPr>
          <w:rFonts w:hint="eastAsia" w:hAnsi="宋体" w:cs="Times New Roman"/>
          <w:bCs/>
          <w:sz w:val="24"/>
          <w:szCs w:val="24"/>
        </w:rPr>
        <w:t>说明：</w:t>
      </w:r>
      <w:r>
        <w:rPr>
          <w:rFonts w:hint="eastAsia" w:hAnsi="宋体" w:cs="Corbel"/>
          <w:sz w:val="24"/>
        </w:rPr>
        <w:t>1、投标人所投</w:t>
      </w:r>
      <w:r>
        <w:rPr>
          <w:rFonts w:hint="eastAsia" w:hAnsi="宋体" w:cs="Corbel"/>
          <w:color w:val="0C0C0C"/>
          <w:sz w:val="24"/>
        </w:rPr>
        <w:t>货物为自己制造的，也应按本声明函格式填写。</w:t>
      </w:r>
    </w:p>
    <w:p>
      <w:pPr>
        <w:pStyle w:val="26"/>
        <w:spacing w:line="360" w:lineRule="auto"/>
        <w:ind w:left="958" w:leftChars="342" w:hanging="240" w:hangingChars="100"/>
        <w:jc w:val="left"/>
        <w:rPr>
          <w:rFonts w:hAnsi="宋体"/>
          <w:color w:val="0C0C0C"/>
          <w:sz w:val="24"/>
        </w:rPr>
      </w:pPr>
      <w:r>
        <w:rPr>
          <w:rFonts w:hint="eastAsia" w:hAnsi="宋体"/>
          <w:color w:val="0C0C0C"/>
          <w:sz w:val="24"/>
        </w:rPr>
        <w:t>2、组成联合体的大中型企业和其他自然人、法人或者其他组织，与小型、微型企业之间不得存在投资关系。</w:t>
      </w:r>
    </w:p>
    <w:p>
      <w:pPr>
        <w:pStyle w:val="26"/>
        <w:spacing w:line="360" w:lineRule="auto"/>
        <w:ind w:left="958" w:leftChars="342" w:hanging="240" w:hangingChars="100"/>
        <w:jc w:val="left"/>
        <w:rPr>
          <w:rFonts w:hAnsi="宋体" w:cs="Times New Roman"/>
          <w:bCs/>
          <w:color w:val="0C0C0C"/>
          <w:sz w:val="24"/>
          <w:szCs w:val="24"/>
        </w:rPr>
      </w:pPr>
      <w:r>
        <w:rPr>
          <w:rFonts w:hint="eastAsia" w:hAnsi="宋体"/>
          <w:color w:val="0C0C0C"/>
          <w:sz w:val="24"/>
        </w:rPr>
        <w:t>3、如以联合体方式参与本项目投标的供应商，则应由联合体双方签字盖章。</w:t>
      </w:r>
    </w:p>
    <w:p>
      <w:pPr>
        <w:spacing w:before="100" w:beforeAutospacing="1" w:after="100" w:afterAutospacing="1" w:line="360" w:lineRule="auto"/>
        <w:ind w:firstLine="3316" w:firstLineChars="1382"/>
        <w:rPr>
          <w:rFonts w:ascii="宋体" w:hAnsi="宋体" w:cs="Times New Roman"/>
          <w:b/>
          <w:bCs/>
          <w:sz w:val="24"/>
          <w:szCs w:val="21"/>
        </w:rPr>
      </w:pPr>
      <w:r>
        <w:rPr>
          <w:rFonts w:hint="eastAsia" w:ascii="宋体" w:hAnsi="宋体" w:cs="Times New Roman"/>
          <w:b/>
          <w:bCs/>
          <w:sz w:val="24"/>
          <w:szCs w:val="21"/>
        </w:rPr>
        <w:t>制造商（公章）：</w:t>
      </w:r>
    </w:p>
    <w:p>
      <w:pPr>
        <w:spacing w:before="100" w:beforeAutospacing="1" w:after="100" w:afterAutospacing="1" w:line="360" w:lineRule="auto"/>
        <w:ind w:firstLine="3316" w:firstLineChars="1382"/>
        <w:rPr>
          <w:rFonts w:ascii="宋体" w:hAnsi="宋体" w:cs="Times New Roman"/>
          <w:b/>
          <w:bCs/>
          <w:sz w:val="24"/>
          <w:szCs w:val="21"/>
        </w:rPr>
      </w:pPr>
      <w:r>
        <w:rPr>
          <w:rFonts w:hint="eastAsia" w:ascii="宋体" w:hAnsi="宋体" w:cs="Times New Roman"/>
          <w:b/>
          <w:bCs/>
          <w:sz w:val="24"/>
          <w:szCs w:val="21"/>
        </w:rPr>
        <w:t>制造商法定代表人（</w:t>
      </w:r>
      <w:r>
        <w:rPr>
          <w:rFonts w:hint="eastAsia" w:ascii="宋体" w:hAnsi="宋体" w:cs="Times New Roman"/>
          <w:b/>
          <w:sz w:val="24"/>
          <w:szCs w:val="21"/>
        </w:rPr>
        <w:t>签字或盖章</w:t>
      </w:r>
      <w:r>
        <w:rPr>
          <w:rFonts w:hint="eastAsia" w:ascii="宋体" w:hAnsi="宋体" w:cs="Times New Roman"/>
          <w:b/>
          <w:bCs/>
          <w:sz w:val="24"/>
          <w:szCs w:val="21"/>
        </w:rPr>
        <w:t>）：</w:t>
      </w:r>
    </w:p>
    <w:p>
      <w:pPr>
        <w:spacing w:before="100" w:beforeAutospacing="1" w:after="100" w:afterAutospacing="1" w:line="360" w:lineRule="auto"/>
        <w:ind w:firstLine="3316" w:firstLineChars="1382"/>
      </w:pPr>
      <w:r>
        <w:rPr>
          <w:rFonts w:hint="eastAsia" w:ascii="Times New Roman" w:hAnsi="宋体" w:cs="Times New Roman"/>
          <w:b/>
          <w:sz w:val="24"/>
          <w:szCs w:val="24"/>
        </w:rPr>
        <w:t>日  期：</w:t>
      </w:r>
    </w:p>
    <w:p>
      <w:pPr>
        <w:pStyle w:val="3"/>
        <w:numPr>
          <w:ilvl w:val="0"/>
          <w:numId w:val="56"/>
        </w:numPr>
        <w:spacing w:before="100" w:beforeAutospacing="1" w:afterLines="50" w:line="360" w:lineRule="auto"/>
        <w:ind w:left="1288" w:hanging="1288"/>
        <w:rPr>
          <w:rFonts w:ascii="宋体" w:hAnsi="宋体"/>
        </w:rPr>
      </w:pPr>
      <w:bookmarkStart w:id="123" w:name="_Toc497459203"/>
      <w:bookmarkStart w:id="124" w:name="_Toc494721103"/>
      <w:bookmarkStart w:id="125" w:name="_Toc456264006"/>
      <w:bookmarkStart w:id="126" w:name="_Toc494702273"/>
      <w:bookmarkStart w:id="127" w:name="_Toc494665953"/>
      <w:bookmarkStart w:id="128" w:name="_Toc494745320"/>
      <w:bookmarkStart w:id="129" w:name="_Toc494665003"/>
      <w:bookmarkStart w:id="130" w:name="_Toc494665556"/>
      <w:r>
        <w:rPr>
          <w:rFonts w:hint="eastAsia" w:ascii="宋体" w:hAnsi="宋体"/>
        </w:rPr>
        <w:t>中小企业声明函</w:t>
      </w:r>
      <w:bookmarkEnd w:id="123"/>
      <w:bookmarkEnd w:id="124"/>
      <w:bookmarkEnd w:id="125"/>
      <w:bookmarkEnd w:id="126"/>
      <w:bookmarkEnd w:id="127"/>
      <w:bookmarkEnd w:id="128"/>
      <w:bookmarkEnd w:id="129"/>
      <w:bookmarkEnd w:id="130"/>
    </w:p>
    <w:p>
      <w:pPr>
        <w:adjustRightInd w:val="0"/>
        <w:snapToGrid w:val="0"/>
        <w:jc w:val="center"/>
        <w:rPr>
          <w:rFonts w:ascii="宋体" w:hAnsi="宋体" w:cs="Times New Roman"/>
          <w:b/>
          <w:sz w:val="30"/>
          <w:szCs w:val="30"/>
        </w:rPr>
      </w:pPr>
      <w:r>
        <w:rPr>
          <w:rFonts w:hint="eastAsia" w:ascii="宋体" w:hAnsi="宋体" w:cs="Times New Roman"/>
          <w:b/>
          <w:sz w:val="30"/>
          <w:szCs w:val="30"/>
        </w:rPr>
        <w:t>中小企业声明函</w:t>
      </w:r>
    </w:p>
    <w:p>
      <w:pPr>
        <w:adjustRightInd w:val="0"/>
        <w:snapToGrid w:val="0"/>
        <w:spacing w:beforeLines="50" w:afterLines="50"/>
        <w:jc w:val="center"/>
        <w:rPr>
          <w:rFonts w:ascii="宋体" w:hAnsi="Courier New" w:cs="Times New Roman"/>
          <w:sz w:val="24"/>
          <w:szCs w:val="21"/>
        </w:rPr>
      </w:pPr>
      <w:r>
        <w:rPr>
          <w:rFonts w:hint="eastAsia" w:ascii="宋体" w:hAnsi="Courier New" w:cs="Times New Roman"/>
          <w:sz w:val="24"/>
          <w:szCs w:val="21"/>
        </w:rPr>
        <w:t>（适用于工程类、服务类项目）</w:t>
      </w:r>
    </w:p>
    <w:p>
      <w:pPr>
        <w:spacing w:line="360" w:lineRule="auto"/>
        <w:rPr>
          <w:b/>
          <w:sz w:val="28"/>
          <w:szCs w:val="28"/>
        </w:rPr>
      </w:pPr>
      <w:r>
        <w:rPr>
          <w:rFonts w:hint="eastAsia"/>
          <w:b/>
          <w:sz w:val="28"/>
          <w:szCs w:val="28"/>
        </w:rPr>
        <w:t>采购代理机构：</w:t>
      </w:r>
    </w:p>
    <w:p>
      <w:pPr>
        <w:spacing w:line="360" w:lineRule="auto"/>
        <w:ind w:firstLine="475" w:firstLineChars="198"/>
        <w:jc w:val="left"/>
        <w:rPr>
          <w:rFonts w:ascii="宋体" w:hAnsi="宋体" w:cs="Times New Roman"/>
          <w:color w:val="0D0D0D"/>
          <w:sz w:val="24"/>
          <w:szCs w:val="21"/>
        </w:rPr>
      </w:pPr>
      <w:r>
        <w:rPr>
          <w:rFonts w:hint="eastAsia" w:ascii="宋体" w:hAnsi="宋体" w:cs="Times New Roman"/>
          <w:sz w:val="24"/>
          <w:szCs w:val="21"/>
        </w:rPr>
        <w:t>本公司郑重声明，根据《政府</w:t>
      </w:r>
      <w:r>
        <w:rPr>
          <w:rFonts w:hint="eastAsia" w:ascii="宋体" w:hAnsi="宋体" w:cs="Times New Roman"/>
          <w:color w:val="0D0D0D"/>
          <w:sz w:val="24"/>
          <w:szCs w:val="21"/>
        </w:rPr>
        <w:t>采购促进中小企业发展暂行办法》（财库〔2011〕181号）的规定，本公司为______（请填写：中型、小型、微型）企业。本公司同时满足以下条件：</w:t>
      </w:r>
    </w:p>
    <w:p>
      <w:pPr>
        <w:spacing w:line="360" w:lineRule="auto"/>
        <w:ind w:firstLine="475" w:firstLineChars="198"/>
        <w:jc w:val="left"/>
        <w:rPr>
          <w:rFonts w:ascii="宋体" w:hAnsi="宋体" w:cs="Times New Roman"/>
          <w:color w:val="0D0D0D"/>
          <w:sz w:val="24"/>
          <w:szCs w:val="21"/>
        </w:rPr>
      </w:pPr>
      <w:r>
        <w:rPr>
          <w:rFonts w:hint="eastAsia" w:ascii="宋体" w:hAnsi="宋体" w:cs="Times New Roman"/>
          <w:color w:val="0D0D0D"/>
          <w:sz w:val="24"/>
          <w:szCs w:val="21"/>
        </w:rPr>
        <w:t>1.根据《工业和信息化部、国家统计局、国家发展和改革委员会、财政部关于印发中小企业划型标准规定的通知》（工信部联企业〔2011〕300号</w:t>
      </w:r>
      <w:r>
        <w:rPr>
          <w:rFonts w:hint="eastAsia" w:ascii="宋体" w:hAnsi="宋体" w:cs="Times New Roman"/>
          <w:color w:val="0C0C0C"/>
          <w:sz w:val="24"/>
          <w:szCs w:val="21"/>
        </w:rPr>
        <w:t>）规定的划分标准</w:t>
      </w:r>
      <w:r>
        <w:rPr>
          <w:rFonts w:hint="eastAsia" w:hAnsi="宋体"/>
          <w:color w:val="0C0C0C"/>
          <w:sz w:val="24"/>
        </w:rPr>
        <w:t>（详见《中小企业划型标准》）</w:t>
      </w:r>
      <w:r>
        <w:rPr>
          <w:rFonts w:hint="eastAsia" w:ascii="宋体" w:hAnsi="宋体" w:cs="Times New Roman"/>
          <w:color w:val="0C0C0C"/>
          <w:sz w:val="24"/>
          <w:szCs w:val="21"/>
        </w:rPr>
        <w:t>，本公司为______（请填写：中型、小</w:t>
      </w:r>
      <w:r>
        <w:rPr>
          <w:rFonts w:hint="eastAsia" w:ascii="宋体" w:hAnsi="宋体" w:cs="Times New Roman"/>
          <w:color w:val="0D0D0D"/>
          <w:sz w:val="24"/>
          <w:szCs w:val="21"/>
        </w:rPr>
        <w:t>型、微型）企业。</w:t>
      </w:r>
    </w:p>
    <w:p>
      <w:pPr>
        <w:spacing w:line="360" w:lineRule="auto"/>
        <w:ind w:firstLine="475" w:firstLineChars="198"/>
        <w:jc w:val="left"/>
        <w:rPr>
          <w:rFonts w:ascii="宋体" w:hAnsi="宋体" w:cs="Times New Roman"/>
          <w:sz w:val="24"/>
          <w:szCs w:val="21"/>
        </w:rPr>
      </w:pPr>
      <w:r>
        <w:rPr>
          <w:rFonts w:hint="eastAsia" w:ascii="宋体" w:hAnsi="宋体" w:cs="Times New Roman"/>
          <w:color w:val="0D0D0D"/>
          <w:sz w:val="24"/>
          <w:szCs w:val="21"/>
        </w:rPr>
        <w:t>2.本公司参加_</w:t>
      </w:r>
      <w:r>
        <w:rPr>
          <w:rFonts w:hint="eastAsia" w:ascii="宋体" w:hAnsi="宋体" w:cs="Times New Roman"/>
          <w:color w:val="0D0D0D"/>
          <w:sz w:val="24"/>
          <w:szCs w:val="21"/>
          <w:u w:val="single"/>
        </w:rPr>
        <w:t>_（采购人）</w:t>
      </w:r>
      <w:r>
        <w:rPr>
          <w:rFonts w:hint="eastAsia" w:ascii="宋体" w:hAnsi="宋体" w:cs="Times New Roman"/>
          <w:color w:val="0D0D0D"/>
          <w:sz w:val="24"/>
          <w:szCs w:val="21"/>
        </w:rPr>
        <w:t>的__</w:t>
      </w:r>
      <w:r>
        <w:rPr>
          <w:rFonts w:hint="eastAsia" w:ascii="宋体" w:hAnsi="宋体" w:cs="Times New Roman"/>
          <w:color w:val="0D0D0D"/>
          <w:sz w:val="24"/>
          <w:szCs w:val="21"/>
          <w:u w:val="single"/>
        </w:rPr>
        <w:t>__</w:t>
      </w:r>
      <w:r>
        <w:rPr>
          <w:rFonts w:hint="eastAsia" w:ascii="宋体" w:hAnsi="宋体" w:cs="Times New Roman"/>
          <w:color w:val="0D0D0D"/>
          <w:sz w:val="24"/>
          <w:szCs w:val="21"/>
        </w:rPr>
        <w:t>项目（项目编号：_____</w:t>
      </w:r>
      <w:r>
        <w:rPr>
          <w:rFonts w:hint="eastAsia" w:ascii="宋体" w:hAnsi="宋体" w:cs="Times New Roman"/>
          <w:sz w:val="24"/>
          <w:szCs w:val="21"/>
        </w:rPr>
        <w:t>_）采购活动由本企业承担工程（或提供服务）。</w:t>
      </w:r>
    </w:p>
    <w:p>
      <w:pPr>
        <w:spacing w:line="360" w:lineRule="auto"/>
        <w:ind w:firstLine="475" w:firstLineChars="198"/>
        <w:jc w:val="left"/>
        <w:rPr>
          <w:rFonts w:ascii="宋体" w:hAnsi="宋体" w:cs="Times New Roman"/>
          <w:sz w:val="24"/>
          <w:szCs w:val="21"/>
        </w:rPr>
      </w:pPr>
      <w:r>
        <w:rPr>
          <w:rFonts w:hint="eastAsia" w:ascii="宋体" w:hAnsi="宋体" w:cs="Times New Roman"/>
          <w:sz w:val="24"/>
          <w:szCs w:val="21"/>
        </w:rPr>
        <w:t>本公司对上述声明的真实性负责。如有虚假，将依法承担相应责任。</w:t>
      </w:r>
    </w:p>
    <w:p>
      <w:pPr>
        <w:adjustRightInd w:val="0"/>
        <w:snapToGrid w:val="0"/>
        <w:spacing w:line="360" w:lineRule="auto"/>
        <w:rPr>
          <w:rFonts w:ascii="宋体" w:hAnsi="宋体" w:cs="Times New Roman"/>
          <w:sz w:val="28"/>
          <w:szCs w:val="24"/>
        </w:rPr>
      </w:pPr>
    </w:p>
    <w:p>
      <w:pPr>
        <w:adjustRightInd w:val="0"/>
        <w:snapToGrid w:val="0"/>
        <w:spacing w:line="360" w:lineRule="auto"/>
        <w:rPr>
          <w:rFonts w:ascii="宋体" w:hAnsi="宋体" w:cs="Times New Roman"/>
          <w:sz w:val="28"/>
          <w:szCs w:val="24"/>
        </w:rPr>
      </w:pPr>
    </w:p>
    <w:p>
      <w:pPr>
        <w:spacing w:line="360" w:lineRule="auto"/>
        <w:ind w:left="950" w:hanging="950" w:hangingChars="396"/>
        <w:jc w:val="left"/>
        <w:rPr>
          <w:rFonts w:ascii="宋体" w:hAnsi="宋体" w:cs="Times New Roman"/>
          <w:sz w:val="24"/>
          <w:szCs w:val="21"/>
        </w:rPr>
      </w:pPr>
      <w:r>
        <w:rPr>
          <w:rFonts w:hint="eastAsia" w:ascii="宋体" w:hAnsi="宋体" w:cs="Times New Roman"/>
          <w:sz w:val="24"/>
          <w:szCs w:val="21"/>
        </w:rPr>
        <w:t>说明：1.组成联合体的大中型企业和其他自然人、法人或者其他组织，与小型、微型企业之间不得存在投资关系。</w:t>
      </w:r>
    </w:p>
    <w:p>
      <w:pPr>
        <w:tabs>
          <w:tab w:val="left" w:pos="882"/>
        </w:tabs>
        <w:spacing w:line="360" w:lineRule="auto"/>
        <w:ind w:left="936" w:leftChars="339" w:hanging="225" w:hangingChars="94"/>
        <w:jc w:val="left"/>
        <w:rPr>
          <w:rFonts w:ascii="宋体" w:hAnsi="宋体" w:cs="Times New Roman"/>
          <w:sz w:val="24"/>
          <w:szCs w:val="21"/>
        </w:rPr>
      </w:pPr>
      <w:r>
        <w:rPr>
          <w:rFonts w:hint="eastAsia" w:ascii="宋体" w:hAnsi="宋体" w:cs="Times New Roman"/>
          <w:sz w:val="24"/>
          <w:szCs w:val="21"/>
        </w:rPr>
        <w:t>2.以联合体方式参与本项目投标的供应商，应由联合体双方签字盖章。</w:t>
      </w:r>
    </w:p>
    <w:p>
      <w:pPr>
        <w:spacing w:line="360" w:lineRule="auto"/>
        <w:ind w:firstLine="480" w:firstLineChars="200"/>
        <w:jc w:val="left"/>
        <w:rPr>
          <w:rFonts w:ascii="宋体" w:hAnsi="宋体" w:cs="Times New Roman"/>
          <w:sz w:val="24"/>
          <w:szCs w:val="21"/>
        </w:rPr>
      </w:pPr>
    </w:p>
    <w:p>
      <w:pPr>
        <w:spacing w:line="360" w:lineRule="auto"/>
        <w:ind w:firstLine="480" w:firstLineChars="200"/>
        <w:jc w:val="left"/>
        <w:rPr>
          <w:rFonts w:ascii="宋体" w:hAnsi="宋体" w:cs="Times New Roman"/>
          <w:sz w:val="24"/>
          <w:szCs w:val="21"/>
        </w:rPr>
      </w:pPr>
    </w:p>
    <w:p>
      <w:pPr>
        <w:spacing w:line="360" w:lineRule="auto"/>
        <w:ind w:firstLine="480" w:firstLineChars="200"/>
        <w:jc w:val="left"/>
        <w:rPr>
          <w:rFonts w:ascii="宋体" w:hAnsi="宋体" w:cs="Times New Roman"/>
          <w:sz w:val="24"/>
          <w:szCs w:val="21"/>
        </w:rPr>
      </w:pPr>
    </w:p>
    <w:p>
      <w:pPr>
        <w:spacing w:before="100" w:beforeAutospacing="1" w:after="100" w:afterAutospacing="1" w:line="360" w:lineRule="auto"/>
        <w:ind w:firstLine="3316" w:firstLineChars="1382"/>
        <w:rPr>
          <w:rFonts w:ascii="宋体" w:hAnsi="宋体" w:cs="Times New Roman"/>
          <w:b/>
          <w:bCs/>
          <w:sz w:val="24"/>
          <w:szCs w:val="21"/>
          <w:u w:val="single"/>
        </w:rPr>
      </w:pPr>
      <w:r>
        <w:rPr>
          <w:rFonts w:hint="eastAsia" w:ascii="宋体" w:hAnsi="宋体" w:cs="Times New Roman"/>
          <w:b/>
          <w:bCs/>
          <w:sz w:val="24"/>
          <w:szCs w:val="21"/>
        </w:rPr>
        <w:t>投标人（公章）：</w:t>
      </w:r>
    </w:p>
    <w:p>
      <w:pPr>
        <w:spacing w:before="100" w:beforeAutospacing="1" w:after="100" w:afterAutospacing="1" w:line="360" w:lineRule="auto"/>
        <w:ind w:firstLine="3316" w:firstLineChars="1382"/>
        <w:rPr>
          <w:rFonts w:ascii="宋体" w:hAnsi="宋体" w:cs="Times New Roman"/>
          <w:b/>
          <w:bCs/>
          <w:sz w:val="24"/>
          <w:szCs w:val="21"/>
          <w:u w:val="single"/>
        </w:rPr>
      </w:pPr>
      <w:r>
        <w:rPr>
          <w:rFonts w:hint="eastAsia" w:ascii="宋体" w:hAnsi="宋体" w:cs="Times New Roman"/>
          <w:b/>
          <w:bCs/>
          <w:sz w:val="24"/>
          <w:szCs w:val="21"/>
        </w:rPr>
        <w:t>投标人授权代表（签字）：</w:t>
      </w:r>
    </w:p>
    <w:p>
      <w:pPr>
        <w:spacing w:before="100" w:beforeAutospacing="1" w:after="100" w:afterAutospacing="1" w:line="360" w:lineRule="auto"/>
        <w:ind w:firstLine="3316" w:firstLineChars="1382"/>
        <w:rPr>
          <w:rFonts w:ascii="宋体" w:hAnsi="宋体" w:cs="Times New Roman"/>
          <w:b/>
          <w:bCs/>
          <w:sz w:val="24"/>
          <w:szCs w:val="21"/>
          <w:u w:val="single"/>
        </w:rPr>
      </w:pPr>
      <w:r>
        <w:rPr>
          <w:rFonts w:hint="eastAsia" w:ascii="宋体" w:hAnsi="宋体" w:cs="Times New Roman"/>
          <w:b/>
          <w:bCs/>
          <w:sz w:val="24"/>
          <w:szCs w:val="21"/>
        </w:rPr>
        <w:t>投标时间：</w:t>
      </w:r>
    </w:p>
    <w:p>
      <w:pPr>
        <w:sectPr>
          <w:headerReference r:id="rId3" w:type="default"/>
          <w:footerReference r:id="rId4" w:type="default"/>
          <w:pgSz w:w="11906" w:h="16838"/>
          <w:pgMar w:top="1020" w:right="1191" w:bottom="1020" w:left="1191" w:header="851" w:footer="624" w:gutter="0"/>
          <w:pgBorders>
            <w:top w:val="none" w:sz="0" w:space="0"/>
            <w:left w:val="none" w:sz="0" w:space="0"/>
            <w:bottom w:val="none" w:sz="0" w:space="0"/>
            <w:right w:val="none" w:sz="0" w:space="0"/>
          </w:pgBorders>
          <w:cols w:space="720" w:num="1"/>
          <w:docGrid w:type="linesAndChars" w:linePitch="314" w:charSpace="0"/>
        </w:sectPr>
      </w:pPr>
    </w:p>
    <w:p>
      <w:pPr>
        <w:spacing w:line="240" w:lineRule="atLeast"/>
        <w:ind w:left="-48" w:leftChars="-23" w:right="-65" w:rightChars="-31"/>
        <w:jc w:val="center"/>
        <w:rPr>
          <w:rFonts w:ascii="宋体" w:hAnsi="宋体" w:cs="Times New Roman"/>
          <w:b/>
          <w:sz w:val="30"/>
          <w:szCs w:val="30"/>
        </w:rPr>
      </w:pPr>
      <w:bookmarkStart w:id="131" w:name="_Toc476153619"/>
      <w:r>
        <w:rPr>
          <w:rFonts w:hint="eastAsia" w:ascii="宋体" w:hAnsi="宋体" w:cs="Times New Roman"/>
          <w:b/>
          <w:sz w:val="30"/>
          <w:szCs w:val="30"/>
        </w:rPr>
        <w:t>中小企业划型标准</w:t>
      </w:r>
      <w:bookmarkEnd w:id="131"/>
    </w:p>
    <w:tbl>
      <w:tblPr>
        <w:tblStyle w:val="14"/>
        <w:tblW w:w="1447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blHeader/>
          <w:jc w:val="center"/>
        </w:trPr>
        <w:tc>
          <w:tcPr>
            <w:tcW w:w="490" w:type="dxa"/>
            <w:vMerge w:val="restart"/>
            <w:tcBorders>
              <w:top w:val="single" w:color="auto" w:sz="4" w:space="0"/>
              <w:left w:val="single" w:color="auto" w:sz="4" w:space="0"/>
              <w:right w:val="single" w:color="auto" w:sz="4" w:space="0"/>
            </w:tcBorders>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序号</w:t>
            </w:r>
          </w:p>
        </w:tc>
        <w:tc>
          <w:tcPr>
            <w:tcW w:w="1954" w:type="dxa"/>
            <w:vMerge w:val="restart"/>
            <w:tcBorders>
              <w:top w:val="single" w:color="auto" w:sz="4" w:space="0"/>
              <w:left w:val="nil"/>
              <w:right w:val="single" w:color="auto" w:sz="4" w:space="0"/>
            </w:tcBorders>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行业</w:t>
            </w:r>
          </w:p>
        </w:tc>
        <w:tc>
          <w:tcPr>
            <w:tcW w:w="3062" w:type="dxa"/>
            <w:gridSpan w:val="3"/>
            <w:tcBorders>
              <w:top w:val="single" w:color="auto" w:sz="4" w:space="0"/>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大型企业</w:t>
            </w:r>
          </w:p>
        </w:tc>
        <w:tc>
          <w:tcPr>
            <w:tcW w:w="3049" w:type="dxa"/>
            <w:gridSpan w:val="3"/>
            <w:tcBorders>
              <w:top w:val="single" w:color="auto" w:sz="4" w:space="0"/>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中型企业</w:t>
            </w:r>
          </w:p>
        </w:tc>
        <w:tc>
          <w:tcPr>
            <w:tcW w:w="3073" w:type="dxa"/>
            <w:gridSpan w:val="3"/>
            <w:tcBorders>
              <w:top w:val="single" w:color="auto" w:sz="4" w:space="0"/>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小型企业</w:t>
            </w:r>
          </w:p>
        </w:tc>
        <w:tc>
          <w:tcPr>
            <w:tcW w:w="2842" w:type="dxa"/>
            <w:gridSpan w:val="3"/>
            <w:tcBorders>
              <w:top w:val="single" w:color="auto" w:sz="4" w:space="0"/>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6" w:hRule="atLeast"/>
          <w:tblHeader/>
          <w:jc w:val="center"/>
        </w:trPr>
        <w:tc>
          <w:tcPr>
            <w:tcW w:w="490" w:type="dxa"/>
            <w:vMerge w:val="continue"/>
            <w:tcBorders>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kern w:val="0"/>
                <w:szCs w:val="21"/>
              </w:rPr>
            </w:pPr>
          </w:p>
        </w:tc>
        <w:tc>
          <w:tcPr>
            <w:tcW w:w="1954" w:type="dxa"/>
            <w:vMerge w:val="continue"/>
            <w:tcBorders>
              <w:left w:val="nil"/>
              <w:bottom w:val="single" w:color="auto" w:sz="4" w:space="0"/>
              <w:right w:val="single" w:color="auto" w:sz="4" w:space="0"/>
            </w:tcBorders>
            <w:vAlign w:val="center"/>
          </w:tcPr>
          <w:p>
            <w:pPr>
              <w:spacing w:line="240" w:lineRule="atLeast"/>
              <w:ind w:left="-48" w:leftChars="-23" w:right="-65" w:rightChars="-31"/>
              <w:jc w:val="left"/>
              <w:rPr>
                <w:rFonts w:ascii="宋体" w:hAnsi="宋体" w:cs="宋体"/>
                <w:b/>
                <w:kern w:val="0"/>
                <w:szCs w:val="21"/>
              </w:rPr>
            </w:pPr>
          </w:p>
        </w:tc>
        <w:tc>
          <w:tcPr>
            <w:tcW w:w="1198"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营业收入</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(万元)</w:t>
            </w:r>
          </w:p>
        </w:tc>
        <w:tc>
          <w:tcPr>
            <w:tcW w:w="923"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从业人员</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(人)</w:t>
            </w:r>
          </w:p>
        </w:tc>
        <w:tc>
          <w:tcPr>
            <w:tcW w:w="941"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总资产</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(万元)</w:t>
            </w:r>
          </w:p>
        </w:tc>
        <w:tc>
          <w:tcPr>
            <w:tcW w:w="1108"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营业收入</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(万元)</w:t>
            </w:r>
          </w:p>
        </w:tc>
        <w:tc>
          <w:tcPr>
            <w:tcW w:w="943"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从业人员</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(人)</w:t>
            </w:r>
          </w:p>
        </w:tc>
        <w:tc>
          <w:tcPr>
            <w:tcW w:w="998"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总资产</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(万元)</w:t>
            </w:r>
          </w:p>
        </w:tc>
        <w:tc>
          <w:tcPr>
            <w:tcW w:w="1108"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营业收入</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(万元)</w:t>
            </w:r>
          </w:p>
        </w:tc>
        <w:tc>
          <w:tcPr>
            <w:tcW w:w="961" w:type="dxa"/>
            <w:tcBorders>
              <w:top w:val="nil"/>
              <w:left w:val="nil"/>
              <w:bottom w:val="single" w:color="auto" w:sz="4" w:space="0"/>
              <w:right w:val="single" w:color="auto" w:sz="4" w:space="0"/>
            </w:tcBorders>
            <w:vAlign w:val="center"/>
          </w:tcPr>
          <w:p>
            <w:pPr>
              <w:spacing w:line="240" w:lineRule="atLeast"/>
              <w:ind w:left="119" w:leftChars="-23" w:right="-65" w:rightChars="-31" w:hanging="167" w:hangingChars="79"/>
              <w:jc w:val="center"/>
              <w:rPr>
                <w:rFonts w:ascii="宋体" w:hAnsi="宋体" w:cs="宋体"/>
                <w:b/>
                <w:kern w:val="0"/>
                <w:szCs w:val="21"/>
              </w:rPr>
            </w:pPr>
            <w:r>
              <w:rPr>
                <w:rFonts w:hint="eastAsia" w:ascii="宋体" w:hAnsi="宋体" w:cs="宋体"/>
                <w:b/>
                <w:kern w:val="0"/>
                <w:szCs w:val="21"/>
              </w:rPr>
              <w:t>从业人员</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(人)</w:t>
            </w:r>
          </w:p>
        </w:tc>
        <w:tc>
          <w:tcPr>
            <w:tcW w:w="1004"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总资产</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(万元)</w:t>
            </w:r>
          </w:p>
        </w:tc>
        <w:tc>
          <w:tcPr>
            <w:tcW w:w="1108"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营业收入</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(万元)</w:t>
            </w:r>
          </w:p>
        </w:tc>
        <w:tc>
          <w:tcPr>
            <w:tcW w:w="883"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从业人员</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(人)</w:t>
            </w:r>
          </w:p>
        </w:tc>
        <w:tc>
          <w:tcPr>
            <w:tcW w:w="851" w:type="dxa"/>
            <w:tcBorders>
              <w:top w:val="nil"/>
              <w:left w:val="nil"/>
              <w:bottom w:val="single" w:color="auto" w:sz="4" w:space="0"/>
              <w:right w:val="single" w:color="auto" w:sz="4" w:space="0"/>
            </w:tcBorders>
            <w:vAlign w:val="center"/>
          </w:tcPr>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总资产</w:t>
            </w:r>
          </w:p>
          <w:p>
            <w:pPr>
              <w:spacing w:line="240" w:lineRule="atLeast"/>
              <w:ind w:left="-48" w:leftChars="-23" w:right="-65" w:rightChars="-31"/>
              <w:jc w:val="center"/>
              <w:rPr>
                <w:rFonts w:ascii="宋体" w:hAnsi="宋体" w:cs="宋体"/>
                <w:b/>
                <w:kern w:val="0"/>
                <w:szCs w:val="21"/>
              </w:rPr>
            </w:pPr>
            <w:r>
              <w:rPr>
                <w:rFonts w:hint="eastAsia" w:ascii="宋体" w:hAnsi="宋体" w:cs="宋体"/>
                <w:b/>
                <w:kern w:val="0"/>
                <w:szCs w:val="21"/>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490" w:type="dxa"/>
            <w:tcBorders>
              <w:top w:val="single" w:color="auto" w:sz="4" w:space="0"/>
              <w:left w:val="single" w:color="auto" w:sz="4" w:space="0"/>
              <w:bottom w:val="single" w:color="auto" w:sz="4" w:space="0"/>
              <w:right w:val="single" w:color="auto" w:sz="4" w:space="0"/>
            </w:tcBorders>
            <w:vAlign w:val="center"/>
          </w:tcPr>
          <w:p>
            <w:pPr>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1</w:t>
            </w:r>
          </w:p>
        </w:tc>
        <w:tc>
          <w:tcPr>
            <w:tcW w:w="1954" w:type="dxa"/>
            <w:tcBorders>
              <w:top w:val="single" w:color="auto" w:sz="4" w:space="0"/>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农、林、牧、渔业</w:t>
            </w:r>
          </w:p>
        </w:tc>
        <w:tc>
          <w:tcPr>
            <w:tcW w:w="1198" w:type="dxa"/>
            <w:tcBorders>
              <w:top w:val="single" w:color="auto" w:sz="4" w:space="0"/>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≥500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≥50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＜50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2</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工业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≥40000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≥300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＜300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3</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建筑业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≥80000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≥80000</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≥5000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≥5000</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≥300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≥300</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＜300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4</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批发业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≥40000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≥5000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＜5</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5</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零售业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≥500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≥50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6</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交通运输业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7</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仓储业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8</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邮政业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9</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住宿业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10</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餐饮业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11</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信息传输业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12</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软件和信息技术服务业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≥50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＜50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13</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房地产开发经验</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≥200000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或,≥10000</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且,≥5000</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且,≥2000</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或,＜2000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14</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物业管理</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≥5000</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≥1000</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≥500</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＜500</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15</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租赁和商务服务业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或,≥120000</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且,≥8000</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且,≥100</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或,＜100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b/>
                <w:kern w:val="0"/>
                <w:szCs w:val="21"/>
              </w:rPr>
            </w:pPr>
            <w:r>
              <w:rPr>
                <w:rFonts w:hint="eastAsia" w:ascii="宋体" w:hAnsi="宋体" w:cs="宋体"/>
                <w:b/>
                <w:kern w:val="0"/>
                <w:szCs w:val="21"/>
              </w:rPr>
              <w:t>16</w:t>
            </w:r>
          </w:p>
        </w:tc>
        <w:tc>
          <w:tcPr>
            <w:tcW w:w="1954" w:type="dxa"/>
            <w:tcBorders>
              <w:top w:val="nil"/>
              <w:left w:val="nil"/>
              <w:bottom w:val="single" w:color="auto" w:sz="4" w:space="0"/>
              <w:right w:val="single" w:color="auto" w:sz="4" w:space="0"/>
            </w:tcBorders>
            <w:vAlign w:val="center"/>
          </w:tcPr>
          <w:p>
            <w:pPr>
              <w:spacing w:line="240" w:lineRule="atLeast"/>
              <w:ind w:left="-27" w:leftChars="-13" w:right="-65" w:rightChars="-31"/>
              <w:jc w:val="left"/>
              <w:rPr>
                <w:rFonts w:ascii="宋体" w:hAnsi="宋体" w:cs="宋体"/>
                <w:b/>
                <w:kern w:val="0"/>
                <w:szCs w:val="21"/>
              </w:rPr>
            </w:pPr>
            <w:r>
              <w:rPr>
                <w:rFonts w:hint="eastAsia" w:ascii="宋体" w:hAnsi="宋体" w:cs="宋体"/>
                <w:b/>
                <w:kern w:val="0"/>
                <w:szCs w:val="21"/>
              </w:rPr>
              <w:t>其他未列明行业</w:t>
            </w:r>
          </w:p>
        </w:tc>
        <w:tc>
          <w:tcPr>
            <w:tcW w:w="119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2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≥300</w:t>
            </w:r>
          </w:p>
        </w:tc>
        <w:tc>
          <w:tcPr>
            <w:tcW w:w="941"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　</w:t>
            </w:r>
          </w:p>
        </w:tc>
        <w:tc>
          <w:tcPr>
            <w:tcW w:w="943" w:type="dxa"/>
            <w:tcBorders>
              <w:top w:val="nil"/>
              <w:left w:val="nil"/>
              <w:bottom w:val="single" w:color="auto" w:sz="4" w:space="0"/>
              <w:right w:val="single" w:color="auto" w:sz="4" w:space="0"/>
            </w:tcBorders>
            <w:vAlign w:val="center"/>
          </w:tcPr>
          <w:p>
            <w:pPr>
              <w:widowControl/>
              <w:spacing w:line="240" w:lineRule="atLeast"/>
              <w:ind w:left="-107" w:leftChars="-51" w:right="-107" w:rightChars="-51"/>
              <w:jc w:val="center"/>
              <w:rPr>
                <w:rFonts w:ascii="宋体" w:hAnsi="宋体" w:cs="宋体"/>
                <w:kern w:val="0"/>
                <w:szCs w:val="21"/>
              </w:rPr>
            </w:pPr>
            <w:r>
              <w:rPr>
                <w:rFonts w:hint="eastAsia" w:ascii="宋体" w:hAnsi="宋体" w:cs="宋体"/>
                <w:kern w:val="0"/>
                <w:szCs w:val="21"/>
              </w:rPr>
              <w:t>≥100</w:t>
            </w:r>
          </w:p>
        </w:tc>
        <w:tc>
          <w:tcPr>
            <w:tcW w:w="99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96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1004"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1108"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c>
          <w:tcPr>
            <w:tcW w:w="883"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85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w:t>
            </w:r>
          </w:p>
        </w:tc>
      </w:tr>
    </w:tbl>
    <w:p>
      <w:pPr>
        <w:sectPr>
          <w:pgSz w:w="16838" w:h="11906" w:orient="landscape"/>
          <w:pgMar w:top="1191" w:right="1134" w:bottom="1191" w:left="1134" w:header="851" w:footer="851" w:gutter="0"/>
          <w:pgBorders>
            <w:top w:val="none" w:sz="0" w:space="0"/>
            <w:left w:val="none" w:sz="0" w:space="0"/>
            <w:bottom w:val="none" w:sz="0" w:space="0"/>
            <w:right w:val="none" w:sz="0" w:space="0"/>
          </w:pgBorders>
          <w:cols w:space="720" w:num="1"/>
          <w:docGrid w:type="lines" w:linePitch="312" w:charSpace="0"/>
        </w:sectPr>
      </w:pPr>
    </w:p>
    <w:p>
      <w:pPr>
        <w:pStyle w:val="3"/>
        <w:numPr>
          <w:ilvl w:val="0"/>
          <w:numId w:val="56"/>
        </w:numPr>
        <w:spacing w:before="100" w:beforeAutospacing="1" w:afterLines="50" w:line="360" w:lineRule="auto"/>
        <w:ind w:left="1288" w:hanging="1288"/>
        <w:rPr>
          <w:rFonts w:ascii="宋体" w:hAnsi="宋体"/>
        </w:rPr>
      </w:pPr>
      <w:bookmarkStart w:id="132" w:name="_Toc494721104"/>
      <w:bookmarkStart w:id="133" w:name="_Toc494745321"/>
      <w:bookmarkStart w:id="134" w:name="_Toc494665954"/>
      <w:bookmarkStart w:id="135" w:name="_Toc494702274"/>
      <w:bookmarkStart w:id="136" w:name="_Toc497459204"/>
      <w:bookmarkStart w:id="137" w:name="_Toc494665557"/>
      <w:bookmarkStart w:id="138" w:name="_Toc494665004"/>
      <w:r>
        <w:rPr>
          <w:rFonts w:hint="eastAsia" w:ascii="宋体" w:hAnsi="宋体"/>
        </w:rPr>
        <w:t>残疾人福利性单位声明函</w:t>
      </w:r>
      <w:bookmarkEnd w:id="132"/>
      <w:bookmarkEnd w:id="133"/>
      <w:bookmarkEnd w:id="134"/>
      <w:bookmarkEnd w:id="135"/>
      <w:bookmarkEnd w:id="136"/>
      <w:bookmarkEnd w:id="137"/>
      <w:bookmarkEnd w:id="138"/>
    </w:p>
    <w:p>
      <w:pPr>
        <w:adjustRightInd w:val="0"/>
        <w:snapToGrid w:val="0"/>
        <w:jc w:val="center"/>
        <w:rPr>
          <w:rFonts w:ascii="宋体" w:hAnsi="宋体" w:cs="Times New Roman"/>
          <w:b/>
          <w:sz w:val="30"/>
          <w:szCs w:val="30"/>
        </w:rPr>
      </w:pPr>
      <w:r>
        <w:rPr>
          <w:rFonts w:hint="eastAsia" w:ascii="宋体" w:hAnsi="宋体" w:cs="Times New Roman"/>
          <w:b/>
          <w:sz w:val="30"/>
          <w:szCs w:val="30"/>
        </w:rPr>
        <w:t>残疾人福利性单位声明函</w:t>
      </w:r>
    </w:p>
    <w:p>
      <w:pPr>
        <w:adjustRightInd w:val="0"/>
        <w:snapToGrid w:val="0"/>
        <w:spacing w:beforeLines="50" w:afterLines="50"/>
        <w:jc w:val="center"/>
        <w:rPr>
          <w:rFonts w:ascii="宋体" w:hAnsi="Courier New" w:cs="Times New Roman"/>
          <w:sz w:val="24"/>
          <w:szCs w:val="21"/>
        </w:rPr>
      </w:pPr>
      <w:r>
        <w:rPr>
          <w:rFonts w:hint="eastAsia" w:ascii="宋体" w:hAnsi="Courier New" w:cs="Times New Roman"/>
          <w:sz w:val="24"/>
          <w:szCs w:val="21"/>
        </w:rPr>
        <w:t>（适用于货物类项目）</w:t>
      </w:r>
    </w:p>
    <w:p>
      <w:pPr>
        <w:pStyle w:val="26"/>
        <w:spacing w:line="360" w:lineRule="auto"/>
        <w:rPr>
          <w:rFonts w:hAnsi="宋体"/>
          <w:b/>
          <w:sz w:val="28"/>
          <w:szCs w:val="28"/>
        </w:rPr>
      </w:pPr>
      <w:r>
        <w:rPr>
          <w:rFonts w:hint="eastAsia" w:hAnsi="宋体"/>
          <w:b/>
          <w:sz w:val="28"/>
          <w:szCs w:val="28"/>
        </w:rPr>
        <w:t>采购代理机构：</w:t>
      </w:r>
    </w:p>
    <w:p>
      <w:pPr>
        <w:pStyle w:val="26"/>
        <w:spacing w:line="360" w:lineRule="auto"/>
        <w:ind w:firstLine="475" w:firstLineChars="198"/>
        <w:jc w:val="left"/>
        <w:rPr>
          <w:rFonts w:hAnsi="宋体"/>
          <w:sz w:val="24"/>
        </w:rPr>
      </w:pPr>
      <w:r>
        <w:rPr>
          <w:rFonts w:hint="eastAsia" w:hAnsi="宋体"/>
          <w:sz w:val="24"/>
        </w:rPr>
        <w:t>本单位郑重声明，根据《财政部 民政部 中国残疾人联合会关于促进残疾人就业政府采购政策的通知》（财库〔2017〕141号）的规定，本</w:t>
      </w:r>
      <w:r>
        <w:rPr>
          <w:rFonts w:hint="eastAsia" w:hAnsi="宋体"/>
          <w:color w:val="0C0C0C"/>
          <w:sz w:val="24"/>
        </w:rPr>
        <w:t>单位为符合条件的残疾人福利性单位（详见“残疾人福利性单位应当满足的条件”）。</w:t>
      </w:r>
    </w:p>
    <w:p>
      <w:pPr>
        <w:pStyle w:val="26"/>
        <w:spacing w:line="360" w:lineRule="auto"/>
        <w:ind w:firstLine="475" w:firstLineChars="198"/>
        <w:jc w:val="left"/>
        <w:rPr>
          <w:rFonts w:hAnsi="宋体"/>
          <w:sz w:val="24"/>
        </w:rPr>
      </w:pPr>
      <w:r>
        <w:rPr>
          <w:rFonts w:hint="eastAsia" w:hAnsi="宋体"/>
          <w:sz w:val="24"/>
        </w:rPr>
        <w:t>1.本单位授权</w:t>
      </w:r>
      <w:r>
        <w:rPr>
          <w:rFonts w:hint="eastAsia" w:hAnsi="宋体"/>
          <w:sz w:val="24"/>
          <w:u w:val="single"/>
        </w:rPr>
        <w:t xml:space="preserve">（投标人） </w:t>
      </w:r>
      <w:r>
        <w:rPr>
          <w:rFonts w:hint="eastAsia" w:hAnsi="宋体"/>
          <w:sz w:val="24"/>
        </w:rPr>
        <w:t>参加_</w:t>
      </w:r>
      <w:r>
        <w:rPr>
          <w:rFonts w:hint="eastAsia" w:hAnsi="宋体"/>
          <w:sz w:val="24"/>
          <w:u w:val="single"/>
        </w:rPr>
        <w:t>（采购人）</w:t>
      </w:r>
      <w:r>
        <w:rPr>
          <w:rFonts w:hint="eastAsia" w:hAnsi="宋体"/>
          <w:sz w:val="24"/>
        </w:rPr>
        <w:t>的__</w:t>
      </w:r>
      <w:r>
        <w:rPr>
          <w:rFonts w:hint="eastAsia" w:hAnsi="宋体"/>
          <w:sz w:val="24"/>
          <w:u w:val="single"/>
        </w:rPr>
        <w:t>_ _</w:t>
      </w:r>
      <w:r>
        <w:rPr>
          <w:rFonts w:hint="eastAsia" w:hAnsi="宋体"/>
          <w:sz w:val="24"/>
        </w:rPr>
        <w:t>项目（项目编号：_____）采购活动提供本单位制造的货物。本条所称货物不包括使用非残疾人福利性单位注册商标的货物。</w:t>
      </w:r>
    </w:p>
    <w:p>
      <w:pPr>
        <w:spacing w:line="360" w:lineRule="auto"/>
        <w:ind w:firstLine="480" w:firstLineChars="200"/>
        <w:rPr>
          <w:rFonts w:ascii="宋体" w:hAnsi="宋体"/>
          <w:bCs/>
          <w:color w:val="0D0D0D"/>
          <w:sz w:val="24"/>
        </w:rPr>
      </w:pPr>
      <w:r>
        <w:rPr>
          <w:rFonts w:hint="eastAsia" w:ascii="宋体" w:hAnsi="宋体"/>
          <w:bCs/>
          <w:sz w:val="24"/>
        </w:rPr>
        <w:t>2.由本单位制造的</w:t>
      </w:r>
      <w:r>
        <w:rPr>
          <w:rFonts w:hint="eastAsia" w:ascii="宋体" w:hAnsi="宋体"/>
          <w:bCs/>
          <w:color w:val="0D0D0D"/>
          <w:sz w:val="24"/>
        </w:rPr>
        <w:t>货物清单见下表：</w:t>
      </w:r>
    </w:p>
    <w:tbl>
      <w:tblPr>
        <w:tblStyle w:val="14"/>
        <w:tblW w:w="954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414"/>
        <w:gridCol w:w="1224"/>
        <w:gridCol w:w="907"/>
        <w:gridCol w:w="1278"/>
        <w:gridCol w:w="1843"/>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2" w:type="dxa"/>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序号</w:t>
            </w:r>
          </w:p>
        </w:tc>
        <w:tc>
          <w:tcPr>
            <w:tcW w:w="2414" w:type="dxa"/>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名称</w:t>
            </w:r>
          </w:p>
        </w:tc>
        <w:tc>
          <w:tcPr>
            <w:tcW w:w="1224" w:type="dxa"/>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品牌规格型号</w:t>
            </w:r>
          </w:p>
        </w:tc>
        <w:tc>
          <w:tcPr>
            <w:tcW w:w="907" w:type="dxa"/>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数量</w:t>
            </w:r>
          </w:p>
        </w:tc>
        <w:tc>
          <w:tcPr>
            <w:tcW w:w="1278" w:type="dxa"/>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单价(元)</w:t>
            </w:r>
          </w:p>
        </w:tc>
        <w:tc>
          <w:tcPr>
            <w:tcW w:w="1843" w:type="dxa"/>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分项合计(元)</w:t>
            </w:r>
          </w:p>
        </w:tc>
        <w:tc>
          <w:tcPr>
            <w:tcW w:w="1228" w:type="dxa"/>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2" w:type="dxa"/>
            <w:vAlign w:val="center"/>
          </w:tcPr>
          <w:p>
            <w:pPr>
              <w:numPr>
                <w:ilvl w:val="0"/>
                <w:numId w:val="58"/>
              </w:numPr>
              <w:tabs>
                <w:tab w:val="left" w:pos="82"/>
              </w:tabs>
              <w:adjustRightInd w:val="0"/>
              <w:snapToGrid w:val="0"/>
              <w:jc w:val="center"/>
              <w:rPr>
                <w:rFonts w:ascii="宋体" w:hAnsi="宋体"/>
                <w:sz w:val="24"/>
              </w:rPr>
            </w:pPr>
          </w:p>
        </w:tc>
        <w:tc>
          <w:tcPr>
            <w:tcW w:w="2414" w:type="dxa"/>
            <w:vAlign w:val="center"/>
          </w:tcPr>
          <w:p>
            <w:pPr>
              <w:spacing w:line="240" w:lineRule="atLeast"/>
              <w:ind w:left="-48" w:leftChars="-23" w:right="-65" w:rightChars="-31"/>
              <w:jc w:val="left"/>
              <w:rPr>
                <w:rFonts w:ascii="宋体" w:hAnsi="宋体" w:cs="宋体"/>
                <w:color w:val="0D0D0D"/>
                <w:kern w:val="0"/>
                <w:sz w:val="24"/>
                <w:szCs w:val="24"/>
              </w:rPr>
            </w:pPr>
          </w:p>
        </w:tc>
        <w:tc>
          <w:tcPr>
            <w:tcW w:w="1224" w:type="dxa"/>
            <w:vAlign w:val="center"/>
          </w:tcPr>
          <w:p>
            <w:pPr>
              <w:spacing w:line="240" w:lineRule="atLeast"/>
              <w:ind w:left="-48" w:leftChars="-23" w:right="-65" w:rightChars="-31"/>
              <w:jc w:val="left"/>
              <w:rPr>
                <w:rFonts w:ascii="宋体" w:hAnsi="宋体" w:cs="宋体"/>
                <w:color w:val="0D0D0D"/>
                <w:kern w:val="0"/>
                <w:sz w:val="24"/>
                <w:szCs w:val="24"/>
              </w:rPr>
            </w:pPr>
          </w:p>
        </w:tc>
        <w:tc>
          <w:tcPr>
            <w:tcW w:w="907" w:type="dxa"/>
            <w:vAlign w:val="center"/>
          </w:tcPr>
          <w:p>
            <w:pPr>
              <w:spacing w:line="240" w:lineRule="atLeast"/>
              <w:ind w:left="-48" w:leftChars="-23" w:right="-375" w:rightChars="-179"/>
              <w:jc w:val="center"/>
              <w:rPr>
                <w:rFonts w:ascii="宋体" w:hAnsi="宋体" w:cs="宋体"/>
                <w:color w:val="0D0D0D"/>
                <w:kern w:val="0"/>
                <w:sz w:val="24"/>
                <w:szCs w:val="24"/>
              </w:rPr>
            </w:pPr>
          </w:p>
        </w:tc>
        <w:tc>
          <w:tcPr>
            <w:tcW w:w="1278"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843" w:type="dxa"/>
            <w:vAlign w:val="center"/>
          </w:tcPr>
          <w:p>
            <w:pPr>
              <w:spacing w:line="240" w:lineRule="atLeast"/>
              <w:ind w:left="-48" w:leftChars="-23" w:right="-65" w:rightChars="-31"/>
              <w:jc w:val="left"/>
              <w:rPr>
                <w:rFonts w:ascii="宋体" w:hAnsi="宋体" w:cs="宋体"/>
                <w:color w:val="0D0D0D"/>
                <w:kern w:val="0"/>
                <w:sz w:val="24"/>
                <w:szCs w:val="24"/>
              </w:rPr>
            </w:pPr>
          </w:p>
        </w:tc>
        <w:tc>
          <w:tcPr>
            <w:tcW w:w="1228" w:type="dxa"/>
            <w:vAlign w:val="center"/>
          </w:tcPr>
          <w:p>
            <w:pPr>
              <w:spacing w:line="240" w:lineRule="atLeast"/>
              <w:ind w:left="-48" w:leftChars="-23" w:right="-65" w:rightChars="-31"/>
              <w:jc w:val="center"/>
              <w:rPr>
                <w:rFonts w:ascii="宋体" w:hAnsi="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2" w:type="dxa"/>
            <w:vAlign w:val="center"/>
          </w:tcPr>
          <w:p>
            <w:pPr>
              <w:numPr>
                <w:ilvl w:val="0"/>
                <w:numId w:val="58"/>
              </w:numPr>
              <w:tabs>
                <w:tab w:val="left" w:pos="82"/>
              </w:tabs>
              <w:adjustRightInd w:val="0"/>
              <w:snapToGrid w:val="0"/>
              <w:ind w:left="-2" w:firstLine="2"/>
              <w:jc w:val="center"/>
              <w:rPr>
                <w:rFonts w:ascii="宋体" w:hAnsi="宋体"/>
                <w:sz w:val="24"/>
              </w:rPr>
            </w:pPr>
          </w:p>
        </w:tc>
        <w:tc>
          <w:tcPr>
            <w:tcW w:w="2414" w:type="dxa"/>
            <w:vAlign w:val="center"/>
          </w:tcPr>
          <w:p>
            <w:pPr>
              <w:spacing w:line="240" w:lineRule="atLeast"/>
              <w:ind w:left="-48" w:leftChars="-23" w:right="-65" w:rightChars="-31"/>
              <w:jc w:val="left"/>
              <w:rPr>
                <w:rFonts w:ascii="宋体" w:hAnsi="宋体" w:cs="宋体"/>
                <w:color w:val="0D0D0D"/>
                <w:kern w:val="0"/>
                <w:sz w:val="24"/>
                <w:szCs w:val="24"/>
              </w:rPr>
            </w:pPr>
          </w:p>
        </w:tc>
        <w:tc>
          <w:tcPr>
            <w:tcW w:w="1224" w:type="dxa"/>
            <w:vAlign w:val="center"/>
          </w:tcPr>
          <w:p>
            <w:pPr>
              <w:spacing w:line="240" w:lineRule="atLeast"/>
              <w:ind w:left="-48" w:leftChars="-23" w:right="-65" w:rightChars="-31"/>
              <w:jc w:val="left"/>
              <w:rPr>
                <w:rFonts w:ascii="宋体" w:hAnsi="宋体" w:cs="宋体"/>
                <w:color w:val="0D0D0D"/>
                <w:kern w:val="0"/>
                <w:sz w:val="24"/>
                <w:szCs w:val="24"/>
              </w:rPr>
            </w:pPr>
          </w:p>
        </w:tc>
        <w:tc>
          <w:tcPr>
            <w:tcW w:w="907"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278"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843" w:type="dxa"/>
            <w:vAlign w:val="center"/>
          </w:tcPr>
          <w:p>
            <w:pPr>
              <w:spacing w:line="240" w:lineRule="atLeast"/>
              <w:ind w:left="-48" w:leftChars="-23" w:right="-65" w:rightChars="-31"/>
              <w:jc w:val="left"/>
              <w:rPr>
                <w:rFonts w:ascii="宋体" w:hAnsi="宋体" w:cs="宋体"/>
                <w:color w:val="0D0D0D"/>
                <w:kern w:val="0"/>
                <w:sz w:val="24"/>
                <w:szCs w:val="24"/>
              </w:rPr>
            </w:pPr>
          </w:p>
        </w:tc>
        <w:tc>
          <w:tcPr>
            <w:tcW w:w="1228" w:type="dxa"/>
            <w:vAlign w:val="center"/>
          </w:tcPr>
          <w:p>
            <w:pPr>
              <w:spacing w:line="240" w:lineRule="atLeast"/>
              <w:ind w:left="-48" w:leftChars="-23" w:right="-65" w:rightChars="-31"/>
              <w:jc w:val="center"/>
              <w:rPr>
                <w:rFonts w:ascii="宋体" w:hAnsi="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2" w:type="dxa"/>
            <w:vAlign w:val="center"/>
          </w:tcPr>
          <w:p>
            <w:pPr>
              <w:tabs>
                <w:tab w:val="left" w:pos="82"/>
              </w:tabs>
              <w:adjustRightInd w:val="0"/>
              <w:snapToGrid w:val="0"/>
              <w:jc w:val="center"/>
              <w:rPr>
                <w:rFonts w:ascii="宋体" w:hAnsi="宋体"/>
                <w:sz w:val="24"/>
              </w:rPr>
            </w:pPr>
            <w:r>
              <w:rPr>
                <w:rFonts w:hint="eastAsia" w:ascii="宋体" w:hAnsi="宋体"/>
                <w:sz w:val="24"/>
              </w:rPr>
              <w:t>…</w:t>
            </w:r>
          </w:p>
        </w:tc>
        <w:tc>
          <w:tcPr>
            <w:tcW w:w="2414" w:type="dxa"/>
            <w:vAlign w:val="center"/>
          </w:tcPr>
          <w:p>
            <w:pPr>
              <w:spacing w:line="240" w:lineRule="atLeast"/>
              <w:ind w:left="-48" w:leftChars="-23" w:right="-65" w:rightChars="-31"/>
              <w:jc w:val="left"/>
              <w:rPr>
                <w:rFonts w:ascii="宋体" w:hAnsi="宋体" w:cs="宋体"/>
                <w:color w:val="0D0D0D"/>
                <w:kern w:val="0"/>
                <w:sz w:val="24"/>
                <w:szCs w:val="24"/>
              </w:rPr>
            </w:pPr>
          </w:p>
        </w:tc>
        <w:tc>
          <w:tcPr>
            <w:tcW w:w="1224" w:type="dxa"/>
            <w:vAlign w:val="center"/>
          </w:tcPr>
          <w:p>
            <w:pPr>
              <w:spacing w:line="240" w:lineRule="atLeast"/>
              <w:ind w:left="-48" w:leftChars="-23" w:right="-65" w:rightChars="-31"/>
              <w:jc w:val="left"/>
              <w:rPr>
                <w:rFonts w:ascii="宋体" w:hAnsi="宋体" w:cs="宋体"/>
                <w:color w:val="0D0D0D"/>
                <w:kern w:val="0"/>
                <w:sz w:val="24"/>
                <w:szCs w:val="24"/>
              </w:rPr>
            </w:pPr>
          </w:p>
        </w:tc>
        <w:tc>
          <w:tcPr>
            <w:tcW w:w="907"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278"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843" w:type="dxa"/>
            <w:vAlign w:val="center"/>
          </w:tcPr>
          <w:p>
            <w:pPr>
              <w:spacing w:line="240" w:lineRule="atLeast"/>
              <w:ind w:left="-48" w:leftChars="-23" w:right="-65" w:rightChars="-31"/>
              <w:jc w:val="left"/>
              <w:rPr>
                <w:rFonts w:ascii="宋体" w:hAnsi="宋体" w:cs="宋体"/>
                <w:color w:val="0D0D0D"/>
                <w:kern w:val="0"/>
                <w:sz w:val="24"/>
                <w:szCs w:val="24"/>
              </w:rPr>
            </w:pPr>
          </w:p>
        </w:tc>
        <w:tc>
          <w:tcPr>
            <w:tcW w:w="1228" w:type="dxa"/>
            <w:vAlign w:val="center"/>
          </w:tcPr>
          <w:p>
            <w:pPr>
              <w:spacing w:line="240" w:lineRule="atLeast"/>
              <w:ind w:left="-48" w:leftChars="-23" w:right="-65" w:rightChars="-31"/>
              <w:jc w:val="center"/>
              <w:rPr>
                <w:rFonts w:ascii="宋体" w:hAnsi="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475" w:type="dxa"/>
            <w:gridSpan w:val="5"/>
            <w:vAlign w:val="center"/>
          </w:tcPr>
          <w:p>
            <w:pPr>
              <w:spacing w:line="240" w:lineRule="atLeast"/>
              <w:ind w:left="-48" w:leftChars="-23" w:right="-65" w:rightChars="-31"/>
              <w:jc w:val="center"/>
              <w:rPr>
                <w:rFonts w:ascii="宋体" w:hAnsi="宋体" w:cs="宋体"/>
                <w:color w:val="0D0D0D"/>
                <w:kern w:val="0"/>
                <w:sz w:val="24"/>
                <w:szCs w:val="24"/>
              </w:rPr>
            </w:pPr>
            <w:r>
              <w:rPr>
                <w:rFonts w:hint="eastAsia" w:ascii="宋体" w:hAnsi="宋体" w:cs="宋体"/>
                <w:color w:val="0D0D0D"/>
                <w:kern w:val="0"/>
                <w:sz w:val="24"/>
                <w:szCs w:val="24"/>
              </w:rPr>
              <w:t>合计</w:t>
            </w:r>
          </w:p>
        </w:tc>
        <w:tc>
          <w:tcPr>
            <w:tcW w:w="3071" w:type="dxa"/>
            <w:gridSpan w:val="2"/>
            <w:vAlign w:val="center"/>
          </w:tcPr>
          <w:p>
            <w:pPr>
              <w:spacing w:line="240" w:lineRule="atLeast"/>
              <w:ind w:left="-48" w:leftChars="-23" w:right="-65" w:rightChars="-31"/>
              <w:jc w:val="left"/>
              <w:rPr>
                <w:rFonts w:ascii="宋体" w:hAnsi="宋体" w:cs="宋体"/>
                <w:color w:val="0D0D0D"/>
                <w:kern w:val="0"/>
                <w:sz w:val="24"/>
                <w:szCs w:val="24"/>
              </w:rPr>
            </w:pPr>
          </w:p>
        </w:tc>
      </w:tr>
    </w:tbl>
    <w:p>
      <w:pPr>
        <w:spacing w:line="360" w:lineRule="auto"/>
        <w:ind w:firstLine="480" w:firstLineChars="200"/>
        <w:rPr>
          <w:rFonts w:ascii="宋体" w:hAnsi="宋体" w:cs="Times New Roman"/>
          <w:sz w:val="24"/>
          <w:szCs w:val="24"/>
        </w:rPr>
      </w:pPr>
      <w:r>
        <w:rPr>
          <w:rFonts w:hint="eastAsia" w:ascii="宋体" w:hAnsi="宋体" w:cs="Times New Roman"/>
          <w:sz w:val="24"/>
          <w:szCs w:val="24"/>
        </w:rPr>
        <w:t>本单位对上述声明的真实性负责。如有虚假，将依法承担相应责任。</w:t>
      </w:r>
    </w:p>
    <w:p>
      <w:pPr>
        <w:spacing w:line="360" w:lineRule="auto"/>
        <w:rPr>
          <w:rFonts w:ascii="宋体" w:hAnsi="宋体" w:cs="Times New Roman"/>
          <w:bCs/>
          <w:color w:val="0C0C0C"/>
          <w:sz w:val="24"/>
          <w:szCs w:val="24"/>
        </w:rPr>
      </w:pPr>
    </w:p>
    <w:p>
      <w:pPr>
        <w:pStyle w:val="26"/>
        <w:spacing w:line="360" w:lineRule="auto"/>
        <w:jc w:val="left"/>
        <w:rPr>
          <w:rFonts w:hAnsi="宋体" w:cs="Corbel"/>
          <w:color w:val="0C0C0C"/>
          <w:sz w:val="24"/>
        </w:rPr>
      </w:pPr>
      <w:r>
        <w:rPr>
          <w:rFonts w:hint="eastAsia" w:hAnsi="宋体" w:cs="Times New Roman"/>
          <w:bCs/>
          <w:color w:val="0C0C0C"/>
          <w:sz w:val="24"/>
          <w:szCs w:val="24"/>
        </w:rPr>
        <w:t>说明：</w:t>
      </w:r>
      <w:r>
        <w:rPr>
          <w:rFonts w:hint="eastAsia" w:hAnsi="宋体" w:cs="Corbel"/>
          <w:color w:val="0C0C0C"/>
          <w:sz w:val="24"/>
        </w:rPr>
        <w:t>1、投标人所投货物为自己制造的，也应按本声明函格式填写。</w:t>
      </w:r>
    </w:p>
    <w:p>
      <w:pPr>
        <w:pStyle w:val="26"/>
        <w:spacing w:line="360" w:lineRule="auto"/>
        <w:ind w:left="1078" w:leftChars="342" w:hanging="360" w:hangingChars="150"/>
        <w:jc w:val="left"/>
        <w:rPr>
          <w:rFonts w:hAnsi="宋体"/>
          <w:color w:val="0C0C0C"/>
          <w:sz w:val="24"/>
        </w:rPr>
      </w:pPr>
      <w:r>
        <w:rPr>
          <w:rFonts w:hint="eastAsia" w:hAnsi="宋体"/>
          <w:color w:val="0C0C0C"/>
          <w:sz w:val="24"/>
        </w:rPr>
        <w:t>2、组成联合体的大中型企业和其他自然人、法人或者其他组织，与残疾人福利性单位之间不得存在投资关系。</w:t>
      </w:r>
    </w:p>
    <w:p>
      <w:pPr>
        <w:pStyle w:val="26"/>
        <w:spacing w:line="360" w:lineRule="auto"/>
        <w:ind w:left="1078" w:leftChars="342" w:hanging="360" w:hangingChars="150"/>
        <w:jc w:val="left"/>
        <w:rPr>
          <w:rFonts w:hAnsi="宋体"/>
          <w:color w:val="0C0C0C"/>
          <w:sz w:val="24"/>
        </w:rPr>
      </w:pPr>
      <w:r>
        <w:rPr>
          <w:rFonts w:hint="eastAsia" w:hAnsi="宋体"/>
          <w:color w:val="0C0C0C"/>
          <w:sz w:val="24"/>
        </w:rPr>
        <w:t>3、以联合体方式参与本项目投标的供应商，应由联合体双方签字盖章。</w:t>
      </w:r>
    </w:p>
    <w:p>
      <w:pPr>
        <w:spacing w:line="360" w:lineRule="auto"/>
        <w:rPr>
          <w:rFonts w:ascii="宋体" w:hAnsi="宋体"/>
          <w:sz w:val="24"/>
        </w:rPr>
      </w:pPr>
    </w:p>
    <w:p>
      <w:pPr>
        <w:spacing w:before="100" w:beforeAutospacing="1" w:after="100" w:afterAutospacing="1" w:line="360" w:lineRule="auto"/>
        <w:ind w:firstLine="3316" w:firstLineChars="1382"/>
        <w:rPr>
          <w:rFonts w:ascii="宋体" w:hAnsi="宋体" w:cs="Times New Roman"/>
          <w:b/>
          <w:bCs/>
          <w:sz w:val="24"/>
          <w:szCs w:val="21"/>
        </w:rPr>
      </w:pPr>
      <w:r>
        <w:rPr>
          <w:rFonts w:hint="eastAsia" w:ascii="宋体" w:hAnsi="宋体" w:cs="Times New Roman"/>
          <w:b/>
          <w:bCs/>
          <w:sz w:val="24"/>
          <w:szCs w:val="21"/>
        </w:rPr>
        <w:t>制造商（公章）：</w:t>
      </w:r>
    </w:p>
    <w:p>
      <w:pPr>
        <w:spacing w:before="100" w:beforeAutospacing="1" w:after="100" w:afterAutospacing="1" w:line="360" w:lineRule="auto"/>
        <w:ind w:firstLine="3316" w:firstLineChars="1382"/>
        <w:rPr>
          <w:rFonts w:ascii="宋体" w:hAnsi="宋体" w:cs="Times New Roman"/>
          <w:b/>
          <w:bCs/>
          <w:sz w:val="24"/>
          <w:szCs w:val="21"/>
        </w:rPr>
      </w:pPr>
      <w:r>
        <w:rPr>
          <w:rFonts w:hint="eastAsia" w:ascii="宋体" w:hAnsi="宋体" w:cs="Times New Roman"/>
          <w:b/>
          <w:bCs/>
          <w:sz w:val="24"/>
          <w:szCs w:val="21"/>
        </w:rPr>
        <w:t>制造商法定代表人（</w:t>
      </w:r>
      <w:r>
        <w:rPr>
          <w:rFonts w:hint="eastAsia" w:ascii="宋体" w:hAnsi="宋体" w:cs="Times New Roman"/>
          <w:b/>
          <w:sz w:val="24"/>
          <w:szCs w:val="21"/>
        </w:rPr>
        <w:t>签字或盖章</w:t>
      </w:r>
      <w:r>
        <w:rPr>
          <w:rFonts w:hint="eastAsia" w:ascii="宋体" w:hAnsi="宋体" w:cs="Times New Roman"/>
          <w:b/>
          <w:bCs/>
          <w:sz w:val="24"/>
          <w:szCs w:val="21"/>
        </w:rPr>
        <w:t>）：</w:t>
      </w:r>
    </w:p>
    <w:p>
      <w:pPr>
        <w:spacing w:before="100" w:beforeAutospacing="1" w:after="100" w:afterAutospacing="1" w:line="360" w:lineRule="auto"/>
        <w:ind w:firstLine="3316" w:firstLineChars="1382"/>
      </w:pPr>
      <w:r>
        <w:rPr>
          <w:rFonts w:hint="eastAsia" w:ascii="Times New Roman" w:hAnsi="宋体" w:cs="Times New Roman"/>
          <w:b/>
          <w:sz w:val="24"/>
          <w:szCs w:val="24"/>
        </w:rPr>
        <w:t>日  期：</w:t>
      </w:r>
    </w:p>
    <w:p>
      <w:r>
        <w:br w:type="page"/>
      </w:r>
    </w:p>
    <w:p>
      <w:pPr>
        <w:adjustRightInd w:val="0"/>
        <w:snapToGrid w:val="0"/>
        <w:jc w:val="center"/>
        <w:rPr>
          <w:rFonts w:ascii="宋体" w:hAnsi="宋体" w:cs="Times New Roman"/>
          <w:b/>
          <w:sz w:val="30"/>
          <w:szCs w:val="30"/>
        </w:rPr>
      </w:pPr>
    </w:p>
    <w:p>
      <w:pPr>
        <w:adjustRightInd w:val="0"/>
        <w:snapToGrid w:val="0"/>
        <w:spacing w:beforeLines="100"/>
        <w:jc w:val="center"/>
        <w:rPr>
          <w:rFonts w:ascii="宋体" w:hAnsi="宋体" w:cs="Times New Roman"/>
          <w:b/>
          <w:sz w:val="30"/>
          <w:szCs w:val="30"/>
        </w:rPr>
      </w:pPr>
      <w:r>
        <w:rPr>
          <w:rFonts w:hint="eastAsia" w:ascii="宋体" w:hAnsi="宋体" w:cs="Times New Roman"/>
          <w:b/>
          <w:sz w:val="30"/>
          <w:szCs w:val="30"/>
        </w:rPr>
        <w:t>残疾人福利性单位声明函</w:t>
      </w:r>
    </w:p>
    <w:p>
      <w:pPr>
        <w:adjustRightInd w:val="0"/>
        <w:snapToGrid w:val="0"/>
        <w:spacing w:beforeLines="50" w:afterLines="50"/>
        <w:jc w:val="center"/>
        <w:rPr>
          <w:rFonts w:ascii="宋体" w:hAnsi="Courier New" w:cs="Times New Roman"/>
          <w:sz w:val="24"/>
          <w:szCs w:val="21"/>
        </w:rPr>
      </w:pPr>
      <w:r>
        <w:rPr>
          <w:rFonts w:hint="eastAsia" w:ascii="宋体" w:hAnsi="Courier New" w:cs="Times New Roman"/>
          <w:sz w:val="24"/>
          <w:szCs w:val="21"/>
        </w:rPr>
        <w:t>（适用于工程类、服务类项目）</w:t>
      </w:r>
    </w:p>
    <w:p>
      <w:pPr>
        <w:spacing w:line="480" w:lineRule="auto"/>
        <w:rPr>
          <w:rFonts w:ascii="宋体" w:hAnsi="宋体" w:cs="Courier New"/>
          <w:b/>
          <w:sz w:val="28"/>
          <w:szCs w:val="28"/>
        </w:rPr>
      </w:pPr>
      <w:r>
        <w:rPr>
          <w:rFonts w:hint="eastAsia" w:ascii="宋体" w:hAnsi="宋体" w:cs="Courier New"/>
          <w:b/>
          <w:sz w:val="28"/>
          <w:szCs w:val="28"/>
        </w:rPr>
        <w:t>采购代理机构：</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本单位郑重声明，根据《财政</w:t>
      </w:r>
      <w:r>
        <w:rPr>
          <w:rFonts w:hint="eastAsia" w:ascii="宋体" w:hAnsi="宋体" w:cs="Times New Roman"/>
          <w:color w:val="0C0C0C"/>
          <w:sz w:val="24"/>
          <w:szCs w:val="24"/>
        </w:rPr>
        <w:t>部 民政部 中国残疾人联合会关于促进残疾人就业政府采购政策的通知》（财库〔2017〕141号）的规定，本单位为符合条件的残疾人福利性单位</w:t>
      </w:r>
      <w:r>
        <w:rPr>
          <w:rFonts w:hint="eastAsia" w:hAnsi="宋体"/>
          <w:color w:val="0C0C0C"/>
          <w:sz w:val="24"/>
        </w:rPr>
        <w:t>（详见“残疾人福利性单位应当满足的条件”）</w:t>
      </w:r>
      <w:r>
        <w:rPr>
          <w:rFonts w:hint="eastAsia" w:ascii="宋体" w:hAnsi="宋体" w:cs="Times New Roman"/>
          <w:color w:val="0C0C0C"/>
          <w:sz w:val="24"/>
          <w:szCs w:val="24"/>
        </w:rPr>
        <w:t>，</w:t>
      </w:r>
      <w:r>
        <w:rPr>
          <w:rFonts w:hint="eastAsia" w:ascii="宋体" w:hAnsi="宋体" w:cs="Times New Roman"/>
          <w:sz w:val="24"/>
          <w:szCs w:val="24"/>
        </w:rPr>
        <w:t>且本单位参加</w:t>
      </w:r>
      <w:r>
        <w:rPr>
          <w:rFonts w:hint="eastAsia" w:ascii="宋体" w:hAnsi="宋体" w:cs="Times New Roman"/>
          <w:sz w:val="24"/>
          <w:szCs w:val="24"/>
          <w:u w:val="single"/>
        </w:rPr>
        <w:t xml:space="preserve">  （</w:t>
      </w:r>
      <w:r>
        <w:rPr>
          <w:rFonts w:hint="eastAsia" w:ascii="Times New Roman" w:hAnsi="宋体" w:cs="Times New Roman"/>
          <w:sz w:val="24"/>
          <w:szCs w:val="24"/>
          <w:u w:val="single"/>
        </w:rPr>
        <w:t>采购</w:t>
      </w:r>
      <w:r>
        <w:rPr>
          <w:rFonts w:hint="eastAsia" w:ascii="宋体" w:hAnsi="宋体" w:cs="Times New Roman"/>
          <w:sz w:val="24"/>
          <w:szCs w:val="24"/>
          <w:u w:val="single"/>
        </w:rPr>
        <w:t>人）</w:t>
      </w:r>
      <w:r>
        <w:rPr>
          <w:rFonts w:hint="eastAsia" w:ascii="Times New Roman" w:hAnsi="宋体" w:cs="Times New Roman"/>
          <w:sz w:val="24"/>
          <w:szCs w:val="24"/>
        </w:rPr>
        <w:t>的</w:t>
      </w:r>
      <w:r>
        <w:rPr>
          <w:rFonts w:hint="eastAsia" w:ascii="宋体" w:hAnsi="宋体" w:cs="Times New Roman"/>
          <w:sz w:val="24"/>
          <w:szCs w:val="24"/>
          <w:u w:val="single"/>
        </w:rPr>
        <w:t>__   _</w:t>
      </w:r>
      <w:r>
        <w:rPr>
          <w:rFonts w:hint="eastAsia" w:ascii="Times New Roman" w:hAnsi="宋体" w:cs="Times New Roman"/>
          <w:sz w:val="24"/>
          <w:szCs w:val="24"/>
        </w:rPr>
        <w:t>项目（项目编号：______）</w:t>
      </w:r>
      <w:r>
        <w:rPr>
          <w:rFonts w:hint="eastAsia" w:ascii="宋体" w:hAnsi="宋体" w:cs="Times New Roman"/>
          <w:sz w:val="24"/>
          <w:szCs w:val="24"/>
        </w:rPr>
        <w:t>采购活动由本单位承担工程（或提供服务）。</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本单位对上述声明的真实性负责。如有虚假，将依法承担相应责任。</w:t>
      </w:r>
    </w:p>
    <w:p>
      <w:pPr>
        <w:spacing w:line="360" w:lineRule="auto"/>
        <w:rPr>
          <w:rFonts w:ascii="宋体" w:hAnsi="宋体" w:cs="Times New Roman"/>
          <w:sz w:val="24"/>
          <w:szCs w:val="24"/>
        </w:rPr>
      </w:pPr>
    </w:p>
    <w:p>
      <w:pPr>
        <w:spacing w:line="360" w:lineRule="auto"/>
        <w:rPr>
          <w:rFonts w:ascii="宋体" w:hAnsi="宋体" w:cs="Times New Roman"/>
          <w:sz w:val="24"/>
          <w:szCs w:val="24"/>
        </w:rPr>
      </w:pPr>
    </w:p>
    <w:p>
      <w:pPr>
        <w:spacing w:line="360" w:lineRule="auto"/>
        <w:ind w:left="1080" w:hanging="1080" w:hangingChars="450"/>
        <w:jc w:val="left"/>
        <w:rPr>
          <w:rFonts w:ascii="宋体" w:hAnsi="宋体" w:cs="Courier New"/>
          <w:color w:val="0C0C0C"/>
          <w:sz w:val="24"/>
          <w:szCs w:val="21"/>
        </w:rPr>
      </w:pPr>
      <w:r>
        <w:rPr>
          <w:rFonts w:hint="eastAsia" w:ascii="宋体" w:hAnsi="宋体" w:cs="Courier New"/>
          <w:color w:val="0C0C0C"/>
          <w:sz w:val="24"/>
          <w:szCs w:val="21"/>
        </w:rPr>
        <w:t>说明：1、组成联合体的大中型企业和其他自然人、法人或者其他组织，与残疾人福利性单位之间不得存在投资关系。</w:t>
      </w:r>
    </w:p>
    <w:p>
      <w:pPr>
        <w:spacing w:line="360" w:lineRule="auto"/>
        <w:ind w:left="1078" w:leftChars="342" w:hanging="360" w:hangingChars="150"/>
        <w:jc w:val="left"/>
        <w:rPr>
          <w:rFonts w:ascii="宋体" w:hAnsi="宋体" w:cs="Times New Roman"/>
          <w:color w:val="0C0C0C"/>
          <w:sz w:val="24"/>
          <w:szCs w:val="24"/>
        </w:rPr>
      </w:pPr>
      <w:r>
        <w:rPr>
          <w:rFonts w:hint="eastAsia" w:ascii="宋体" w:hAnsi="宋体" w:cs="Courier New"/>
          <w:color w:val="0C0C0C"/>
          <w:sz w:val="24"/>
          <w:szCs w:val="21"/>
        </w:rPr>
        <w:t>2、以联合体方式参与本项目投标的供应商，应由联合体双方签字盖章。</w:t>
      </w:r>
    </w:p>
    <w:p>
      <w:pPr>
        <w:spacing w:line="360" w:lineRule="auto"/>
        <w:rPr>
          <w:rFonts w:ascii="宋体" w:hAnsi="宋体" w:cs="Times New Roman"/>
          <w:sz w:val="24"/>
          <w:szCs w:val="24"/>
        </w:rPr>
      </w:pPr>
    </w:p>
    <w:p>
      <w:pPr>
        <w:spacing w:line="360" w:lineRule="auto"/>
        <w:rPr>
          <w:rFonts w:ascii="宋体" w:hAnsi="宋体" w:cs="Times New Roman"/>
          <w:sz w:val="24"/>
          <w:szCs w:val="24"/>
        </w:rPr>
      </w:pPr>
    </w:p>
    <w:p>
      <w:pPr>
        <w:spacing w:before="100" w:beforeAutospacing="1" w:after="100" w:afterAutospacing="1" w:line="360" w:lineRule="auto"/>
        <w:ind w:firstLine="3316" w:firstLineChars="1382"/>
        <w:rPr>
          <w:rFonts w:ascii="宋体" w:hAnsi="宋体" w:cs="Times New Roman"/>
          <w:b/>
          <w:bCs/>
          <w:sz w:val="24"/>
          <w:szCs w:val="21"/>
        </w:rPr>
      </w:pPr>
      <w:r>
        <w:rPr>
          <w:rFonts w:hint="eastAsia" w:ascii="宋体" w:hAnsi="宋体" w:cs="Times New Roman"/>
          <w:b/>
          <w:bCs/>
          <w:sz w:val="24"/>
          <w:szCs w:val="21"/>
        </w:rPr>
        <w:t>制造商（公章）：</w:t>
      </w:r>
    </w:p>
    <w:p>
      <w:pPr>
        <w:spacing w:before="100" w:beforeAutospacing="1" w:after="100" w:afterAutospacing="1" w:line="360" w:lineRule="auto"/>
        <w:ind w:firstLine="3316" w:firstLineChars="1382"/>
        <w:rPr>
          <w:rFonts w:ascii="宋体" w:hAnsi="宋体" w:cs="Times New Roman"/>
          <w:b/>
          <w:bCs/>
          <w:sz w:val="24"/>
          <w:szCs w:val="21"/>
        </w:rPr>
      </w:pPr>
      <w:r>
        <w:rPr>
          <w:rFonts w:hint="eastAsia" w:ascii="宋体" w:hAnsi="宋体" w:cs="Times New Roman"/>
          <w:b/>
          <w:bCs/>
          <w:sz w:val="24"/>
          <w:szCs w:val="21"/>
        </w:rPr>
        <w:t>投标人授权代表（签字）：</w:t>
      </w:r>
    </w:p>
    <w:p>
      <w:pPr>
        <w:spacing w:before="100" w:beforeAutospacing="1" w:after="100" w:afterAutospacing="1" w:line="360" w:lineRule="auto"/>
        <w:ind w:firstLine="3316" w:firstLineChars="1382"/>
        <w:rPr>
          <w:rFonts w:ascii="Times New Roman" w:hAnsi="宋体" w:cs="Times New Roman"/>
          <w:bCs/>
          <w:sz w:val="24"/>
          <w:szCs w:val="24"/>
          <w:u w:val="single"/>
        </w:rPr>
      </w:pPr>
      <w:r>
        <w:rPr>
          <w:rFonts w:hint="eastAsia" w:ascii="Times New Roman" w:hAnsi="宋体" w:cs="Times New Roman"/>
          <w:b/>
          <w:sz w:val="24"/>
          <w:szCs w:val="24"/>
        </w:rPr>
        <w:t>日  期：</w:t>
      </w:r>
    </w:p>
    <w:p>
      <w:r>
        <w:br w:type="page"/>
      </w:r>
    </w:p>
    <w:p>
      <w:pPr>
        <w:spacing w:line="600" w:lineRule="exact"/>
        <w:rPr>
          <w:rFonts w:ascii="Times New Roman" w:hAnsi="Times New Roman" w:cs="Times New Roman"/>
          <w:b/>
          <w:sz w:val="24"/>
          <w:szCs w:val="24"/>
        </w:rPr>
      </w:pPr>
      <w:r>
        <w:rPr>
          <w:rFonts w:hint="eastAsia" w:ascii="Times New Roman" w:hAnsi="Times New Roman" w:cs="Times New Roman"/>
          <w:b/>
          <w:sz w:val="24"/>
          <w:szCs w:val="24"/>
        </w:rPr>
        <w:t>享受政府采购支持政策的残疾人福利性单位应当同时满足以下条件：</w:t>
      </w:r>
    </w:p>
    <w:p>
      <w:pPr>
        <w:spacing w:line="600" w:lineRule="exact"/>
        <w:ind w:firstLine="480" w:firstLineChars="200"/>
        <w:rPr>
          <w:rFonts w:ascii="宋体" w:hAnsi="宋体" w:cs="Times New Roman"/>
          <w:sz w:val="24"/>
          <w:szCs w:val="24"/>
        </w:rPr>
      </w:pPr>
      <w:r>
        <w:rPr>
          <w:rFonts w:hint="eastAsia" w:ascii="宋体" w:hAnsi="宋体" w:cs="Times New Roman"/>
          <w:sz w:val="24"/>
          <w:szCs w:val="24"/>
        </w:rPr>
        <w:t>（一）安置的残疾人占本单位在职职工人数的比例不低于25%（含25%），并且安置的残疾人人数不少于10人（含10人）；</w:t>
      </w:r>
    </w:p>
    <w:p>
      <w:pPr>
        <w:spacing w:line="600" w:lineRule="exact"/>
        <w:ind w:firstLine="480" w:firstLineChars="200"/>
        <w:rPr>
          <w:rFonts w:ascii="宋体" w:hAnsi="宋体" w:cs="Times New Roman"/>
          <w:sz w:val="24"/>
          <w:szCs w:val="24"/>
        </w:rPr>
      </w:pPr>
      <w:r>
        <w:rPr>
          <w:rFonts w:hint="eastAsia" w:ascii="宋体" w:hAnsi="宋体" w:cs="Times New Roman"/>
          <w:sz w:val="24"/>
          <w:szCs w:val="24"/>
        </w:rPr>
        <w:t>（二）依法与安置的每位残疾人签订了一年以上（含一年）的劳动合同或服务协议；</w:t>
      </w:r>
    </w:p>
    <w:p>
      <w:pPr>
        <w:spacing w:line="600" w:lineRule="exact"/>
        <w:ind w:firstLine="480" w:firstLineChars="200"/>
        <w:rPr>
          <w:rFonts w:ascii="宋体" w:hAnsi="宋体" w:cs="Times New Roman"/>
          <w:sz w:val="24"/>
          <w:szCs w:val="24"/>
        </w:rPr>
      </w:pPr>
      <w:r>
        <w:rPr>
          <w:rFonts w:hint="eastAsia" w:ascii="宋体" w:hAnsi="宋体" w:cs="Times New Roman"/>
          <w:sz w:val="24"/>
          <w:szCs w:val="24"/>
        </w:rPr>
        <w:t>（三）为安置的每位残疾人按月足额缴纳了基本养老保险、基本医疗保险、失业保险、工伤保险和生育保险等社会保险费；</w:t>
      </w:r>
    </w:p>
    <w:p>
      <w:pPr>
        <w:spacing w:line="600" w:lineRule="exact"/>
        <w:ind w:firstLine="480" w:firstLineChars="200"/>
        <w:rPr>
          <w:rFonts w:ascii="宋体" w:hAnsi="宋体" w:cs="Times New Roman"/>
          <w:sz w:val="24"/>
          <w:szCs w:val="24"/>
        </w:rPr>
      </w:pPr>
      <w:r>
        <w:rPr>
          <w:rFonts w:hint="eastAsia" w:ascii="宋体" w:hAnsi="宋体" w:cs="Times New Roman"/>
          <w:sz w:val="24"/>
          <w:szCs w:val="24"/>
        </w:rPr>
        <w:t>（四）通过银行等金融机构向安置的每位残疾人，按月支付了不低于单位所在区县适用的经省级人民政府批准的月最低工资标准的工资；</w:t>
      </w:r>
    </w:p>
    <w:p>
      <w:pPr>
        <w:spacing w:line="600" w:lineRule="exact"/>
        <w:ind w:firstLine="480" w:firstLineChars="200"/>
        <w:rPr>
          <w:rFonts w:ascii="宋体" w:hAnsi="宋体" w:cs="Times New Roman"/>
          <w:sz w:val="24"/>
          <w:szCs w:val="24"/>
        </w:rPr>
      </w:pPr>
      <w:r>
        <w:rPr>
          <w:rFonts w:hint="eastAsia" w:ascii="宋体" w:hAnsi="宋体" w:cs="Times New Roman"/>
          <w:sz w:val="24"/>
          <w:szCs w:val="24"/>
        </w:rPr>
        <w:t>（五）提供本单位制造的货物、承担的工程或者服务（以下简称产品），或者提供其他残疾人福利性单位制造的货物（不包括使用非残疾人福利性单位注册商标的货物）。</w:t>
      </w:r>
    </w:p>
    <w:p>
      <w:pPr>
        <w:spacing w:line="600" w:lineRule="exact"/>
        <w:ind w:firstLine="480" w:firstLineChars="200"/>
        <w:rPr>
          <w:rFonts w:ascii="宋体" w:hAnsi="宋体" w:cs="Times New Roman"/>
          <w:sz w:val="24"/>
          <w:szCs w:val="24"/>
        </w:rPr>
      </w:pPr>
      <w:r>
        <w:rPr>
          <w:rFonts w:hint="eastAsia" w:ascii="宋体" w:hAnsi="宋体" w:cs="Times New Roman"/>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
      <w:r>
        <w:br w:type="page"/>
      </w:r>
    </w:p>
    <w:p>
      <w:pPr>
        <w:pStyle w:val="3"/>
        <w:numPr>
          <w:ilvl w:val="0"/>
          <w:numId w:val="56"/>
        </w:numPr>
        <w:spacing w:before="100" w:beforeAutospacing="1" w:afterLines="50" w:line="360" w:lineRule="auto"/>
        <w:ind w:left="1288" w:hanging="1288"/>
        <w:rPr>
          <w:rFonts w:ascii="宋体" w:hAnsi="宋体"/>
        </w:rPr>
      </w:pPr>
      <w:bookmarkStart w:id="139" w:name="_Toc494577410"/>
      <w:bookmarkStart w:id="140" w:name="_Toc494665955"/>
      <w:bookmarkStart w:id="141" w:name="_Toc497459205"/>
      <w:bookmarkStart w:id="142" w:name="_Toc494665005"/>
      <w:bookmarkStart w:id="143" w:name="_Toc494721105"/>
      <w:bookmarkStart w:id="144" w:name="_Toc494702275"/>
      <w:bookmarkStart w:id="145" w:name="_Toc494745322"/>
      <w:bookmarkStart w:id="146" w:name="_Toc494665558"/>
      <w:r>
        <w:rPr>
          <w:rFonts w:hint="eastAsia" w:ascii="宋体" w:hAnsi="宋体"/>
        </w:rPr>
        <w:t>开标一览表</w:t>
      </w:r>
      <w:bookmarkEnd w:id="139"/>
      <w:bookmarkEnd w:id="140"/>
      <w:bookmarkEnd w:id="141"/>
      <w:bookmarkEnd w:id="142"/>
      <w:bookmarkEnd w:id="143"/>
      <w:bookmarkEnd w:id="144"/>
      <w:bookmarkEnd w:id="145"/>
      <w:bookmarkEnd w:id="146"/>
    </w:p>
    <w:p>
      <w:pPr>
        <w:spacing w:line="360" w:lineRule="auto"/>
        <w:jc w:val="left"/>
        <w:rPr>
          <w:rFonts w:ascii="宋体" w:hAnsi="宋体" w:cs="Times New Roman"/>
          <w:b/>
          <w:sz w:val="24"/>
          <w:szCs w:val="21"/>
          <w:u w:val="single"/>
        </w:rPr>
      </w:pPr>
      <w:r>
        <w:rPr>
          <w:rFonts w:hint="eastAsia" w:ascii="宋体" w:hAnsi="宋体" w:cs="Times New Roman"/>
          <w:b/>
          <w:sz w:val="24"/>
          <w:szCs w:val="21"/>
        </w:rPr>
        <w:t>投 标 人：</w:t>
      </w:r>
    </w:p>
    <w:p>
      <w:pPr>
        <w:spacing w:line="360" w:lineRule="auto"/>
        <w:jc w:val="left"/>
        <w:rPr>
          <w:rFonts w:ascii="宋体" w:hAnsi="宋体" w:cs="Times New Roman"/>
          <w:b/>
          <w:sz w:val="24"/>
          <w:szCs w:val="21"/>
        </w:rPr>
      </w:pPr>
      <w:r>
        <w:rPr>
          <w:rFonts w:hint="eastAsia" w:ascii="宋体" w:hAnsi="宋体" w:cs="Times New Roman"/>
          <w:b/>
          <w:sz w:val="24"/>
          <w:szCs w:val="21"/>
        </w:rPr>
        <w:t>项目名称：</w:t>
      </w:r>
    </w:p>
    <w:p>
      <w:pPr>
        <w:spacing w:line="360" w:lineRule="auto"/>
        <w:jc w:val="left"/>
        <w:rPr>
          <w:rFonts w:ascii="宋体" w:hAnsi="宋体" w:cs="Times New Roman"/>
          <w:b/>
          <w:bCs/>
          <w:sz w:val="24"/>
          <w:szCs w:val="21"/>
          <w:u w:val="single"/>
        </w:rPr>
      </w:pPr>
      <w:r>
        <w:rPr>
          <w:rFonts w:hint="eastAsia" w:ascii="宋体" w:hAnsi="宋体" w:cs="Times New Roman"/>
          <w:b/>
          <w:sz w:val="24"/>
          <w:szCs w:val="21"/>
        </w:rPr>
        <w:t>项目编号：</w:t>
      </w:r>
      <w:r>
        <w:rPr>
          <w:rFonts w:hint="eastAsia" w:ascii="宋体" w:hAnsi="宋体" w:cs="Times New Roman"/>
          <w:b/>
          <w:bCs/>
          <w:sz w:val="24"/>
          <w:szCs w:val="21"/>
        </w:rPr>
        <w:t xml:space="preserve">                所投包号：</w:t>
      </w:r>
    </w:p>
    <w:tbl>
      <w:tblPr>
        <w:tblStyle w:val="14"/>
        <w:tblW w:w="9547"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57"/>
        <w:gridCol w:w="924"/>
        <w:gridCol w:w="2954"/>
        <w:gridCol w:w="1119"/>
        <w:gridCol w:w="1134"/>
        <w:gridCol w:w="17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1" w:type="dxa"/>
            <w:tcBorders>
              <w:top w:val="double" w:color="auto" w:sz="4" w:space="0"/>
              <w:left w:val="double" w:color="auto" w:sz="4" w:space="0"/>
              <w:bottom w:val="single" w:color="auto" w:sz="4" w:space="0"/>
              <w:right w:val="sing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序号</w:t>
            </w:r>
          </w:p>
        </w:tc>
        <w:tc>
          <w:tcPr>
            <w:tcW w:w="1981" w:type="dxa"/>
            <w:gridSpan w:val="2"/>
            <w:tcBorders>
              <w:top w:val="double" w:color="auto" w:sz="4" w:space="0"/>
              <w:left w:val="single" w:color="auto" w:sz="4" w:space="0"/>
              <w:bottom w:val="single" w:color="auto" w:sz="4" w:space="0"/>
              <w:right w:val="sing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名称</w:t>
            </w:r>
          </w:p>
        </w:tc>
        <w:tc>
          <w:tcPr>
            <w:tcW w:w="2954" w:type="dxa"/>
            <w:tcBorders>
              <w:top w:val="double" w:color="auto" w:sz="4" w:space="0"/>
              <w:left w:val="single" w:color="auto" w:sz="4" w:space="0"/>
              <w:bottom w:val="single" w:color="auto" w:sz="4" w:space="0"/>
              <w:right w:val="sing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品牌、型号</w:t>
            </w:r>
          </w:p>
        </w:tc>
        <w:tc>
          <w:tcPr>
            <w:tcW w:w="1119" w:type="dxa"/>
            <w:tcBorders>
              <w:top w:val="double" w:color="auto" w:sz="4" w:space="0"/>
              <w:left w:val="single" w:color="auto" w:sz="4" w:space="0"/>
              <w:bottom w:val="single" w:color="auto" w:sz="4" w:space="0"/>
              <w:right w:val="sing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数量</w:t>
            </w:r>
          </w:p>
        </w:tc>
        <w:tc>
          <w:tcPr>
            <w:tcW w:w="1134" w:type="dxa"/>
            <w:tcBorders>
              <w:top w:val="double" w:color="auto" w:sz="4" w:space="0"/>
              <w:left w:val="single" w:color="auto" w:sz="4" w:space="0"/>
              <w:bottom w:val="single" w:color="auto" w:sz="4" w:space="0"/>
              <w:right w:val="sing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单价(元)</w:t>
            </w:r>
          </w:p>
        </w:tc>
        <w:tc>
          <w:tcPr>
            <w:tcW w:w="1708" w:type="dxa"/>
            <w:tcBorders>
              <w:top w:val="double" w:color="auto" w:sz="4" w:space="0"/>
              <w:left w:val="single" w:color="auto" w:sz="4" w:space="0"/>
              <w:bottom w:val="single" w:color="auto" w:sz="4" w:space="0"/>
              <w:right w:val="doub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分项合计(元)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1" w:type="dxa"/>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cs="宋体"/>
                <w:kern w:val="0"/>
                <w:sz w:val="24"/>
                <w:szCs w:val="24"/>
              </w:rPr>
            </w:pP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cs="宋体"/>
                <w:kern w:val="0"/>
                <w:sz w:val="24"/>
                <w:szCs w:val="24"/>
              </w:rPr>
            </w:pPr>
          </w:p>
        </w:tc>
        <w:tc>
          <w:tcPr>
            <w:tcW w:w="2954"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cs="宋体"/>
                <w:kern w:val="0"/>
                <w:sz w:val="24"/>
                <w:szCs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cs="宋体"/>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cs="宋体"/>
                <w:kern w:val="0"/>
                <w:sz w:val="24"/>
                <w:szCs w:val="24"/>
              </w:rPr>
            </w:pPr>
          </w:p>
        </w:tc>
        <w:tc>
          <w:tcPr>
            <w:tcW w:w="1708" w:type="dxa"/>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center"/>
              <w:rPr>
                <w:rFonts w:ascii="宋体" w:hAnsi="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1" w:type="dxa"/>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cs="宋体"/>
                <w:kern w:val="0"/>
                <w:sz w:val="24"/>
                <w:szCs w:val="24"/>
              </w:rPr>
            </w:pP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cs="宋体"/>
                <w:kern w:val="0"/>
                <w:sz w:val="24"/>
                <w:szCs w:val="24"/>
              </w:rPr>
            </w:pPr>
          </w:p>
        </w:tc>
        <w:tc>
          <w:tcPr>
            <w:tcW w:w="2954"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cs="宋体"/>
                <w:kern w:val="0"/>
                <w:sz w:val="24"/>
                <w:szCs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cs="宋体"/>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cs="宋体"/>
                <w:kern w:val="0"/>
                <w:sz w:val="24"/>
                <w:szCs w:val="24"/>
              </w:rPr>
            </w:pPr>
          </w:p>
        </w:tc>
        <w:tc>
          <w:tcPr>
            <w:tcW w:w="1708" w:type="dxa"/>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center"/>
              <w:rPr>
                <w:rFonts w:ascii="宋体" w:hAnsi="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8" w:type="dxa"/>
            <w:gridSpan w:val="2"/>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cs="宋体"/>
                <w:kern w:val="0"/>
                <w:sz w:val="24"/>
                <w:szCs w:val="24"/>
              </w:rPr>
            </w:pPr>
            <w:r>
              <w:rPr>
                <w:rFonts w:hint="eastAsia" w:ascii="宋体" w:hAnsi="宋体" w:cs="宋体"/>
                <w:kern w:val="0"/>
                <w:sz w:val="24"/>
                <w:szCs w:val="24"/>
              </w:rPr>
              <w:t>投标总报价</w:t>
            </w:r>
          </w:p>
        </w:tc>
        <w:tc>
          <w:tcPr>
            <w:tcW w:w="7839" w:type="dxa"/>
            <w:gridSpan w:val="5"/>
            <w:tcBorders>
              <w:top w:val="single" w:color="auto" w:sz="4" w:space="0"/>
              <w:left w:val="single" w:color="auto" w:sz="4" w:space="0"/>
              <w:bottom w:val="single" w:color="auto" w:sz="4" w:space="0"/>
              <w:right w:val="double" w:color="auto" w:sz="4" w:space="0"/>
            </w:tcBorders>
            <w:vAlign w:val="center"/>
          </w:tcPr>
          <w:p>
            <w:pPr>
              <w:spacing w:after="120" w:line="400" w:lineRule="atLeast"/>
              <w:ind w:left="205" w:leftChars="98" w:right="-65" w:rightChars="-31"/>
              <w:jc w:val="left"/>
              <w:rPr>
                <w:rFonts w:ascii="宋体" w:hAnsi="宋体" w:cs="宋体"/>
                <w:kern w:val="0"/>
                <w:sz w:val="24"/>
                <w:szCs w:val="24"/>
              </w:rPr>
            </w:pPr>
            <w:r>
              <w:rPr>
                <w:rFonts w:hint="eastAsia" w:ascii="宋体" w:hAnsi="宋体" w:cs="宋体"/>
                <w:kern w:val="0"/>
                <w:sz w:val="24"/>
                <w:szCs w:val="24"/>
              </w:rPr>
              <w:t>小写：万元整</w:t>
            </w:r>
          </w:p>
          <w:p>
            <w:pPr>
              <w:spacing w:after="120" w:line="400" w:lineRule="atLeast"/>
              <w:ind w:left="205" w:leftChars="98" w:right="-65" w:rightChars="-31"/>
              <w:jc w:val="left"/>
              <w:rPr>
                <w:rFonts w:ascii="宋体" w:hAnsi="宋体" w:cs="宋体"/>
                <w:kern w:val="0"/>
                <w:sz w:val="24"/>
                <w:szCs w:val="24"/>
              </w:rPr>
            </w:pPr>
            <w:r>
              <w:rPr>
                <w:rFonts w:hint="eastAsia" w:ascii="宋体" w:hAnsi="宋体" w:cs="宋体"/>
                <w:kern w:val="0"/>
                <w:sz w:val="24"/>
                <w:szCs w:val="24"/>
              </w:rPr>
              <w:t>大写：万仟佰元整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8" w:type="dxa"/>
            <w:gridSpan w:val="2"/>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cs="宋体"/>
                <w:kern w:val="0"/>
                <w:sz w:val="24"/>
                <w:szCs w:val="24"/>
              </w:rPr>
            </w:pPr>
            <w:r>
              <w:rPr>
                <w:rFonts w:hint="eastAsia" w:ascii="宋体" w:hAnsi="宋体" w:cs="宋体"/>
                <w:kern w:val="0"/>
                <w:sz w:val="24"/>
                <w:szCs w:val="24"/>
              </w:rPr>
              <w:t>项目工期</w:t>
            </w:r>
          </w:p>
          <w:p>
            <w:pPr>
              <w:spacing w:line="240" w:lineRule="atLeast"/>
              <w:ind w:left="-48" w:leftChars="-23" w:right="-65" w:rightChars="-31"/>
              <w:jc w:val="center"/>
              <w:rPr>
                <w:rFonts w:ascii="宋体" w:hAnsi="宋体" w:cs="宋体"/>
                <w:kern w:val="0"/>
                <w:sz w:val="24"/>
                <w:szCs w:val="24"/>
              </w:rPr>
            </w:pPr>
            <w:r>
              <w:rPr>
                <w:rFonts w:hint="eastAsia" w:ascii="宋体" w:hAnsi="宋体" w:cs="宋体"/>
                <w:kern w:val="0"/>
                <w:sz w:val="24"/>
                <w:szCs w:val="24"/>
              </w:rPr>
              <w:t>（服务期限）</w:t>
            </w:r>
          </w:p>
        </w:tc>
        <w:tc>
          <w:tcPr>
            <w:tcW w:w="7839" w:type="dxa"/>
            <w:gridSpan w:val="5"/>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left"/>
              <w:rPr>
                <w:rFonts w:ascii="宋体" w:hAnsi="宋体" w:cs="宋体"/>
                <w:kern w:val="0"/>
                <w:sz w:val="24"/>
                <w:szCs w:val="24"/>
              </w:rPr>
            </w:pPr>
            <w:r>
              <w:rPr>
                <w:rFonts w:hint="eastAsia" w:ascii="宋体" w:hAnsi="宋体" w:cs="宋体"/>
                <w:kern w:val="0"/>
                <w:sz w:val="24"/>
                <w:szCs w:val="24"/>
              </w:rPr>
              <w:t>（单位：日历天）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708" w:type="dxa"/>
            <w:gridSpan w:val="2"/>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cs="宋体"/>
                <w:kern w:val="0"/>
                <w:sz w:val="24"/>
                <w:szCs w:val="24"/>
              </w:rPr>
            </w:pPr>
            <w:r>
              <w:rPr>
                <w:rFonts w:hint="eastAsia" w:ascii="宋体" w:hAnsi="宋体" w:cs="宋体"/>
                <w:kern w:val="0"/>
                <w:sz w:val="24"/>
                <w:szCs w:val="24"/>
              </w:rPr>
              <w:t>质保期</w:t>
            </w:r>
          </w:p>
        </w:tc>
        <w:tc>
          <w:tcPr>
            <w:tcW w:w="7839" w:type="dxa"/>
            <w:gridSpan w:val="5"/>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left"/>
              <w:rPr>
                <w:rFonts w:ascii="宋体" w:hAnsi="宋体" w:cs="宋体"/>
                <w:kern w:val="0"/>
                <w:sz w:val="24"/>
                <w:szCs w:val="24"/>
              </w:rPr>
            </w:pPr>
            <w:r>
              <w:rPr>
                <w:rFonts w:hint="eastAsia" w:ascii="宋体" w:hAnsi="宋体" w:cs="宋体"/>
                <w:kern w:val="0"/>
                <w:sz w:val="24"/>
                <w:szCs w:val="24"/>
              </w:rPr>
              <w:t>（单位：年）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708" w:type="dxa"/>
            <w:gridSpan w:val="2"/>
            <w:tcBorders>
              <w:top w:val="single" w:color="auto" w:sz="4" w:space="0"/>
              <w:left w:val="double" w:color="auto" w:sz="4" w:space="0"/>
              <w:bottom w:val="double" w:color="auto" w:sz="4" w:space="0"/>
              <w:right w:val="single" w:color="auto" w:sz="4" w:space="0"/>
            </w:tcBorders>
            <w:vAlign w:val="center"/>
          </w:tcPr>
          <w:p>
            <w:pPr>
              <w:spacing w:line="240" w:lineRule="atLeast"/>
              <w:ind w:left="-48" w:leftChars="-23" w:right="-65" w:rightChars="-31"/>
              <w:jc w:val="center"/>
              <w:rPr>
                <w:rFonts w:ascii="宋体" w:hAnsi="宋体" w:cs="宋体"/>
                <w:kern w:val="0"/>
                <w:sz w:val="24"/>
                <w:szCs w:val="24"/>
              </w:rPr>
            </w:pPr>
            <w:r>
              <w:rPr>
                <w:rFonts w:hint="eastAsia" w:ascii="宋体" w:hAnsi="宋体" w:cs="宋体"/>
                <w:kern w:val="0"/>
                <w:sz w:val="24"/>
                <w:szCs w:val="24"/>
              </w:rPr>
              <w:t>备注</w:t>
            </w:r>
          </w:p>
        </w:tc>
        <w:tc>
          <w:tcPr>
            <w:tcW w:w="7839" w:type="dxa"/>
            <w:gridSpan w:val="5"/>
            <w:tcBorders>
              <w:top w:val="single" w:color="auto" w:sz="4" w:space="0"/>
              <w:left w:val="single" w:color="auto" w:sz="4" w:space="0"/>
              <w:bottom w:val="double" w:color="auto" w:sz="4" w:space="0"/>
              <w:right w:val="double" w:color="auto" w:sz="4" w:space="0"/>
            </w:tcBorders>
            <w:vAlign w:val="center"/>
          </w:tcPr>
          <w:p>
            <w:pPr>
              <w:spacing w:line="276" w:lineRule="auto"/>
              <w:ind w:left="-48" w:leftChars="-23" w:right="-65" w:rightChars="-31"/>
              <w:jc w:val="left"/>
              <w:rPr>
                <w:rFonts w:ascii="宋体" w:hAnsi="宋体" w:cs="Times New Roman"/>
                <w:sz w:val="24"/>
              </w:rPr>
            </w:pPr>
            <w:r>
              <w:rPr>
                <w:rFonts w:hint="eastAsia" w:ascii="Times New Roman" w:hAnsi="宋体" w:cs="Times New Roman"/>
                <w:sz w:val="24"/>
                <w:szCs w:val="24"/>
              </w:rPr>
              <w:t>小型和微型企业、监狱企业、残疾人福利性单位价格扣除</w:t>
            </w:r>
            <w:r>
              <w:rPr>
                <w:rFonts w:hint="eastAsia" w:ascii="宋体" w:hAnsi="宋体" w:cs="Times New Roman"/>
                <w:sz w:val="24"/>
              </w:rPr>
              <w:t>合计（</w:t>
            </w:r>
            <w:r>
              <w:rPr>
                <w:rFonts w:hint="eastAsia" w:ascii="宋体" w:hAnsi="宋体" w:cs="宋体"/>
                <w:kern w:val="0"/>
                <w:sz w:val="24"/>
                <w:szCs w:val="24"/>
              </w:rPr>
              <w:t>大写</w:t>
            </w:r>
            <w:r>
              <w:rPr>
                <w:rFonts w:hint="eastAsia" w:ascii="宋体" w:hAnsi="宋体" w:cs="Times New Roman"/>
                <w:sz w:val="24"/>
              </w:rPr>
              <w:t>）：</w:t>
            </w:r>
          </w:p>
          <w:p>
            <w:pPr>
              <w:spacing w:line="276" w:lineRule="auto"/>
              <w:ind w:left="-48" w:leftChars="-23" w:right="-65" w:rightChars="-31"/>
              <w:jc w:val="left"/>
              <w:rPr>
                <w:rFonts w:ascii="宋体" w:hAnsi="宋体" w:cs="宋体"/>
                <w:kern w:val="0"/>
                <w:sz w:val="24"/>
                <w:szCs w:val="24"/>
              </w:rPr>
            </w:pPr>
            <w:r>
              <w:rPr>
                <w:rFonts w:hint="eastAsia" w:ascii="宋体" w:hAnsi="宋体" w:cs="宋体"/>
                <w:kern w:val="0"/>
                <w:sz w:val="24"/>
                <w:szCs w:val="24"/>
              </w:rPr>
              <w:t>万仟佰元整</w:t>
            </w:r>
            <w:r>
              <w:rPr>
                <w:rFonts w:hint="eastAsia" w:ascii="宋体" w:hAnsi="宋体" w:cs="宋体"/>
                <w:kern w:val="0"/>
                <w:sz w:val="24"/>
              </w:rPr>
              <w:t>（或以联合体投标的，</w:t>
            </w:r>
            <w:r>
              <w:rPr>
                <w:rFonts w:ascii="宋体" w:hAnsi="宋体"/>
                <w:bCs/>
                <w:sz w:val="24"/>
              </w:rPr>
              <w:t>联合协议中约定小型、微型企业的协议合同金额占到联合体协议合同总金额的</w:t>
            </w:r>
            <w:r>
              <w:rPr>
                <w:rFonts w:hint="eastAsia" w:ascii="宋体" w:hAnsi="宋体"/>
                <w:bCs/>
                <w:sz w:val="24"/>
              </w:rPr>
              <w:t>%）</w:t>
            </w:r>
          </w:p>
        </w:tc>
      </w:tr>
    </w:tbl>
    <w:p>
      <w:pPr>
        <w:spacing w:line="360" w:lineRule="auto"/>
        <w:ind w:left="1049" w:hanging="1048" w:hangingChars="437"/>
        <w:jc w:val="left"/>
        <w:rPr>
          <w:rFonts w:ascii="宋体" w:hAnsi="宋体"/>
          <w:sz w:val="24"/>
        </w:rPr>
      </w:pPr>
      <w:r>
        <w:rPr>
          <w:rFonts w:hint="eastAsia" w:ascii="宋体" w:hAnsi="宋体"/>
          <w:sz w:val="24"/>
        </w:rPr>
        <w:t>说明：1．所有价格均用人民币表示，单位为万元。</w:t>
      </w:r>
    </w:p>
    <w:p>
      <w:pPr>
        <w:spacing w:line="360" w:lineRule="auto"/>
        <w:ind w:left="1061" w:leftChars="339" w:hanging="350" w:hangingChars="146"/>
        <w:jc w:val="left"/>
        <w:rPr>
          <w:rFonts w:ascii="宋体" w:hAnsi="宋体" w:cs="Times New Roman"/>
          <w:sz w:val="24"/>
          <w:szCs w:val="24"/>
        </w:rPr>
      </w:pPr>
      <w:r>
        <w:rPr>
          <w:rFonts w:hint="eastAsia" w:ascii="宋体" w:hAnsi="宋体" w:cs="Times New Roman"/>
          <w:sz w:val="24"/>
          <w:szCs w:val="24"/>
        </w:rPr>
        <w:t>2．价格应按照招标文件第二章“投标人须知”中第12条的要求进行报价。</w:t>
      </w:r>
    </w:p>
    <w:p>
      <w:pPr>
        <w:spacing w:line="360" w:lineRule="auto"/>
        <w:ind w:left="1061" w:leftChars="339" w:hanging="350" w:hangingChars="146"/>
        <w:jc w:val="left"/>
        <w:rPr>
          <w:rFonts w:ascii="宋体" w:hAnsi="宋体" w:cs="Times New Roman"/>
          <w:b/>
          <w:sz w:val="24"/>
          <w:szCs w:val="24"/>
        </w:rPr>
      </w:pPr>
      <w:r>
        <w:rPr>
          <w:rFonts w:hint="eastAsia" w:ascii="宋体" w:hAnsi="宋体" w:cs="Times New Roman"/>
          <w:sz w:val="24"/>
          <w:szCs w:val="24"/>
        </w:rPr>
        <w:t>3．为方便开标时唱标，投标人应另附《开标一览表》及《交纳投标保证金的银行凭证》（如有交纳保证金要求的）各一份一并</w:t>
      </w:r>
      <w:r>
        <w:rPr>
          <w:rFonts w:hint="eastAsia" w:ascii="宋体" w:hAnsi="宋体" w:cs="Times New Roman"/>
          <w:spacing w:val="-6"/>
          <w:kern w:val="0"/>
          <w:sz w:val="24"/>
          <w:szCs w:val="24"/>
        </w:rPr>
        <w:t>装入一个信封，单独密封提交</w:t>
      </w:r>
      <w:r>
        <w:rPr>
          <w:rFonts w:hint="eastAsia" w:ascii="宋体" w:hAnsi="宋体" w:cs="Times New Roman"/>
          <w:sz w:val="24"/>
          <w:szCs w:val="24"/>
        </w:rPr>
        <w:t>，并在信封上标明“开标一览表”字样。未单独提交或单独提交的上述资料未按照招标文件规定的格式填写完整并签字、盖章</w:t>
      </w:r>
      <w:r>
        <w:rPr>
          <w:rFonts w:hint="eastAsia" w:ascii="宋体" w:hAnsi="宋体" w:cs="Times New Roman"/>
          <w:sz w:val="24"/>
          <w:szCs w:val="20"/>
        </w:rPr>
        <w:t>的采购代理机构</w:t>
      </w:r>
      <w:r>
        <w:rPr>
          <w:rFonts w:hint="eastAsia" w:ascii="宋体" w:hAnsi="宋体" w:cs="Times New Roman"/>
          <w:b/>
          <w:sz w:val="24"/>
          <w:szCs w:val="20"/>
        </w:rPr>
        <w:t>拒绝</w:t>
      </w:r>
      <w:r>
        <w:rPr>
          <w:rFonts w:hint="eastAsia" w:ascii="宋体" w:hAnsi="宋体" w:cs="Times New Roman"/>
          <w:sz w:val="24"/>
          <w:szCs w:val="20"/>
        </w:rPr>
        <w:t>其投标。</w:t>
      </w:r>
    </w:p>
    <w:p>
      <w:pPr>
        <w:spacing w:line="360" w:lineRule="auto"/>
        <w:ind w:left="1061" w:leftChars="339" w:hanging="350" w:hangingChars="146"/>
        <w:jc w:val="left"/>
        <w:rPr>
          <w:rFonts w:ascii="宋体" w:hAnsi="宋体" w:cs="Times New Roman"/>
          <w:sz w:val="24"/>
          <w:szCs w:val="24"/>
        </w:rPr>
      </w:pPr>
      <w:r>
        <w:rPr>
          <w:rFonts w:hint="eastAsia" w:ascii="宋体" w:hAnsi="宋体" w:cs="Times New Roman"/>
          <w:sz w:val="24"/>
          <w:szCs w:val="24"/>
        </w:rPr>
        <w:t>4. 本表应按要求由投标人法人授权代表签字，并加盖投标单位公章，否则将被视为非响应性投标，将按照</w:t>
      </w:r>
      <w:r>
        <w:rPr>
          <w:rFonts w:hint="eastAsia" w:ascii="宋体" w:hAnsi="宋体" w:cs="Times New Roman"/>
          <w:b/>
          <w:sz w:val="24"/>
          <w:szCs w:val="24"/>
        </w:rPr>
        <w:t>无效投标处理</w:t>
      </w:r>
      <w:r>
        <w:rPr>
          <w:rFonts w:hint="eastAsia" w:ascii="宋体" w:hAnsi="宋体" w:cs="Times New Roman"/>
          <w:sz w:val="24"/>
          <w:szCs w:val="24"/>
        </w:rPr>
        <w:t>。</w:t>
      </w:r>
    </w:p>
    <w:p>
      <w:pPr>
        <w:spacing w:line="360" w:lineRule="auto"/>
        <w:ind w:left="1061" w:leftChars="339" w:hanging="350" w:hangingChars="146"/>
        <w:jc w:val="left"/>
        <w:rPr>
          <w:rFonts w:ascii="宋体" w:hAnsi="宋体" w:cs="Times New Roman"/>
          <w:sz w:val="24"/>
          <w:szCs w:val="24"/>
        </w:rPr>
      </w:pPr>
      <w:r>
        <w:rPr>
          <w:rFonts w:hint="eastAsia" w:ascii="宋体" w:hAnsi="宋体" w:cs="Times New Roman"/>
          <w:sz w:val="24"/>
          <w:szCs w:val="24"/>
        </w:rPr>
        <w:t>5.</w:t>
      </w:r>
      <w:r>
        <w:rPr>
          <w:rFonts w:hint="eastAsia" w:ascii="宋体" w:hAnsi="宋体" w:cs="宋体"/>
          <w:kern w:val="0"/>
          <w:sz w:val="24"/>
          <w:szCs w:val="24"/>
        </w:rPr>
        <w:t>“备注”栏适用于投标存在价格扣除情形的；同时满足两种情形的，投标人选择其中一种情形进行填报。</w:t>
      </w:r>
    </w:p>
    <w:p>
      <w:pPr>
        <w:spacing w:before="100" w:beforeAutospacing="1" w:after="100" w:afterAutospacing="1" w:line="360" w:lineRule="auto"/>
        <w:ind w:firstLine="3316" w:firstLineChars="1382"/>
        <w:rPr>
          <w:rFonts w:ascii="宋体" w:hAnsi="宋体" w:cs="Times New Roman"/>
          <w:b/>
          <w:bCs/>
          <w:sz w:val="24"/>
          <w:szCs w:val="21"/>
          <w:u w:val="single"/>
        </w:rPr>
      </w:pPr>
      <w:r>
        <w:rPr>
          <w:rFonts w:hint="eastAsia" w:ascii="宋体" w:hAnsi="宋体" w:cs="Times New Roman"/>
          <w:b/>
          <w:bCs/>
          <w:sz w:val="24"/>
          <w:szCs w:val="21"/>
        </w:rPr>
        <w:t>投标人（公章）：</w:t>
      </w:r>
    </w:p>
    <w:p>
      <w:pPr>
        <w:spacing w:before="100" w:beforeAutospacing="1" w:after="100" w:afterAutospacing="1" w:line="360" w:lineRule="auto"/>
        <w:ind w:firstLine="3316" w:firstLineChars="1382"/>
        <w:rPr>
          <w:rFonts w:ascii="宋体" w:hAnsi="宋体" w:cs="Times New Roman"/>
          <w:b/>
          <w:bCs/>
          <w:sz w:val="24"/>
          <w:szCs w:val="21"/>
          <w:u w:val="single"/>
        </w:rPr>
      </w:pPr>
      <w:r>
        <w:rPr>
          <w:rFonts w:hint="eastAsia" w:ascii="宋体" w:hAnsi="宋体" w:cs="Times New Roman"/>
          <w:b/>
          <w:bCs/>
          <w:sz w:val="24"/>
          <w:szCs w:val="21"/>
        </w:rPr>
        <w:t>投标人授权代表（签字）：</w:t>
      </w:r>
    </w:p>
    <w:p>
      <w:pPr>
        <w:spacing w:before="100" w:beforeAutospacing="1" w:after="100" w:afterAutospacing="1" w:line="360" w:lineRule="auto"/>
        <w:ind w:firstLine="3316" w:firstLineChars="1382"/>
        <w:rPr>
          <w:rFonts w:ascii="宋体" w:hAnsi="宋体" w:cs="Times New Roman"/>
          <w:b/>
          <w:bCs/>
          <w:sz w:val="24"/>
          <w:szCs w:val="21"/>
          <w:u w:val="single"/>
        </w:rPr>
      </w:pPr>
      <w:r>
        <w:rPr>
          <w:rFonts w:hint="eastAsia" w:ascii="宋体" w:hAnsi="宋体" w:cs="Times New Roman"/>
          <w:b/>
          <w:bCs/>
          <w:sz w:val="24"/>
          <w:szCs w:val="21"/>
        </w:rPr>
        <w:t>投标时间：</w:t>
      </w:r>
    </w:p>
    <w:p>
      <w:r>
        <w:br w:type="page"/>
      </w:r>
    </w:p>
    <w:p>
      <w:pPr>
        <w:pStyle w:val="3"/>
        <w:numPr>
          <w:ilvl w:val="0"/>
          <w:numId w:val="56"/>
        </w:numPr>
        <w:spacing w:before="100" w:beforeAutospacing="1" w:afterLines="50" w:line="360" w:lineRule="auto"/>
        <w:ind w:left="1288" w:hanging="1288"/>
        <w:rPr>
          <w:rFonts w:ascii="宋体" w:hAnsi="宋体"/>
        </w:rPr>
      </w:pPr>
      <w:bookmarkStart w:id="147" w:name="_Toc497459206"/>
      <w:bookmarkStart w:id="148" w:name="_Toc494665559"/>
      <w:bookmarkStart w:id="149" w:name="_Toc494665006"/>
      <w:bookmarkStart w:id="150" w:name="_Toc494577411"/>
      <w:bookmarkStart w:id="151" w:name="_Toc494702276"/>
      <w:bookmarkStart w:id="152" w:name="_Toc494721106"/>
      <w:bookmarkStart w:id="153" w:name="_Toc494745323"/>
      <w:bookmarkStart w:id="154" w:name="_Toc494665956"/>
      <w:r>
        <w:rPr>
          <w:rFonts w:hint="eastAsia" w:ascii="宋体" w:hAnsi="宋体"/>
        </w:rPr>
        <w:t>投标报价明细表</w:t>
      </w:r>
      <w:bookmarkEnd w:id="147"/>
      <w:bookmarkEnd w:id="148"/>
      <w:bookmarkEnd w:id="149"/>
      <w:bookmarkEnd w:id="150"/>
      <w:bookmarkEnd w:id="151"/>
      <w:bookmarkEnd w:id="152"/>
      <w:bookmarkEnd w:id="153"/>
      <w:bookmarkEnd w:id="154"/>
    </w:p>
    <w:p>
      <w:pPr>
        <w:spacing w:line="360" w:lineRule="auto"/>
        <w:jc w:val="left"/>
        <w:rPr>
          <w:rFonts w:ascii="宋体" w:hAnsi="宋体" w:cs="Times New Roman"/>
          <w:b/>
          <w:sz w:val="24"/>
          <w:szCs w:val="21"/>
          <w:u w:val="single"/>
        </w:rPr>
      </w:pPr>
      <w:r>
        <w:rPr>
          <w:rFonts w:hint="eastAsia" w:ascii="宋体" w:hAnsi="宋体" w:cs="Times New Roman"/>
          <w:b/>
          <w:sz w:val="24"/>
          <w:szCs w:val="21"/>
        </w:rPr>
        <w:t>投 标 人：</w:t>
      </w:r>
    </w:p>
    <w:p>
      <w:pPr>
        <w:spacing w:line="360" w:lineRule="auto"/>
        <w:jc w:val="left"/>
        <w:rPr>
          <w:rFonts w:ascii="宋体" w:hAnsi="宋体" w:cs="Times New Roman"/>
          <w:b/>
          <w:sz w:val="24"/>
          <w:szCs w:val="21"/>
        </w:rPr>
      </w:pPr>
      <w:r>
        <w:rPr>
          <w:rFonts w:hint="eastAsia" w:ascii="宋体" w:hAnsi="宋体" w:cs="Times New Roman"/>
          <w:b/>
          <w:sz w:val="24"/>
          <w:szCs w:val="21"/>
        </w:rPr>
        <w:t>项目名称：</w:t>
      </w:r>
    </w:p>
    <w:p>
      <w:pPr>
        <w:spacing w:line="360" w:lineRule="auto"/>
        <w:jc w:val="left"/>
        <w:rPr>
          <w:rFonts w:ascii="宋体" w:hAnsi="宋体" w:cs="Times New Roman"/>
          <w:b/>
          <w:sz w:val="24"/>
          <w:szCs w:val="21"/>
          <w:u w:val="single"/>
        </w:rPr>
      </w:pPr>
      <w:r>
        <w:rPr>
          <w:rFonts w:hint="eastAsia" w:ascii="宋体" w:hAnsi="宋体" w:cs="Times New Roman"/>
          <w:b/>
          <w:sz w:val="24"/>
          <w:szCs w:val="21"/>
        </w:rPr>
        <w:t>项目编号：</w:t>
      </w:r>
      <w:r>
        <w:rPr>
          <w:rFonts w:hint="eastAsia" w:ascii="宋体" w:hAnsi="宋体" w:cs="Times New Roman"/>
          <w:b/>
          <w:bCs/>
          <w:sz w:val="24"/>
          <w:szCs w:val="21"/>
        </w:rPr>
        <w:t xml:space="preserve">                所投包号：</w:t>
      </w:r>
    </w:p>
    <w:tbl>
      <w:tblPr>
        <w:tblStyle w:val="14"/>
        <w:tblW w:w="954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11"/>
        <w:gridCol w:w="1134"/>
        <w:gridCol w:w="800"/>
        <w:gridCol w:w="1676"/>
        <w:gridCol w:w="1316"/>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2" w:type="dxa"/>
            <w:shd w:val="clear" w:color="auto" w:fill="D9D9D9"/>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序号</w:t>
            </w:r>
          </w:p>
        </w:tc>
        <w:tc>
          <w:tcPr>
            <w:tcW w:w="2611" w:type="dxa"/>
            <w:shd w:val="clear" w:color="auto" w:fill="D9D9D9"/>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名称</w:t>
            </w:r>
          </w:p>
        </w:tc>
        <w:tc>
          <w:tcPr>
            <w:tcW w:w="1134" w:type="dxa"/>
            <w:shd w:val="clear" w:color="auto" w:fill="D9D9D9"/>
            <w:vAlign w:val="center"/>
          </w:tcPr>
          <w:p>
            <w:pPr>
              <w:ind w:left="-48" w:leftChars="-23" w:right="-65" w:rightChars="-31"/>
              <w:jc w:val="center"/>
              <w:rPr>
                <w:rFonts w:ascii="宋体" w:hAnsi="宋体" w:cs="宋体"/>
                <w:color w:val="0D0D0D"/>
                <w:kern w:val="0"/>
                <w:sz w:val="24"/>
              </w:rPr>
            </w:pPr>
            <w:r>
              <w:rPr>
                <w:rFonts w:hint="eastAsia" w:ascii="宋体" w:hAnsi="宋体"/>
                <w:color w:val="0C0C0C"/>
                <w:sz w:val="24"/>
              </w:rPr>
              <w:t>品牌型号规格</w:t>
            </w:r>
          </w:p>
        </w:tc>
        <w:tc>
          <w:tcPr>
            <w:tcW w:w="800" w:type="dxa"/>
            <w:shd w:val="clear" w:color="auto" w:fill="D9D9D9"/>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数量</w:t>
            </w:r>
          </w:p>
        </w:tc>
        <w:tc>
          <w:tcPr>
            <w:tcW w:w="1676" w:type="dxa"/>
            <w:shd w:val="clear" w:color="auto" w:fill="D9D9D9"/>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制造商名称</w:t>
            </w:r>
          </w:p>
        </w:tc>
        <w:tc>
          <w:tcPr>
            <w:tcW w:w="1316" w:type="dxa"/>
            <w:shd w:val="clear" w:color="auto" w:fill="D9D9D9"/>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单价</w:t>
            </w:r>
          </w:p>
        </w:tc>
        <w:tc>
          <w:tcPr>
            <w:tcW w:w="1357" w:type="dxa"/>
            <w:shd w:val="clear" w:color="auto" w:fill="D9D9D9"/>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分项合计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2" w:type="dxa"/>
            <w:vAlign w:val="center"/>
          </w:tcPr>
          <w:p>
            <w:pPr>
              <w:numPr>
                <w:ilvl w:val="0"/>
                <w:numId w:val="59"/>
              </w:numPr>
              <w:tabs>
                <w:tab w:val="left" w:pos="82"/>
              </w:tabs>
              <w:adjustRightInd w:val="0"/>
              <w:snapToGrid w:val="0"/>
              <w:jc w:val="center"/>
              <w:rPr>
                <w:rFonts w:ascii="宋体" w:hAnsi="宋体"/>
                <w:sz w:val="24"/>
              </w:rPr>
            </w:pPr>
          </w:p>
        </w:tc>
        <w:tc>
          <w:tcPr>
            <w:tcW w:w="2611" w:type="dxa"/>
            <w:vAlign w:val="center"/>
          </w:tcPr>
          <w:p>
            <w:pPr>
              <w:tabs>
                <w:tab w:val="left" w:pos="0"/>
                <w:tab w:val="left" w:pos="56"/>
              </w:tabs>
              <w:adjustRightInd w:val="0"/>
              <w:snapToGrid w:val="0"/>
              <w:ind w:left="547" w:hanging="547" w:hangingChars="228"/>
              <w:jc w:val="center"/>
              <w:rPr>
                <w:rFonts w:ascii="宋体" w:hAnsi="宋体"/>
                <w:sz w:val="24"/>
              </w:rPr>
            </w:pPr>
            <w:r>
              <w:rPr>
                <w:rFonts w:hint="eastAsia" w:ascii="宋体" w:hAnsi="宋体"/>
                <w:sz w:val="24"/>
              </w:rPr>
              <w:t>货物1（工程或服务）</w:t>
            </w:r>
          </w:p>
        </w:tc>
        <w:tc>
          <w:tcPr>
            <w:tcW w:w="1134" w:type="dxa"/>
            <w:vAlign w:val="center"/>
          </w:tcPr>
          <w:p>
            <w:pPr>
              <w:spacing w:line="240" w:lineRule="atLeast"/>
              <w:ind w:left="-48" w:leftChars="-23" w:right="-65" w:rightChars="-31"/>
              <w:jc w:val="left"/>
              <w:rPr>
                <w:rFonts w:ascii="宋体" w:hAnsi="宋体" w:cs="宋体"/>
                <w:color w:val="0D0D0D"/>
                <w:kern w:val="0"/>
                <w:sz w:val="24"/>
                <w:szCs w:val="24"/>
              </w:rPr>
            </w:pPr>
          </w:p>
        </w:tc>
        <w:tc>
          <w:tcPr>
            <w:tcW w:w="800" w:type="dxa"/>
            <w:vAlign w:val="center"/>
          </w:tcPr>
          <w:p>
            <w:pPr>
              <w:spacing w:line="240" w:lineRule="atLeast"/>
              <w:ind w:left="-48" w:leftChars="-23" w:right="-375" w:rightChars="-179"/>
              <w:jc w:val="center"/>
              <w:rPr>
                <w:rFonts w:ascii="宋体" w:hAnsi="宋体" w:cs="宋体"/>
                <w:color w:val="0D0D0D"/>
                <w:kern w:val="0"/>
                <w:sz w:val="24"/>
                <w:szCs w:val="24"/>
              </w:rPr>
            </w:pPr>
          </w:p>
        </w:tc>
        <w:tc>
          <w:tcPr>
            <w:tcW w:w="1676"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316" w:type="dxa"/>
            <w:vAlign w:val="center"/>
          </w:tcPr>
          <w:p>
            <w:pPr>
              <w:spacing w:line="240" w:lineRule="atLeast"/>
              <w:ind w:left="-48" w:leftChars="-23" w:right="-65" w:rightChars="-31"/>
              <w:jc w:val="left"/>
              <w:rPr>
                <w:rFonts w:ascii="宋体" w:hAnsi="宋体" w:cs="宋体"/>
                <w:color w:val="0D0D0D"/>
                <w:kern w:val="0"/>
                <w:sz w:val="24"/>
                <w:szCs w:val="24"/>
              </w:rPr>
            </w:pPr>
          </w:p>
        </w:tc>
        <w:tc>
          <w:tcPr>
            <w:tcW w:w="1357" w:type="dxa"/>
            <w:vAlign w:val="center"/>
          </w:tcPr>
          <w:p>
            <w:pPr>
              <w:spacing w:line="240" w:lineRule="atLeast"/>
              <w:ind w:left="-48" w:leftChars="-23" w:right="-65" w:rightChars="-31"/>
              <w:jc w:val="center"/>
              <w:rPr>
                <w:rFonts w:ascii="宋体" w:hAnsi="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2" w:type="dxa"/>
            <w:vAlign w:val="center"/>
          </w:tcPr>
          <w:p>
            <w:pPr>
              <w:numPr>
                <w:ilvl w:val="0"/>
                <w:numId w:val="59"/>
              </w:numPr>
              <w:tabs>
                <w:tab w:val="left" w:pos="82"/>
              </w:tabs>
              <w:adjustRightInd w:val="0"/>
              <w:snapToGrid w:val="0"/>
              <w:jc w:val="center"/>
              <w:rPr>
                <w:rFonts w:ascii="宋体" w:hAnsi="宋体"/>
                <w:sz w:val="24"/>
              </w:rPr>
            </w:pPr>
          </w:p>
        </w:tc>
        <w:tc>
          <w:tcPr>
            <w:tcW w:w="2611" w:type="dxa"/>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货物2（工程或服务）</w:t>
            </w:r>
          </w:p>
        </w:tc>
        <w:tc>
          <w:tcPr>
            <w:tcW w:w="1134" w:type="dxa"/>
            <w:vAlign w:val="center"/>
          </w:tcPr>
          <w:p>
            <w:pPr>
              <w:spacing w:line="240" w:lineRule="atLeast"/>
              <w:ind w:left="-48" w:leftChars="-23" w:right="-65" w:rightChars="-31"/>
              <w:jc w:val="left"/>
              <w:rPr>
                <w:rFonts w:ascii="宋体" w:hAnsi="宋体" w:cs="宋体"/>
                <w:color w:val="0D0D0D"/>
                <w:kern w:val="0"/>
                <w:sz w:val="24"/>
                <w:szCs w:val="24"/>
              </w:rPr>
            </w:pPr>
          </w:p>
        </w:tc>
        <w:tc>
          <w:tcPr>
            <w:tcW w:w="800"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676"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316" w:type="dxa"/>
            <w:vAlign w:val="center"/>
          </w:tcPr>
          <w:p>
            <w:pPr>
              <w:spacing w:line="240" w:lineRule="atLeast"/>
              <w:ind w:left="-48" w:leftChars="-23" w:right="-65" w:rightChars="-31"/>
              <w:jc w:val="left"/>
              <w:rPr>
                <w:rFonts w:ascii="宋体" w:hAnsi="宋体" w:cs="宋体"/>
                <w:color w:val="0D0D0D"/>
                <w:kern w:val="0"/>
                <w:sz w:val="24"/>
                <w:szCs w:val="24"/>
              </w:rPr>
            </w:pPr>
          </w:p>
        </w:tc>
        <w:tc>
          <w:tcPr>
            <w:tcW w:w="1357" w:type="dxa"/>
            <w:vAlign w:val="center"/>
          </w:tcPr>
          <w:p>
            <w:pPr>
              <w:spacing w:line="240" w:lineRule="atLeast"/>
              <w:ind w:left="-48" w:leftChars="-23" w:right="-65" w:rightChars="-31"/>
              <w:jc w:val="center"/>
              <w:rPr>
                <w:rFonts w:ascii="宋体" w:hAnsi="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2" w:type="dxa"/>
            <w:vAlign w:val="center"/>
          </w:tcPr>
          <w:p>
            <w:pPr>
              <w:numPr>
                <w:ilvl w:val="0"/>
                <w:numId w:val="59"/>
              </w:numPr>
              <w:tabs>
                <w:tab w:val="left" w:pos="82"/>
              </w:tabs>
              <w:adjustRightInd w:val="0"/>
              <w:snapToGrid w:val="0"/>
              <w:jc w:val="center"/>
              <w:rPr>
                <w:rFonts w:ascii="宋体" w:hAnsi="宋体"/>
                <w:sz w:val="24"/>
              </w:rPr>
            </w:pPr>
          </w:p>
        </w:tc>
        <w:tc>
          <w:tcPr>
            <w:tcW w:w="2611" w:type="dxa"/>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货物3（工程或服务）</w:t>
            </w:r>
          </w:p>
        </w:tc>
        <w:tc>
          <w:tcPr>
            <w:tcW w:w="1134" w:type="dxa"/>
            <w:vAlign w:val="center"/>
          </w:tcPr>
          <w:p>
            <w:pPr>
              <w:spacing w:line="240" w:lineRule="atLeast"/>
              <w:ind w:left="-48" w:leftChars="-23" w:right="-65" w:rightChars="-31"/>
              <w:jc w:val="left"/>
              <w:rPr>
                <w:rFonts w:ascii="宋体" w:hAnsi="宋体" w:cs="宋体"/>
                <w:color w:val="0D0D0D"/>
                <w:kern w:val="0"/>
                <w:sz w:val="24"/>
                <w:szCs w:val="24"/>
              </w:rPr>
            </w:pPr>
          </w:p>
        </w:tc>
        <w:tc>
          <w:tcPr>
            <w:tcW w:w="800"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676"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316" w:type="dxa"/>
            <w:vAlign w:val="center"/>
          </w:tcPr>
          <w:p>
            <w:pPr>
              <w:spacing w:line="240" w:lineRule="atLeast"/>
              <w:ind w:left="-48" w:leftChars="-23" w:right="-65" w:rightChars="-31"/>
              <w:jc w:val="left"/>
              <w:rPr>
                <w:rFonts w:ascii="宋体" w:hAnsi="宋体" w:cs="宋体"/>
                <w:color w:val="0D0D0D"/>
                <w:kern w:val="0"/>
                <w:sz w:val="24"/>
                <w:szCs w:val="24"/>
              </w:rPr>
            </w:pPr>
          </w:p>
        </w:tc>
        <w:tc>
          <w:tcPr>
            <w:tcW w:w="1357" w:type="dxa"/>
            <w:vAlign w:val="center"/>
          </w:tcPr>
          <w:p>
            <w:pPr>
              <w:spacing w:line="240" w:lineRule="atLeast"/>
              <w:ind w:left="-48" w:leftChars="-23" w:right="-65" w:rightChars="-31"/>
              <w:jc w:val="center"/>
              <w:rPr>
                <w:rFonts w:ascii="宋体" w:hAnsi="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2" w:type="dxa"/>
            <w:vAlign w:val="center"/>
          </w:tcPr>
          <w:p>
            <w:pPr>
              <w:numPr>
                <w:ilvl w:val="0"/>
                <w:numId w:val="59"/>
              </w:numPr>
              <w:tabs>
                <w:tab w:val="left" w:pos="82"/>
              </w:tabs>
              <w:adjustRightInd w:val="0"/>
              <w:snapToGrid w:val="0"/>
              <w:jc w:val="center"/>
              <w:rPr>
                <w:rFonts w:ascii="宋体" w:hAnsi="宋体"/>
                <w:sz w:val="24"/>
              </w:rPr>
            </w:pPr>
          </w:p>
        </w:tc>
        <w:tc>
          <w:tcPr>
            <w:tcW w:w="2611" w:type="dxa"/>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货物4（工程或服务）</w:t>
            </w:r>
          </w:p>
        </w:tc>
        <w:tc>
          <w:tcPr>
            <w:tcW w:w="1134" w:type="dxa"/>
            <w:vAlign w:val="center"/>
          </w:tcPr>
          <w:p>
            <w:pPr>
              <w:spacing w:line="240" w:lineRule="atLeast"/>
              <w:ind w:left="-48" w:leftChars="-23" w:right="-65" w:rightChars="-31"/>
              <w:jc w:val="left"/>
              <w:rPr>
                <w:rFonts w:ascii="宋体" w:hAnsi="宋体" w:cs="宋体"/>
                <w:color w:val="0D0D0D"/>
                <w:kern w:val="0"/>
                <w:sz w:val="24"/>
                <w:szCs w:val="24"/>
              </w:rPr>
            </w:pPr>
          </w:p>
        </w:tc>
        <w:tc>
          <w:tcPr>
            <w:tcW w:w="800"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676"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316" w:type="dxa"/>
            <w:vAlign w:val="center"/>
          </w:tcPr>
          <w:p>
            <w:pPr>
              <w:spacing w:line="240" w:lineRule="atLeast"/>
              <w:ind w:left="-48" w:leftChars="-23" w:right="-65" w:rightChars="-31"/>
              <w:jc w:val="left"/>
              <w:rPr>
                <w:rFonts w:ascii="宋体" w:hAnsi="宋体" w:cs="宋体"/>
                <w:color w:val="0D0D0D"/>
                <w:kern w:val="0"/>
                <w:sz w:val="24"/>
                <w:szCs w:val="24"/>
              </w:rPr>
            </w:pPr>
          </w:p>
        </w:tc>
        <w:tc>
          <w:tcPr>
            <w:tcW w:w="1357" w:type="dxa"/>
            <w:vAlign w:val="center"/>
          </w:tcPr>
          <w:p>
            <w:pPr>
              <w:spacing w:line="240" w:lineRule="atLeast"/>
              <w:ind w:left="-48" w:leftChars="-23" w:right="-65" w:rightChars="-31"/>
              <w:jc w:val="center"/>
              <w:rPr>
                <w:rFonts w:ascii="宋体" w:hAnsi="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2" w:type="dxa"/>
            <w:vAlign w:val="center"/>
          </w:tcPr>
          <w:p>
            <w:pPr>
              <w:numPr>
                <w:ilvl w:val="0"/>
                <w:numId w:val="59"/>
              </w:numPr>
              <w:tabs>
                <w:tab w:val="left" w:pos="82"/>
              </w:tabs>
              <w:adjustRightInd w:val="0"/>
              <w:snapToGrid w:val="0"/>
              <w:jc w:val="center"/>
              <w:rPr>
                <w:rFonts w:ascii="宋体" w:hAnsi="宋体"/>
                <w:sz w:val="24"/>
              </w:rPr>
            </w:pPr>
          </w:p>
        </w:tc>
        <w:tc>
          <w:tcPr>
            <w:tcW w:w="2611" w:type="dxa"/>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货物5（工程或服务）</w:t>
            </w:r>
          </w:p>
        </w:tc>
        <w:tc>
          <w:tcPr>
            <w:tcW w:w="1134" w:type="dxa"/>
            <w:vAlign w:val="center"/>
          </w:tcPr>
          <w:p>
            <w:pPr>
              <w:spacing w:line="240" w:lineRule="atLeast"/>
              <w:ind w:left="-48" w:leftChars="-23" w:right="-65" w:rightChars="-31"/>
              <w:jc w:val="left"/>
              <w:rPr>
                <w:rFonts w:ascii="宋体" w:hAnsi="宋体" w:cs="宋体"/>
                <w:color w:val="0D0D0D"/>
                <w:kern w:val="0"/>
                <w:sz w:val="24"/>
                <w:szCs w:val="24"/>
              </w:rPr>
            </w:pPr>
          </w:p>
        </w:tc>
        <w:tc>
          <w:tcPr>
            <w:tcW w:w="800"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676"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316" w:type="dxa"/>
            <w:vAlign w:val="center"/>
          </w:tcPr>
          <w:p>
            <w:pPr>
              <w:spacing w:line="240" w:lineRule="atLeast"/>
              <w:ind w:left="-48" w:leftChars="-23" w:right="-65" w:rightChars="-31"/>
              <w:jc w:val="left"/>
              <w:rPr>
                <w:rFonts w:ascii="宋体" w:hAnsi="宋体" w:cs="宋体"/>
                <w:color w:val="0D0D0D"/>
                <w:kern w:val="0"/>
                <w:sz w:val="24"/>
                <w:szCs w:val="24"/>
              </w:rPr>
            </w:pPr>
          </w:p>
        </w:tc>
        <w:tc>
          <w:tcPr>
            <w:tcW w:w="1357" w:type="dxa"/>
            <w:vAlign w:val="center"/>
          </w:tcPr>
          <w:p>
            <w:pPr>
              <w:spacing w:line="240" w:lineRule="atLeast"/>
              <w:ind w:left="-48" w:leftChars="-23" w:right="-65" w:rightChars="-31"/>
              <w:jc w:val="center"/>
              <w:rPr>
                <w:rFonts w:ascii="宋体" w:hAnsi="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2" w:type="dxa"/>
            <w:vAlign w:val="center"/>
          </w:tcPr>
          <w:p>
            <w:pPr>
              <w:numPr>
                <w:ilvl w:val="0"/>
                <w:numId w:val="59"/>
              </w:numPr>
              <w:tabs>
                <w:tab w:val="left" w:pos="82"/>
              </w:tabs>
              <w:adjustRightInd w:val="0"/>
              <w:snapToGrid w:val="0"/>
              <w:jc w:val="center"/>
              <w:rPr>
                <w:rFonts w:ascii="宋体" w:hAnsi="宋体"/>
                <w:sz w:val="24"/>
              </w:rPr>
            </w:pPr>
          </w:p>
        </w:tc>
        <w:tc>
          <w:tcPr>
            <w:tcW w:w="2611" w:type="dxa"/>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货物6（工程或服务）</w:t>
            </w:r>
          </w:p>
        </w:tc>
        <w:tc>
          <w:tcPr>
            <w:tcW w:w="1134" w:type="dxa"/>
            <w:vAlign w:val="center"/>
          </w:tcPr>
          <w:p>
            <w:pPr>
              <w:spacing w:line="240" w:lineRule="atLeast"/>
              <w:ind w:left="-48" w:leftChars="-23" w:right="-65" w:rightChars="-31"/>
              <w:jc w:val="left"/>
              <w:rPr>
                <w:rFonts w:ascii="宋体" w:hAnsi="宋体" w:cs="宋体"/>
                <w:color w:val="0D0D0D"/>
                <w:kern w:val="0"/>
                <w:sz w:val="24"/>
                <w:szCs w:val="24"/>
              </w:rPr>
            </w:pPr>
          </w:p>
        </w:tc>
        <w:tc>
          <w:tcPr>
            <w:tcW w:w="800"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676"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316" w:type="dxa"/>
            <w:vAlign w:val="center"/>
          </w:tcPr>
          <w:p>
            <w:pPr>
              <w:spacing w:line="240" w:lineRule="atLeast"/>
              <w:ind w:left="-48" w:leftChars="-23" w:right="-65" w:rightChars="-31"/>
              <w:jc w:val="left"/>
              <w:rPr>
                <w:rFonts w:ascii="宋体" w:hAnsi="宋体" w:cs="宋体"/>
                <w:color w:val="0D0D0D"/>
                <w:kern w:val="0"/>
                <w:sz w:val="24"/>
                <w:szCs w:val="24"/>
              </w:rPr>
            </w:pPr>
          </w:p>
        </w:tc>
        <w:tc>
          <w:tcPr>
            <w:tcW w:w="1357" w:type="dxa"/>
            <w:vAlign w:val="center"/>
          </w:tcPr>
          <w:p>
            <w:pPr>
              <w:spacing w:line="240" w:lineRule="atLeast"/>
              <w:ind w:left="-48" w:leftChars="-23" w:right="-65" w:rightChars="-31"/>
              <w:jc w:val="center"/>
              <w:rPr>
                <w:rFonts w:ascii="宋体" w:hAnsi="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52" w:type="dxa"/>
            <w:vAlign w:val="center"/>
          </w:tcPr>
          <w:p>
            <w:pPr>
              <w:tabs>
                <w:tab w:val="left" w:pos="82"/>
              </w:tabs>
              <w:adjustRightInd w:val="0"/>
              <w:snapToGrid w:val="0"/>
              <w:jc w:val="center"/>
              <w:rPr>
                <w:rFonts w:ascii="宋体" w:hAnsi="宋体"/>
                <w:sz w:val="24"/>
              </w:rPr>
            </w:pPr>
            <w:r>
              <w:rPr>
                <w:rFonts w:hint="eastAsia" w:ascii="宋体" w:hAnsi="宋体"/>
                <w:sz w:val="24"/>
              </w:rPr>
              <w:t>…</w:t>
            </w:r>
          </w:p>
        </w:tc>
        <w:tc>
          <w:tcPr>
            <w:tcW w:w="2611" w:type="dxa"/>
            <w:vAlign w:val="center"/>
          </w:tcPr>
          <w:p>
            <w:pPr>
              <w:spacing w:line="240" w:lineRule="atLeast"/>
              <w:ind w:left="-48" w:leftChars="-23" w:right="-65" w:rightChars="-31"/>
              <w:jc w:val="left"/>
              <w:rPr>
                <w:rFonts w:ascii="宋体" w:hAnsi="宋体" w:cs="宋体"/>
                <w:color w:val="0D0D0D"/>
                <w:kern w:val="0"/>
                <w:sz w:val="24"/>
                <w:szCs w:val="24"/>
              </w:rPr>
            </w:pPr>
          </w:p>
        </w:tc>
        <w:tc>
          <w:tcPr>
            <w:tcW w:w="1134" w:type="dxa"/>
            <w:vAlign w:val="center"/>
          </w:tcPr>
          <w:p>
            <w:pPr>
              <w:spacing w:line="240" w:lineRule="atLeast"/>
              <w:ind w:left="-48" w:leftChars="-23" w:right="-65" w:rightChars="-31"/>
              <w:jc w:val="left"/>
              <w:rPr>
                <w:rFonts w:ascii="宋体" w:hAnsi="宋体" w:cs="宋体"/>
                <w:color w:val="0D0D0D"/>
                <w:kern w:val="0"/>
                <w:sz w:val="24"/>
                <w:szCs w:val="24"/>
              </w:rPr>
            </w:pPr>
          </w:p>
        </w:tc>
        <w:tc>
          <w:tcPr>
            <w:tcW w:w="800"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676" w:type="dxa"/>
            <w:vAlign w:val="center"/>
          </w:tcPr>
          <w:p>
            <w:pPr>
              <w:spacing w:line="240" w:lineRule="atLeast"/>
              <w:ind w:left="-48" w:leftChars="-23" w:right="-65" w:rightChars="-31"/>
              <w:jc w:val="center"/>
              <w:rPr>
                <w:rFonts w:ascii="宋体" w:hAnsi="宋体" w:cs="宋体"/>
                <w:color w:val="0D0D0D"/>
                <w:kern w:val="0"/>
                <w:sz w:val="24"/>
                <w:szCs w:val="24"/>
              </w:rPr>
            </w:pPr>
          </w:p>
        </w:tc>
        <w:tc>
          <w:tcPr>
            <w:tcW w:w="1316" w:type="dxa"/>
            <w:vAlign w:val="center"/>
          </w:tcPr>
          <w:p>
            <w:pPr>
              <w:spacing w:line="240" w:lineRule="atLeast"/>
              <w:ind w:left="-48" w:leftChars="-23" w:right="-65" w:rightChars="-31"/>
              <w:jc w:val="left"/>
              <w:rPr>
                <w:rFonts w:ascii="宋体" w:hAnsi="宋体" w:cs="宋体"/>
                <w:color w:val="0D0D0D"/>
                <w:kern w:val="0"/>
                <w:sz w:val="24"/>
                <w:szCs w:val="24"/>
              </w:rPr>
            </w:pPr>
          </w:p>
        </w:tc>
        <w:tc>
          <w:tcPr>
            <w:tcW w:w="1357" w:type="dxa"/>
            <w:vAlign w:val="center"/>
          </w:tcPr>
          <w:p>
            <w:pPr>
              <w:spacing w:line="240" w:lineRule="atLeast"/>
              <w:ind w:left="-48" w:leftChars="-23" w:right="-65" w:rightChars="-31"/>
              <w:jc w:val="center"/>
              <w:rPr>
                <w:rFonts w:ascii="宋体" w:hAnsi="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873" w:type="dxa"/>
            <w:gridSpan w:val="5"/>
            <w:vAlign w:val="center"/>
          </w:tcPr>
          <w:p>
            <w:pPr>
              <w:spacing w:line="240" w:lineRule="atLeast"/>
              <w:ind w:left="-48" w:leftChars="-23" w:right="-65" w:rightChars="-31"/>
              <w:jc w:val="center"/>
              <w:rPr>
                <w:rFonts w:ascii="宋体" w:hAnsi="宋体" w:cs="宋体"/>
                <w:color w:val="0D0D0D"/>
                <w:kern w:val="0"/>
                <w:sz w:val="24"/>
                <w:szCs w:val="24"/>
              </w:rPr>
            </w:pPr>
            <w:r>
              <w:rPr>
                <w:rFonts w:hint="eastAsia" w:ascii="宋体" w:hAnsi="宋体" w:cs="宋体"/>
                <w:color w:val="0D0D0D"/>
                <w:kern w:val="0"/>
                <w:sz w:val="24"/>
                <w:szCs w:val="24"/>
              </w:rPr>
              <w:t>合计</w:t>
            </w:r>
          </w:p>
        </w:tc>
        <w:tc>
          <w:tcPr>
            <w:tcW w:w="2673" w:type="dxa"/>
            <w:gridSpan w:val="2"/>
            <w:vAlign w:val="center"/>
          </w:tcPr>
          <w:p>
            <w:pPr>
              <w:spacing w:line="240" w:lineRule="atLeast"/>
              <w:ind w:left="-48" w:leftChars="-23" w:right="-65" w:rightChars="-31"/>
              <w:jc w:val="left"/>
              <w:rPr>
                <w:rFonts w:ascii="宋体" w:hAnsi="宋体" w:cs="宋体"/>
                <w:color w:val="0D0D0D"/>
                <w:kern w:val="0"/>
                <w:sz w:val="24"/>
                <w:szCs w:val="24"/>
              </w:rPr>
            </w:pPr>
          </w:p>
        </w:tc>
      </w:tr>
    </w:tbl>
    <w:p>
      <w:pPr>
        <w:spacing w:line="360" w:lineRule="auto"/>
        <w:ind w:left="1049" w:hanging="1048" w:hangingChars="437"/>
        <w:jc w:val="left"/>
        <w:rPr>
          <w:rFonts w:ascii="宋体" w:hAnsi="宋体"/>
          <w:sz w:val="24"/>
        </w:rPr>
      </w:pPr>
      <w:r>
        <w:rPr>
          <w:rFonts w:hint="eastAsia" w:ascii="宋体" w:hAnsi="宋体"/>
          <w:sz w:val="24"/>
        </w:rPr>
        <w:t>说明：1．所有价格均用人民币表示，单位为元。</w:t>
      </w:r>
    </w:p>
    <w:p>
      <w:pPr>
        <w:spacing w:line="360" w:lineRule="auto"/>
        <w:ind w:left="1061" w:leftChars="339" w:hanging="350" w:hangingChars="146"/>
        <w:jc w:val="left"/>
        <w:rPr>
          <w:rFonts w:ascii="宋体" w:hAnsi="宋体"/>
          <w:color w:val="0D0D0D"/>
          <w:sz w:val="24"/>
        </w:rPr>
      </w:pPr>
      <w:r>
        <w:rPr>
          <w:rFonts w:hint="eastAsia" w:ascii="宋体" w:hAnsi="宋体"/>
          <w:color w:val="0D0D0D"/>
          <w:sz w:val="24"/>
        </w:rPr>
        <w:t>2．报价明细表合计应与《开标一览表》中的投标总报价一致。</w:t>
      </w:r>
    </w:p>
    <w:p>
      <w:pPr>
        <w:spacing w:line="360" w:lineRule="auto"/>
        <w:ind w:left="1061" w:leftChars="339" w:hanging="350" w:hangingChars="146"/>
        <w:jc w:val="left"/>
        <w:rPr>
          <w:rFonts w:ascii="宋体" w:hAnsi="宋体"/>
          <w:color w:val="0D0D0D"/>
          <w:sz w:val="24"/>
        </w:rPr>
      </w:pPr>
      <w:r>
        <w:rPr>
          <w:rFonts w:hint="eastAsia" w:ascii="宋体" w:hAnsi="宋体"/>
          <w:color w:val="0D0D0D"/>
          <w:sz w:val="24"/>
        </w:rPr>
        <w:t>3．未提供详细的货物（工程或服务）报价明细</w:t>
      </w:r>
      <w:r>
        <w:rPr>
          <w:rFonts w:hint="eastAsia" w:ascii="宋体" w:hAnsi="宋体" w:cs="Corbel"/>
          <w:sz w:val="24"/>
        </w:rPr>
        <w:t>，</w:t>
      </w:r>
      <w:r>
        <w:rPr>
          <w:rFonts w:hint="eastAsia" w:ascii="宋体" w:hAnsi="宋体"/>
          <w:sz w:val="24"/>
        </w:rPr>
        <w:t>导致的后果由投标人自行承担。</w:t>
      </w:r>
    </w:p>
    <w:p>
      <w:pPr>
        <w:spacing w:line="360" w:lineRule="auto"/>
        <w:ind w:left="950" w:hanging="950" w:hangingChars="396"/>
        <w:jc w:val="left"/>
        <w:rPr>
          <w:rFonts w:ascii="宋体" w:hAnsi="宋体" w:cs="Times New Roman"/>
          <w:sz w:val="24"/>
          <w:szCs w:val="24"/>
        </w:rPr>
      </w:pPr>
    </w:p>
    <w:p>
      <w:pPr>
        <w:spacing w:line="360" w:lineRule="auto"/>
        <w:ind w:left="950" w:hanging="950" w:hangingChars="396"/>
        <w:jc w:val="left"/>
        <w:rPr>
          <w:rFonts w:ascii="宋体" w:hAnsi="宋体" w:cs="Times New Roman"/>
          <w:sz w:val="24"/>
          <w:szCs w:val="24"/>
        </w:rPr>
      </w:pPr>
    </w:p>
    <w:p>
      <w:pPr>
        <w:spacing w:line="360" w:lineRule="auto"/>
        <w:ind w:left="950" w:hanging="950" w:hangingChars="396"/>
        <w:jc w:val="left"/>
        <w:rPr>
          <w:rFonts w:ascii="宋体" w:hAnsi="宋体" w:cs="Times New Roman"/>
          <w:sz w:val="24"/>
          <w:szCs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bCs/>
          <w:sz w:val="24"/>
          <w:szCs w:val="21"/>
        </w:rPr>
        <w:t>投标人</w:t>
      </w:r>
      <w:r>
        <w:rPr>
          <w:rFonts w:hint="eastAsia" w:hAnsi="宋体"/>
          <w:b/>
          <w:bCs/>
          <w:sz w:val="24"/>
        </w:rPr>
        <w:t>授权代表（签字）：</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bCs/>
          <w:sz w:val="24"/>
          <w:szCs w:val="21"/>
        </w:rPr>
        <w:t>投标</w:t>
      </w:r>
      <w:r>
        <w:rPr>
          <w:rFonts w:hint="eastAsia" w:hAnsi="宋体"/>
          <w:b/>
          <w:bCs/>
          <w:sz w:val="24"/>
        </w:rPr>
        <w:t>时间：</w:t>
      </w:r>
    </w:p>
    <w:p>
      <w:r>
        <w:br w:type="page"/>
      </w:r>
    </w:p>
    <w:p>
      <w:pPr>
        <w:pStyle w:val="3"/>
        <w:numPr>
          <w:ilvl w:val="0"/>
          <w:numId w:val="56"/>
        </w:numPr>
        <w:spacing w:before="100" w:beforeAutospacing="1" w:afterLines="50" w:line="360" w:lineRule="auto"/>
        <w:ind w:left="1288" w:hanging="1288"/>
        <w:rPr>
          <w:rFonts w:ascii="宋体" w:hAnsi="宋体"/>
          <w:sz w:val="31"/>
          <w:szCs w:val="31"/>
        </w:rPr>
      </w:pPr>
      <w:bookmarkStart w:id="155" w:name="_Toc494702277"/>
      <w:bookmarkStart w:id="156" w:name="_Toc494665957"/>
      <w:bookmarkStart w:id="157" w:name="_Toc494721107"/>
      <w:bookmarkStart w:id="158" w:name="_Toc494745324"/>
      <w:bookmarkStart w:id="159" w:name="_Toc494665007"/>
      <w:bookmarkStart w:id="160" w:name="_Toc494665560"/>
      <w:bookmarkStart w:id="161" w:name="_Toc494577412"/>
      <w:bookmarkStart w:id="162" w:name="_Toc497459207"/>
      <w:r>
        <w:rPr>
          <w:rFonts w:hint="eastAsia" w:ascii="宋体" w:hAnsi="宋体"/>
          <w:sz w:val="31"/>
          <w:szCs w:val="31"/>
        </w:rPr>
        <w:t>小型和微型企业、监狱企业、残疾人福利性单位货物汇总表</w:t>
      </w:r>
      <w:bookmarkEnd w:id="155"/>
      <w:bookmarkEnd w:id="156"/>
      <w:bookmarkEnd w:id="157"/>
      <w:bookmarkEnd w:id="158"/>
      <w:bookmarkEnd w:id="159"/>
      <w:bookmarkEnd w:id="160"/>
      <w:bookmarkEnd w:id="161"/>
      <w:bookmarkEnd w:id="162"/>
    </w:p>
    <w:p>
      <w:pPr>
        <w:spacing w:line="360" w:lineRule="auto"/>
        <w:jc w:val="left"/>
        <w:rPr>
          <w:rFonts w:hAnsi="宋体"/>
          <w:b/>
          <w:sz w:val="24"/>
        </w:rPr>
      </w:pPr>
      <w:r>
        <w:rPr>
          <w:rFonts w:hint="eastAsia" w:hAnsi="宋体"/>
          <w:b/>
          <w:sz w:val="24"/>
        </w:rPr>
        <w:t>投标人：</w:t>
      </w:r>
    </w:p>
    <w:p>
      <w:pPr>
        <w:spacing w:line="360" w:lineRule="auto"/>
        <w:jc w:val="left"/>
        <w:rPr>
          <w:rFonts w:hAnsi="宋体"/>
          <w:b/>
          <w:sz w:val="24"/>
        </w:rPr>
      </w:pPr>
      <w:r>
        <w:rPr>
          <w:rFonts w:hint="eastAsia" w:ascii="宋体" w:hAnsi="宋体" w:cs="Times New Roman"/>
          <w:b/>
          <w:sz w:val="24"/>
          <w:szCs w:val="21"/>
        </w:rPr>
        <w:t>项目编号：</w:t>
      </w:r>
      <w:r>
        <w:rPr>
          <w:rFonts w:hint="eastAsia" w:ascii="宋体" w:hAnsi="宋体" w:cs="Times New Roman"/>
          <w:b/>
          <w:bCs/>
          <w:sz w:val="24"/>
          <w:szCs w:val="21"/>
        </w:rPr>
        <w:t xml:space="preserve">                所投包号：</w:t>
      </w:r>
    </w:p>
    <w:tbl>
      <w:tblPr>
        <w:tblStyle w:val="14"/>
        <w:tblW w:w="9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552"/>
        <w:gridCol w:w="1560"/>
        <w:gridCol w:w="1133"/>
        <w:gridCol w:w="848"/>
        <w:gridCol w:w="1100"/>
        <w:gridCol w:w="113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9" w:type="dxa"/>
            <w:shd w:val="clear" w:color="auto" w:fill="F2F2F2"/>
            <w:vAlign w:val="center"/>
          </w:tcPr>
          <w:p>
            <w:pPr>
              <w:adjustRightInd w:val="0"/>
              <w:snapToGrid w:val="0"/>
              <w:ind w:left="-88" w:leftChars="-42"/>
              <w:jc w:val="center"/>
              <w:rPr>
                <w:rFonts w:ascii="宋体" w:hAnsi="宋体"/>
                <w:sz w:val="24"/>
              </w:rPr>
            </w:pPr>
            <w:r>
              <w:rPr>
                <w:rFonts w:hint="eastAsia" w:ascii="宋体" w:hAnsi="宋体"/>
                <w:sz w:val="24"/>
              </w:rPr>
              <w:t>序号</w:t>
            </w:r>
          </w:p>
        </w:tc>
        <w:tc>
          <w:tcPr>
            <w:tcW w:w="1552" w:type="dxa"/>
            <w:shd w:val="clear" w:color="auto" w:fill="F2F2F2"/>
            <w:vAlign w:val="center"/>
          </w:tcPr>
          <w:p>
            <w:pPr>
              <w:adjustRightInd w:val="0"/>
              <w:snapToGrid w:val="0"/>
              <w:ind w:left="-88" w:leftChars="-42"/>
              <w:jc w:val="center"/>
              <w:rPr>
                <w:rFonts w:ascii="宋体" w:hAnsi="宋体"/>
                <w:sz w:val="24"/>
              </w:rPr>
            </w:pPr>
            <w:r>
              <w:rPr>
                <w:rFonts w:hint="eastAsia" w:ascii="宋体" w:hAnsi="宋体"/>
                <w:sz w:val="24"/>
              </w:rPr>
              <w:t>制造商名称</w:t>
            </w:r>
          </w:p>
        </w:tc>
        <w:tc>
          <w:tcPr>
            <w:tcW w:w="1560" w:type="dxa"/>
            <w:shd w:val="clear" w:color="auto" w:fill="F2F2F2"/>
            <w:vAlign w:val="center"/>
          </w:tcPr>
          <w:p>
            <w:pPr>
              <w:adjustRightInd w:val="0"/>
              <w:snapToGrid w:val="0"/>
              <w:ind w:left="-88" w:leftChars="-42"/>
              <w:jc w:val="center"/>
              <w:rPr>
                <w:rFonts w:ascii="宋体" w:hAnsi="宋体"/>
                <w:sz w:val="24"/>
              </w:rPr>
            </w:pPr>
            <w:r>
              <w:rPr>
                <w:rFonts w:hint="eastAsia" w:ascii="宋体" w:hAnsi="宋体"/>
                <w:sz w:val="24"/>
              </w:rPr>
              <w:t>货物名称</w:t>
            </w:r>
          </w:p>
        </w:tc>
        <w:tc>
          <w:tcPr>
            <w:tcW w:w="1133" w:type="dxa"/>
            <w:shd w:val="clear" w:color="auto" w:fill="F2F2F2"/>
            <w:vAlign w:val="center"/>
          </w:tcPr>
          <w:p>
            <w:pPr>
              <w:adjustRightInd w:val="0"/>
              <w:snapToGrid w:val="0"/>
              <w:ind w:left="-88" w:leftChars="-42"/>
              <w:jc w:val="center"/>
              <w:rPr>
                <w:rFonts w:ascii="宋体" w:hAnsi="宋体"/>
                <w:sz w:val="24"/>
              </w:rPr>
            </w:pPr>
            <w:r>
              <w:rPr>
                <w:rFonts w:hint="eastAsia" w:ascii="宋体" w:hAnsi="宋体"/>
                <w:sz w:val="24"/>
              </w:rPr>
              <w:t>规格型号</w:t>
            </w:r>
          </w:p>
        </w:tc>
        <w:tc>
          <w:tcPr>
            <w:tcW w:w="848" w:type="dxa"/>
            <w:shd w:val="clear" w:color="auto" w:fill="F2F2F2"/>
            <w:vAlign w:val="center"/>
          </w:tcPr>
          <w:p>
            <w:pPr>
              <w:adjustRightInd w:val="0"/>
              <w:snapToGrid w:val="0"/>
              <w:ind w:left="-88" w:leftChars="-42"/>
              <w:jc w:val="center"/>
              <w:rPr>
                <w:rFonts w:ascii="宋体" w:hAnsi="宋体"/>
                <w:sz w:val="24"/>
              </w:rPr>
            </w:pPr>
            <w:r>
              <w:rPr>
                <w:rFonts w:hint="eastAsia" w:ascii="宋体" w:hAnsi="宋体"/>
                <w:sz w:val="24"/>
              </w:rPr>
              <w:t>数量</w:t>
            </w:r>
          </w:p>
        </w:tc>
        <w:tc>
          <w:tcPr>
            <w:tcW w:w="1100" w:type="dxa"/>
            <w:shd w:val="clear" w:color="auto" w:fill="F2F2F2"/>
            <w:vAlign w:val="center"/>
          </w:tcPr>
          <w:p>
            <w:pPr>
              <w:adjustRightInd w:val="0"/>
              <w:snapToGrid w:val="0"/>
              <w:ind w:left="-88" w:leftChars="-42"/>
              <w:jc w:val="center"/>
              <w:rPr>
                <w:rFonts w:ascii="宋体" w:hAnsi="宋体"/>
                <w:sz w:val="24"/>
              </w:rPr>
            </w:pPr>
            <w:r>
              <w:rPr>
                <w:rFonts w:hint="eastAsia" w:ascii="宋体" w:hAnsi="宋体"/>
                <w:sz w:val="24"/>
              </w:rPr>
              <w:t>单价</w:t>
            </w:r>
          </w:p>
        </w:tc>
        <w:tc>
          <w:tcPr>
            <w:tcW w:w="1134" w:type="dxa"/>
            <w:shd w:val="clear" w:color="auto" w:fill="F2F2F2"/>
            <w:vAlign w:val="center"/>
          </w:tcPr>
          <w:p>
            <w:pPr>
              <w:adjustRightInd w:val="0"/>
              <w:snapToGrid w:val="0"/>
              <w:ind w:left="-88" w:leftChars="-42"/>
              <w:jc w:val="center"/>
              <w:rPr>
                <w:rFonts w:ascii="宋体" w:hAnsi="宋体"/>
                <w:sz w:val="24"/>
              </w:rPr>
            </w:pPr>
            <w:r>
              <w:rPr>
                <w:rFonts w:hint="eastAsia" w:ascii="宋体" w:hAnsi="宋体"/>
                <w:sz w:val="24"/>
              </w:rPr>
              <w:t>分项</w:t>
            </w:r>
          </w:p>
          <w:p>
            <w:pPr>
              <w:adjustRightInd w:val="0"/>
              <w:snapToGrid w:val="0"/>
              <w:ind w:left="-88" w:leftChars="-42"/>
              <w:jc w:val="center"/>
              <w:rPr>
                <w:rFonts w:ascii="宋体" w:hAnsi="宋体"/>
                <w:sz w:val="24"/>
              </w:rPr>
            </w:pPr>
            <w:r>
              <w:rPr>
                <w:rFonts w:hint="eastAsia" w:ascii="宋体" w:hAnsi="宋体"/>
                <w:sz w:val="24"/>
              </w:rPr>
              <w:t>合计</w:t>
            </w:r>
          </w:p>
        </w:tc>
        <w:tc>
          <w:tcPr>
            <w:tcW w:w="1468" w:type="dxa"/>
            <w:shd w:val="clear" w:color="auto" w:fill="F2F2F2"/>
            <w:vAlign w:val="center"/>
          </w:tcPr>
          <w:p>
            <w:pPr>
              <w:adjustRightInd w:val="0"/>
              <w:snapToGrid w:val="0"/>
              <w:ind w:left="-88" w:leftChars="-42"/>
              <w:jc w:val="center"/>
              <w:rPr>
                <w:rFonts w:ascii="宋体" w:hAnsi="宋体"/>
                <w:sz w:val="24"/>
              </w:rPr>
            </w:pPr>
            <w:r>
              <w:rPr>
                <w:rFonts w:hint="eastAsia" w:ascii="宋体" w:hAnsi="宋体"/>
                <w:sz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9" w:type="dxa"/>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1</w:t>
            </w:r>
          </w:p>
        </w:tc>
        <w:tc>
          <w:tcPr>
            <w:tcW w:w="1552" w:type="dxa"/>
            <w:vAlign w:val="top"/>
          </w:tcPr>
          <w:p>
            <w:pPr>
              <w:tabs>
                <w:tab w:val="left" w:pos="0"/>
                <w:tab w:val="left" w:pos="56"/>
              </w:tabs>
              <w:adjustRightInd w:val="0"/>
              <w:snapToGrid w:val="0"/>
              <w:jc w:val="center"/>
              <w:rPr>
                <w:rFonts w:ascii="宋体" w:hAnsi="宋体" w:cs="宋体"/>
                <w:color w:val="0D0D0D"/>
                <w:kern w:val="0"/>
                <w:sz w:val="24"/>
              </w:rPr>
            </w:pPr>
          </w:p>
        </w:tc>
        <w:tc>
          <w:tcPr>
            <w:tcW w:w="1560" w:type="dxa"/>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9" w:type="dxa"/>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2</w:t>
            </w:r>
          </w:p>
        </w:tc>
        <w:tc>
          <w:tcPr>
            <w:tcW w:w="1552" w:type="dxa"/>
            <w:vAlign w:val="top"/>
          </w:tcPr>
          <w:p>
            <w:pPr>
              <w:tabs>
                <w:tab w:val="left" w:pos="0"/>
                <w:tab w:val="left" w:pos="56"/>
              </w:tabs>
              <w:adjustRightInd w:val="0"/>
              <w:snapToGrid w:val="0"/>
              <w:jc w:val="center"/>
              <w:rPr>
                <w:rFonts w:ascii="宋体" w:hAnsi="宋体" w:cs="宋体"/>
                <w:color w:val="0D0D0D"/>
                <w:kern w:val="0"/>
                <w:sz w:val="24"/>
              </w:rPr>
            </w:pPr>
          </w:p>
        </w:tc>
        <w:tc>
          <w:tcPr>
            <w:tcW w:w="1560" w:type="dxa"/>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9" w:type="dxa"/>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3</w:t>
            </w:r>
          </w:p>
        </w:tc>
        <w:tc>
          <w:tcPr>
            <w:tcW w:w="1552" w:type="dxa"/>
            <w:vAlign w:val="top"/>
          </w:tcPr>
          <w:p>
            <w:pPr>
              <w:tabs>
                <w:tab w:val="left" w:pos="0"/>
                <w:tab w:val="left" w:pos="56"/>
              </w:tabs>
              <w:adjustRightInd w:val="0"/>
              <w:snapToGrid w:val="0"/>
              <w:jc w:val="center"/>
              <w:rPr>
                <w:rFonts w:ascii="宋体" w:hAnsi="宋体" w:cs="宋体"/>
                <w:color w:val="0D0D0D"/>
                <w:kern w:val="0"/>
                <w:sz w:val="24"/>
              </w:rPr>
            </w:pPr>
          </w:p>
        </w:tc>
        <w:tc>
          <w:tcPr>
            <w:tcW w:w="1560" w:type="dxa"/>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9" w:type="dxa"/>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4</w:t>
            </w:r>
          </w:p>
        </w:tc>
        <w:tc>
          <w:tcPr>
            <w:tcW w:w="1552" w:type="dxa"/>
            <w:vAlign w:val="top"/>
          </w:tcPr>
          <w:p>
            <w:pPr>
              <w:tabs>
                <w:tab w:val="left" w:pos="0"/>
                <w:tab w:val="left" w:pos="56"/>
              </w:tabs>
              <w:adjustRightInd w:val="0"/>
              <w:snapToGrid w:val="0"/>
              <w:jc w:val="center"/>
              <w:rPr>
                <w:rFonts w:ascii="宋体" w:hAnsi="宋体" w:cs="宋体"/>
                <w:color w:val="0D0D0D"/>
                <w:kern w:val="0"/>
                <w:sz w:val="24"/>
              </w:rPr>
            </w:pPr>
          </w:p>
        </w:tc>
        <w:tc>
          <w:tcPr>
            <w:tcW w:w="1560" w:type="dxa"/>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9" w:type="dxa"/>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5</w:t>
            </w:r>
          </w:p>
        </w:tc>
        <w:tc>
          <w:tcPr>
            <w:tcW w:w="1552" w:type="dxa"/>
            <w:vAlign w:val="top"/>
          </w:tcPr>
          <w:p>
            <w:pPr>
              <w:tabs>
                <w:tab w:val="left" w:pos="0"/>
                <w:tab w:val="left" w:pos="56"/>
              </w:tabs>
              <w:adjustRightInd w:val="0"/>
              <w:snapToGrid w:val="0"/>
              <w:jc w:val="center"/>
              <w:rPr>
                <w:rFonts w:ascii="宋体" w:hAnsi="宋体" w:cs="宋体"/>
                <w:color w:val="0D0D0D"/>
                <w:kern w:val="0"/>
                <w:sz w:val="24"/>
              </w:rPr>
            </w:pPr>
          </w:p>
        </w:tc>
        <w:tc>
          <w:tcPr>
            <w:tcW w:w="1560" w:type="dxa"/>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9" w:type="dxa"/>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6</w:t>
            </w:r>
          </w:p>
        </w:tc>
        <w:tc>
          <w:tcPr>
            <w:tcW w:w="1552" w:type="dxa"/>
            <w:vAlign w:val="top"/>
          </w:tcPr>
          <w:p>
            <w:pPr>
              <w:tabs>
                <w:tab w:val="left" w:pos="0"/>
                <w:tab w:val="left" w:pos="56"/>
              </w:tabs>
              <w:adjustRightInd w:val="0"/>
              <w:snapToGrid w:val="0"/>
              <w:jc w:val="center"/>
              <w:rPr>
                <w:rFonts w:ascii="宋体" w:hAnsi="宋体" w:cs="宋体"/>
                <w:color w:val="0D0D0D"/>
                <w:kern w:val="0"/>
                <w:sz w:val="24"/>
              </w:rPr>
            </w:pPr>
          </w:p>
        </w:tc>
        <w:tc>
          <w:tcPr>
            <w:tcW w:w="1560" w:type="dxa"/>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19" w:type="dxa"/>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w:t>
            </w:r>
          </w:p>
        </w:tc>
        <w:tc>
          <w:tcPr>
            <w:tcW w:w="1552" w:type="dxa"/>
            <w:vAlign w:val="top"/>
          </w:tcPr>
          <w:p>
            <w:pPr>
              <w:tabs>
                <w:tab w:val="left" w:pos="0"/>
                <w:tab w:val="left" w:pos="56"/>
              </w:tabs>
              <w:adjustRightInd w:val="0"/>
              <w:snapToGrid w:val="0"/>
              <w:jc w:val="center"/>
              <w:rPr>
                <w:rFonts w:ascii="宋体" w:hAnsi="宋体" w:cs="宋体"/>
                <w:color w:val="0D0D0D"/>
                <w:kern w:val="0"/>
                <w:sz w:val="24"/>
              </w:rPr>
            </w:pPr>
          </w:p>
        </w:tc>
        <w:tc>
          <w:tcPr>
            <w:tcW w:w="1560" w:type="dxa"/>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12" w:type="dxa"/>
            <w:gridSpan w:val="6"/>
            <w:vAlign w:val="top"/>
          </w:tcPr>
          <w:p>
            <w:pPr>
              <w:spacing w:line="360" w:lineRule="auto"/>
              <w:jc w:val="center"/>
              <w:rPr>
                <w:rFonts w:ascii="宋体" w:hAnsi="宋体"/>
                <w:bCs/>
                <w:sz w:val="24"/>
              </w:rPr>
            </w:pPr>
            <w:r>
              <w:rPr>
                <w:rFonts w:hint="eastAsia" w:ascii="宋体" w:hAnsi="宋体"/>
                <w:bCs/>
                <w:sz w:val="24"/>
              </w:rPr>
              <w:t>合计</w:t>
            </w:r>
          </w:p>
        </w:tc>
        <w:tc>
          <w:tcPr>
            <w:tcW w:w="2602" w:type="dxa"/>
            <w:gridSpan w:val="2"/>
            <w:vAlign w:val="center"/>
          </w:tcPr>
          <w:p>
            <w:pPr>
              <w:spacing w:line="360" w:lineRule="auto"/>
              <w:jc w:val="left"/>
              <w:rPr>
                <w:rFonts w:ascii="宋体" w:hAnsi="宋体"/>
                <w:bCs/>
                <w:sz w:val="24"/>
              </w:rPr>
            </w:pPr>
          </w:p>
        </w:tc>
      </w:tr>
    </w:tbl>
    <w:p>
      <w:pPr>
        <w:spacing w:line="360" w:lineRule="auto"/>
        <w:ind w:left="1049" w:hanging="1048" w:hangingChars="437"/>
        <w:jc w:val="left"/>
        <w:rPr>
          <w:rFonts w:ascii="宋体" w:hAnsi="宋体"/>
          <w:sz w:val="24"/>
        </w:rPr>
      </w:pPr>
      <w:r>
        <w:rPr>
          <w:rFonts w:hint="eastAsia" w:ascii="宋体" w:hAnsi="宋体"/>
          <w:sz w:val="24"/>
        </w:rPr>
        <w:t>说明：1</w:t>
      </w:r>
      <w:r>
        <w:rPr>
          <w:rFonts w:hint="eastAsia" w:ascii="宋体" w:hAnsi="宋体" w:cs="Times New Roman"/>
          <w:sz w:val="24"/>
          <w:szCs w:val="24"/>
        </w:rPr>
        <w:t>．</w:t>
      </w:r>
      <w:r>
        <w:rPr>
          <w:rFonts w:hint="eastAsia" w:ascii="宋体" w:hAnsi="宋体"/>
          <w:sz w:val="24"/>
        </w:rPr>
        <w:t>所有价格均用人民币表示，单位为元。</w:t>
      </w:r>
    </w:p>
    <w:p>
      <w:pPr>
        <w:spacing w:line="360" w:lineRule="auto"/>
        <w:ind w:left="1061" w:leftChars="339" w:hanging="350" w:hangingChars="146"/>
        <w:jc w:val="left"/>
        <w:rPr>
          <w:rFonts w:ascii="宋体" w:hAnsi="宋体"/>
          <w:sz w:val="24"/>
        </w:rPr>
      </w:pPr>
      <w:r>
        <w:rPr>
          <w:rFonts w:hint="eastAsia" w:ascii="宋体" w:hAnsi="宋体"/>
          <w:sz w:val="24"/>
        </w:rPr>
        <w:t>2</w:t>
      </w:r>
      <w:r>
        <w:rPr>
          <w:rFonts w:hint="eastAsia" w:ascii="宋体" w:hAnsi="宋体" w:cs="Times New Roman"/>
          <w:sz w:val="24"/>
          <w:szCs w:val="24"/>
        </w:rPr>
        <w:t>．</w:t>
      </w:r>
      <w:r>
        <w:rPr>
          <w:rFonts w:hint="eastAsia" w:ascii="宋体" w:hAnsi="宋体"/>
          <w:color w:val="0D0D0D"/>
          <w:sz w:val="24"/>
        </w:rPr>
        <w:t>投标人</w:t>
      </w:r>
      <w:r>
        <w:rPr>
          <w:rFonts w:hint="eastAsia" w:ascii="宋体" w:hAnsi="宋体"/>
          <w:sz w:val="24"/>
        </w:rPr>
        <w:t>提供的相关证明文件对应页码填写到上表“投标文件对应的页码”中。</w:t>
      </w:r>
      <w:r>
        <w:rPr>
          <w:rFonts w:hint="eastAsia" w:ascii="宋体" w:hAnsi="宋体" w:cs="Corbel"/>
          <w:sz w:val="24"/>
        </w:rPr>
        <w:t>如未提供页码或内容页码完全不一致的，</w:t>
      </w:r>
      <w:r>
        <w:rPr>
          <w:rFonts w:hint="eastAsia" w:ascii="宋体" w:hAnsi="宋体"/>
          <w:sz w:val="24"/>
        </w:rPr>
        <w:t>导致的后果由投标人自行承担。</w:t>
      </w: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bCs/>
          <w:sz w:val="24"/>
          <w:szCs w:val="21"/>
        </w:rPr>
        <w:t>投标人</w:t>
      </w:r>
      <w:r>
        <w:rPr>
          <w:rFonts w:hint="eastAsia" w:hAnsi="宋体"/>
          <w:b/>
          <w:bCs/>
          <w:sz w:val="24"/>
        </w:rPr>
        <w:t>授权代表（签字）：</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bCs/>
          <w:sz w:val="24"/>
          <w:szCs w:val="21"/>
        </w:rPr>
        <w:t>投标</w:t>
      </w:r>
      <w:r>
        <w:rPr>
          <w:rFonts w:hint="eastAsia" w:hAnsi="宋体"/>
          <w:b/>
          <w:bCs/>
          <w:sz w:val="24"/>
        </w:rPr>
        <w:t>时间：</w:t>
      </w:r>
    </w:p>
    <w:p>
      <w:r>
        <w:br w:type="page"/>
      </w:r>
    </w:p>
    <w:p>
      <w:pPr>
        <w:pStyle w:val="3"/>
        <w:numPr>
          <w:ilvl w:val="0"/>
          <w:numId w:val="56"/>
        </w:numPr>
        <w:spacing w:before="100" w:beforeAutospacing="1" w:afterLines="50" w:line="360" w:lineRule="auto"/>
        <w:ind w:left="1288" w:hanging="1288"/>
        <w:rPr>
          <w:rFonts w:ascii="宋体" w:hAnsi="宋体"/>
        </w:rPr>
      </w:pPr>
      <w:bookmarkStart w:id="163" w:name="_Toc497459208"/>
      <w:bookmarkStart w:id="164" w:name="_Toc494665561"/>
      <w:bookmarkStart w:id="165" w:name="_Toc494721108"/>
      <w:bookmarkStart w:id="166" w:name="_Toc494745325"/>
      <w:bookmarkStart w:id="167" w:name="_Toc494665008"/>
      <w:bookmarkStart w:id="168" w:name="_Toc494702278"/>
      <w:bookmarkStart w:id="169" w:name="_Toc494665958"/>
      <w:r>
        <w:rPr>
          <w:rFonts w:hint="eastAsia" w:ascii="宋体" w:hAnsi="宋体"/>
        </w:rPr>
        <w:t>投标货物（工程或服务）清单</w:t>
      </w:r>
      <w:bookmarkEnd w:id="163"/>
      <w:bookmarkEnd w:id="164"/>
      <w:bookmarkEnd w:id="165"/>
      <w:bookmarkEnd w:id="166"/>
      <w:bookmarkEnd w:id="167"/>
      <w:bookmarkEnd w:id="168"/>
      <w:bookmarkEnd w:id="169"/>
    </w:p>
    <w:p>
      <w:pPr>
        <w:adjustRightInd w:val="0"/>
        <w:snapToGrid w:val="0"/>
        <w:spacing w:line="360" w:lineRule="auto"/>
        <w:rPr>
          <w:rFonts w:ascii="宋体" w:hAnsi="宋体"/>
          <w:b/>
          <w:sz w:val="24"/>
        </w:rPr>
      </w:pPr>
      <w:r>
        <w:rPr>
          <w:rFonts w:hint="eastAsia" w:ascii="宋体" w:hAnsi="宋体"/>
          <w:b/>
          <w:sz w:val="24"/>
        </w:rPr>
        <w:t>投 标 人：</w:t>
      </w:r>
    </w:p>
    <w:p>
      <w:pPr>
        <w:adjustRightInd w:val="0"/>
        <w:snapToGrid w:val="0"/>
        <w:spacing w:line="360" w:lineRule="auto"/>
        <w:rPr>
          <w:rFonts w:ascii="宋体" w:hAnsi="宋体"/>
          <w:b/>
          <w:color w:val="FF0000"/>
          <w:sz w:val="24"/>
        </w:rPr>
      </w:pPr>
      <w:r>
        <w:rPr>
          <w:rFonts w:hint="eastAsia" w:ascii="宋体" w:hAnsi="宋体" w:cs="Times New Roman"/>
          <w:b/>
          <w:sz w:val="24"/>
          <w:szCs w:val="21"/>
        </w:rPr>
        <w:t>项目编号：</w:t>
      </w:r>
      <w:r>
        <w:rPr>
          <w:rFonts w:hint="eastAsia" w:ascii="宋体" w:hAnsi="宋体" w:cs="Times New Roman"/>
          <w:b/>
          <w:bCs/>
          <w:sz w:val="24"/>
          <w:szCs w:val="21"/>
        </w:rPr>
        <w:t xml:space="preserve">                所投包号：</w:t>
      </w:r>
    </w:p>
    <w:tbl>
      <w:tblPr>
        <w:tblStyle w:val="14"/>
        <w:tblW w:w="937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5"/>
        <w:gridCol w:w="2722"/>
        <w:gridCol w:w="2459"/>
        <w:gridCol w:w="851"/>
        <w:gridCol w:w="25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45" w:type="dxa"/>
            <w:tcBorders>
              <w:top w:val="single" w:color="auto" w:sz="4" w:space="0"/>
              <w:bottom w:val="single" w:color="auto" w:sz="4" w:space="0"/>
              <w:right w:val="single" w:color="auto" w:sz="4" w:space="0"/>
            </w:tcBorders>
            <w:shd w:val="clear" w:color="auto" w:fill="F2F2F2"/>
            <w:vAlign w:val="center"/>
          </w:tcPr>
          <w:p>
            <w:pPr>
              <w:spacing w:line="360" w:lineRule="auto"/>
              <w:ind w:left="-23" w:leftChars="-11" w:right="-84" w:rightChars="-40"/>
              <w:jc w:val="center"/>
              <w:rPr>
                <w:rFonts w:ascii="宋体" w:hAnsi="宋体" w:cs="宋体"/>
                <w:color w:val="0D0D0D"/>
                <w:kern w:val="0"/>
                <w:sz w:val="24"/>
              </w:rPr>
            </w:pPr>
            <w:r>
              <w:rPr>
                <w:rFonts w:hint="eastAsia" w:ascii="宋体" w:hAnsi="宋体" w:cs="宋体"/>
                <w:color w:val="0D0D0D"/>
                <w:kern w:val="0"/>
                <w:sz w:val="24"/>
              </w:rPr>
              <w:t>序号</w:t>
            </w:r>
          </w:p>
        </w:tc>
        <w:tc>
          <w:tcPr>
            <w:tcW w:w="2722" w:type="dxa"/>
            <w:tcBorders>
              <w:top w:val="single" w:color="auto" w:sz="4" w:space="0"/>
              <w:left w:val="single" w:color="auto" w:sz="4" w:space="0"/>
              <w:bottom w:val="single" w:color="auto" w:sz="4" w:space="0"/>
              <w:right w:val="single" w:color="auto" w:sz="4" w:space="0"/>
            </w:tcBorders>
            <w:shd w:val="clear" w:color="auto" w:fill="F2F2F2"/>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货物（工程或服务）名称</w:t>
            </w:r>
          </w:p>
        </w:tc>
        <w:tc>
          <w:tcPr>
            <w:tcW w:w="2459" w:type="dxa"/>
            <w:tcBorders>
              <w:top w:val="single" w:color="auto" w:sz="4" w:space="0"/>
              <w:left w:val="single" w:color="auto" w:sz="4" w:space="0"/>
              <w:bottom w:val="single" w:color="auto" w:sz="4" w:space="0"/>
              <w:right w:val="single" w:color="auto" w:sz="4" w:space="0"/>
            </w:tcBorders>
            <w:shd w:val="clear" w:color="auto" w:fill="F2F2F2"/>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主要规格、技术参数</w:t>
            </w:r>
          </w:p>
        </w:tc>
        <w:tc>
          <w:tcPr>
            <w:tcW w:w="851" w:type="dxa"/>
            <w:tcBorders>
              <w:top w:val="single" w:color="auto" w:sz="4" w:space="0"/>
              <w:left w:val="single" w:color="auto" w:sz="4" w:space="0"/>
              <w:bottom w:val="single" w:color="auto" w:sz="4" w:space="0"/>
              <w:right w:val="single" w:color="auto" w:sz="4" w:space="0"/>
            </w:tcBorders>
            <w:shd w:val="clear" w:color="auto" w:fill="F2F2F2"/>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数量</w:t>
            </w:r>
          </w:p>
        </w:tc>
        <w:tc>
          <w:tcPr>
            <w:tcW w:w="2593" w:type="dxa"/>
            <w:tcBorders>
              <w:top w:val="single" w:color="auto" w:sz="4" w:space="0"/>
              <w:left w:val="single" w:color="auto" w:sz="4" w:space="0"/>
              <w:bottom w:val="single" w:color="auto" w:sz="4" w:space="0"/>
            </w:tcBorders>
            <w:shd w:val="clear" w:color="auto" w:fill="F2F2F2"/>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制造厂家/产地及国家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5" w:type="dxa"/>
            <w:tcBorders>
              <w:top w:val="single" w:color="auto" w:sz="4" w:space="0"/>
            </w:tcBorders>
            <w:vAlign w:val="center"/>
          </w:tcPr>
          <w:p>
            <w:pPr>
              <w:adjustRightInd w:val="0"/>
              <w:snapToGrid w:val="0"/>
              <w:ind w:left="-88" w:leftChars="-42"/>
              <w:jc w:val="center"/>
              <w:rPr>
                <w:rFonts w:ascii="宋体" w:hAnsi="宋体"/>
                <w:sz w:val="24"/>
              </w:rPr>
            </w:pPr>
            <w:r>
              <w:rPr>
                <w:rFonts w:hint="eastAsia" w:ascii="宋体" w:hAnsi="宋体"/>
                <w:sz w:val="24"/>
              </w:rPr>
              <w:t>1</w:t>
            </w:r>
          </w:p>
        </w:tc>
        <w:tc>
          <w:tcPr>
            <w:tcW w:w="2722" w:type="dxa"/>
            <w:tcBorders>
              <w:top w:val="single" w:color="auto" w:sz="4" w:space="0"/>
            </w:tcBorders>
            <w:vAlign w:val="center"/>
          </w:tcPr>
          <w:p>
            <w:pPr>
              <w:adjustRightInd w:val="0"/>
              <w:snapToGrid w:val="0"/>
              <w:ind w:left="-88" w:leftChars="-42"/>
              <w:jc w:val="center"/>
              <w:rPr>
                <w:rFonts w:ascii="宋体" w:hAnsi="宋体"/>
                <w:sz w:val="24"/>
              </w:rPr>
            </w:pPr>
          </w:p>
        </w:tc>
        <w:tc>
          <w:tcPr>
            <w:tcW w:w="2459" w:type="dxa"/>
            <w:tcBorders>
              <w:top w:val="single" w:color="auto" w:sz="4" w:space="0"/>
            </w:tcBorders>
            <w:vAlign w:val="center"/>
          </w:tcPr>
          <w:p>
            <w:pPr>
              <w:adjustRightInd w:val="0"/>
              <w:snapToGrid w:val="0"/>
              <w:jc w:val="center"/>
              <w:rPr>
                <w:rFonts w:ascii="宋体" w:hAnsi="宋体"/>
                <w:sz w:val="24"/>
              </w:rPr>
            </w:pPr>
          </w:p>
        </w:tc>
        <w:tc>
          <w:tcPr>
            <w:tcW w:w="851" w:type="dxa"/>
            <w:tcBorders>
              <w:top w:val="single" w:color="auto" w:sz="4" w:space="0"/>
            </w:tcBorders>
            <w:vAlign w:val="center"/>
          </w:tcPr>
          <w:p>
            <w:pPr>
              <w:adjustRightInd w:val="0"/>
              <w:snapToGrid w:val="0"/>
              <w:jc w:val="center"/>
              <w:rPr>
                <w:rFonts w:ascii="宋体" w:hAnsi="宋体"/>
                <w:sz w:val="24"/>
              </w:rPr>
            </w:pPr>
          </w:p>
        </w:tc>
        <w:tc>
          <w:tcPr>
            <w:tcW w:w="2593" w:type="dxa"/>
            <w:tcBorders>
              <w:top w:val="single" w:color="auto" w:sz="4" w:space="0"/>
            </w:tcBorders>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2</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59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3</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ind w:left="-88" w:leftChars="-42"/>
              <w:jc w:val="center"/>
              <w:rPr>
                <w:rFonts w:ascii="宋体" w:hAnsi="宋体"/>
                <w:sz w:val="24"/>
              </w:rPr>
            </w:pPr>
          </w:p>
        </w:tc>
        <w:tc>
          <w:tcPr>
            <w:tcW w:w="851" w:type="dxa"/>
            <w:vAlign w:val="center"/>
          </w:tcPr>
          <w:p>
            <w:pPr>
              <w:adjustRightInd w:val="0"/>
              <w:snapToGrid w:val="0"/>
              <w:ind w:left="-88" w:leftChars="-42"/>
              <w:jc w:val="center"/>
              <w:rPr>
                <w:rFonts w:ascii="宋体" w:hAnsi="宋体"/>
                <w:sz w:val="24"/>
              </w:rPr>
            </w:pPr>
          </w:p>
        </w:tc>
        <w:tc>
          <w:tcPr>
            <w:tcW w:w="2593" w:type="dxa"/>
            <w:vAlign w:val="center"/>
          </w:tcPr>
          <w:p>
            <w:pPr>
              <w:adjustRightInd w:val="0"/>
              <w:snapToGrid w:val="0"/>
              <w:ind w:left="-88" w:leftChars="-4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4</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59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5</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59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6</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59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593" w:type="dxa"/>
            <w:vAlign w:val="center"/>
          </w:tcPr>
          <w:p>
            <w:pPr>
              <w:adjustRightInd w:val="0"/>
              <w:snapToGrid w:val="0"/>
              <w:jc w:val="center"/>
              <w:rPr>
                <w:rFonts w:ascii="宋体" w:hAnsi="宋体"/>
                <w:sz w:val="24"/>
              </w:rPr>
            </w:pPr>
          </w:p>
        </w:tc>
      </w:tr>
    </w:tbl>
    <w:p>
      <w:pPr>
        <w:spacing w:line="360" w:lineRule="auto"/>
        <w:ind w:left="1078" w:hanging="1077" w:hangingChars="449"/>
        <w:jc w:val="left"/>
        <w:rPr>
          <w:rFonts w:ascii="宋体" w:hAnsi="宋体"/>
          <w:sz w:val="24"/>
        </w:rPr>
      </w:pPr>
      <w:r>
        <w:rPr>
          <w:rFonts w:hint="eastAsia" w:ascii="宋体" w:hAnsi="宋体"/>
          <w:sz w:val="24"/>
        </w:rPr>
        <w:t>说明：1．此表为货物（工程或服务）清单，投标人应提供所投货物（工程或服务）详细的供货（工程或服务）范围，包括主要配件及生产厂家、备品备件等。</w:t>
      </w:r>
    </w:p>
    <w:p>
      <w:pPr>
        <w:spacing w:line="360" w:lineRule="auto"/>
        <w:ind w:left="1061" w:leftChars="339" w:hanging="350" w:hangingChars="146"/>
        <w:jc w:val="left"/>
        <w:rPr>
          <w:rFonts w:ascii="宋体" w:hAnsi="宋体"/>
          <w:sz w:val="24"/>
        </w:rPr>
      </w:pPr>
      <w:r>
        <w:rPr>
          <w:rFonts w:hint="eastAsia" w:ascii="宋体" w:hAnsi="宋体"/>
          <w:sz w:val="24"/>
        </w:rPr>
        <w:t>2．各项货物（工程或服务）详细技术规格、参数及要求性能，应另页描述。</w:t>
      </w: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bCs/>
          <w:sz w:val="24"/>
          <w:szCs w:val="21"/>
        </w:rPr>
        <w:t>投标人</w:t>
      </w:r>
      <w:r>
        <w:rPr>
          <w:rFonts w:hint="eastAsia" w:hAnsi="宋体"/>
          <w:b/>
          <w:bCs/>
          <w:sz w:val="24"/>
        </w:rPr>
        <w:t>授权代表（签字）：</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bCs/>
          <w:sz w:val="24"/>
          <w:szCs w:val="21"/>
        </w:rPr>
        <w:t>投标</w:t>
      </w:r>
      <w:r>
        <w:rPr>
          <w:rFonts w:hint="eastAsia" w:hAnsi="宋体"/>
          <w:b/>
          <w:bCs/>
          <w:sz w:val="24"/>
        </w:rPr>
        <w:t>时间：</w:t>
      </w:r>
    </w:p>
    <w:p>
      <w:r>
        <w:br w:type="page"/>
      </w:r>
    </w:p>
    <w:p>
      <w:pPr>
        <w:pStyle w:val="3"/>
        <w:numPr>
          <w:ilvl w:val="0"/>
          <w:numId w:val="56"/>
        </w:numPr>
        <w:spacing w:before="100" w:beforeAutospacing="1" w:afterLines="50" w:line="360" w:lineRule="auto"/>
        <w:ind w:left="1288" w:hanging="1288"/>
        <w:rPr>
          <w:rFonts w:ascii="宋体" w:hAnsi="宋体"/>
        </w:rPr>
      </w:pPr>
      <w:bookmarkStart w:id="170" w:name="_Toc494665960"/>
      <w:bookmarkStart w:id="171" w:name="_Toc494702280"/>
      <w:bookmarkStart w:id="172" w:name="_Toc236473303"/>
      <w:bookmarkStart w:id="173" w:name="_Toc494721110"/>
      <w:bookmarkStart w:id="174" w:name="_Toc238276247"/>
      <w:bookmarkStart w:id="175" w:name="_Toc497459210"/>
      <w:bookmarkStart w:id="176" w:name="_Toc494665010"/>
      <w:bookmarkStart w:id="177" w:name="_Toc494665563"/>
      <w:bookmarkStart w:id="178" w:name="_Toc494745327"/>
      <w:r>
        <w:rPr>
          <w:rFonts w:hint="eastAsia" w:ascii="宋体" w:hAnsi="宋体"/>
        </w:rPr>
        <w:t>法定代表人授权书</w:t>
      </w:r>
      <w:bookmarkEnd w:id="170"/>
      <w:bookmarkEnd w:id="171"/>
      <w:bookmarkEnd w:id="172"/>
      <w:bookmarkEnd w:id="173"/>
      <w:bookmarkEnd w:id="174"/>
      <w:bookmarkEnd w:id="175"/>
      <w:bookmarkEnd w:id="176"/>
      <w:bookmarkEnd w:id="177"/>
      <w:bookmarkEnd w:id="178"/>
    </w:p>
    <w:p>
      <w:pPr>
        <w:spacing w:line="480" w:lineRule="auto"/>
        <w:rPr>
          <w:rFonts w:ascii="宋体" w:hAnsi="宋体" w:cs="Times New Roman"/>
          <w:b/>
          <w:sz w:val="24"/>
          <w:szCs w:val="24"/>
        </w:rPr>
      </w:pPr>
      <w:r>
        <w:rPr>
          <w:rFonts w:hint="eastAsia" w:ascii="宋体" w:hAnsi="宋体" w:cs="Courier New"/>
          <w:b/>
          <w:sz w:val="28"/>
          <w:szCs w:val="28"/>
        </w:rPr>
        <w:t>采购代理机构：</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兹授权同志为我单位参加贵方组织的</w:t>
      </w:r>
      <w:r>
        <w:rPr>
          <w:rFonts w:hint="eastAsia" w:ascii="Times New Roman" w:hAnsi="宋体" w:cs="Times New Roman"/>
          <w:color w:val="0D0D0D"/>
          <w:sz w:val="24"/>
          <w:szCs w:val="24"/>
        </w:rPr>
        <w:t>项目（项目编号：_____</w:t>
      </w:r>
      <w:r>
        <w:rPr>
          <w:rFonts w:hint="eastAsia" w:ascii="Times New Roman" w:hAnsi="宋体" w:cs="Times New Roman"/>
          <w:sz w:val="24"/>
          <w:szCs w:val="24"/>
        </w:rPr>
        <w:t>_）</w:t>
      </w:r>
      <w:r>
        <w:rPr>
          <w:rFonts w:hint="eastAsia" w:ascii="宋体" w:hAnsi="宋体" w:cs="Times New Roman"/>
          <w:sz w:val="24"/>
          <w:szCs w:val="24"/>
        </w:rPr>
        <w:t xml:space="preserve">采购活动的投标人授权代表，全权代表我公司处理在项目采购活动中的一切事宜。代理期限从年月日起至年月日止。 </w:t>
      </w:r>
    </w:p>
    <w:p>
      <w:pPr>
        <w:spacing w:line="360" w:lineRule="auto"/>
        <w:ind w:firstLine="540" w:firstLineChars="225"/>
        <w:rPr>
          <w:rFonts w:ascii="宋体" w:hAnsi="宋体" w:cs="Times New Roman"/>
          <w:sz w:val="24"/>
          <w:szCs w:val="24"/>
        </w:rPr>
      </w:pPr>
      <w:r>
        <w:rPr>
          <w:rFonts w:hint="eastAsia" w:ascii="宋体" w:hAnsi="宋体" w:cs="Times New Roman"/>
          <w:sz w:val="24"/>
          <w:szCs w:val="24"/>
        </w:rPr>
        <w:t>被授权代表无转委托权。</w:t>
      </w:r>
    </w:p>
    <w:p>
      <w:pPr>
        <w:spacing w:line="360" w:lineRule="auto"/>
        <w:ind w:firstLine="540" w:firstLineChars="225"/>
        <w:rPr>
          <w:rFonts w:ascii="宋体" w:hAnsi="宋体" w:cs="Times New Roman"/>
          <w:sz w:val="24"/>
          <w:szCs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授权单位（公章）：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bCs/>
          <w:sz w:val="24"/>
          <w:szCs w:val="21"/>
        </w:rPr>
        <w:t>法定代表人（签字或盖章）</w:t>
      </w:r>
      <w:r>
        <w:rPr>
          <w:rFonts w:hint="eastAsia" w:hAnsi="宋体"/>
          <w:b/>
          <w:bCs/>
          <w:sz w:val="24"/>
        </w:rPr>
        <w:t>：</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sz w:val="24"/>
          <w:szCs w:val="21"/>
        </w:rPr>
        <w:t>签发日期：年月日</w:t>
      </w:r>
    </w:p>
    <w:p>
      <w:pPr>
        <w:spacing w:line="360" w:lineRule="auto"/>
        <w:rPr>
          <w:rFonts w:ascii="宋体" w:hAnsi="宋体" w:cs="Times New Roman"/>
          <w:sz w:val="24"/>
          <w:szCs w:val="24"/>
        </w:rPr>
      </w:pPr>
      <w:r>
        <w:rPr>
          <w:rFonts w:hint="eastAsia" w:ascii="宋体" w:hAnsi="宋体" w:cs="Times New Roman"/>
          <w:sz w:val="24"/>
          <w:szCs w:val="24"/>
        </w:rPr>
        <w:t>附：</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投标人授权代表单位名称：</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职务： 性别：</w:t>
      </w:r>
    </w:p>
    <w:p>
      <w:pPr>
        <w:spacing w:line="360" w:lineRule="auto"/>
        <w:ind w:firstLine="480" w:firstLineChars="200"/>
        <w:rPr>
          <w:rFonts w:ascii="宋体" w:hAnsi="宋体" w:cs="Times New Roman"/>
          <w:sz w:val="24"/>
          <w:szCs w:val="24"/>
          <w:u w:val="single"/>
        </w:rPr>
      </w:pPr>
      <w:r>
        <w:rPr>
          <w:rFonts w:hint="eastAsia" w:ascii="宋体" w:hAnsi="宋体" w:cs="Times New Roman"/>
          <w:sz w:val="24"/>
          <w:szCs w:val="24"/>
        </w:rPr>
        <w:t>身份证号码：</w:t>
      </w:r>
    </w:p>
    <w:p>
      <w:pPr>
        <w:spacing w:line="360" w:lineRule="auto"/>
        <w:ind w:firstLine="480" w:firstLineChars="200"/>
        <w:rPr>
          <w:rFonts w:ascii="宋体" w:hAnsi="宋体" w:cs="Times New Roman"/>
          <w:sz w:val="24"/>
          <w:szCs w:val="24"/>
        </w:rPr>
      </w:pPr>
      <w:r>
        <w:rPr>
          <w:rFonts w:hint="eastAsia" w:ascii="宋体" w:hAnsi="宋体" w:cs="Times New Roman"/>
          <w:sz w:val="24"/>
          <w:szCs w:val="24"/>
        </w:rPr>
        <w:t>电话：</w:t>
      </w:r>
    </w:p>
    <w:tbl>
      <w:tblPr>
        <w:tblStyle w:val="14"/>
        <w:tblW w:w="95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2" w:hRule="atLeast"/>
          <w:jc w:val="center"/>
        </w:trPr>
        <w:tc>
          <w:tcPr>
            <w:tcW w:w="9532" w:type="dxa"/>
            <w:vAlign w:val="top"/>
          </w:tcPr>
          <w:p>
            <w:pPr>
              <w:spacing w:line="300" w:lineRule="auto"/>
              <w:rPr>
                <w:rFonts w:ascii="宋体" w:hAnsi="宋体" w:cs="Times New Roman"/>
                <w:sz w:val="24"/>
                <w:szCs w:val="24"/>
              </w:rPr>
            </w:pPr>
            <w:r>
              <w:rPr>
                <w:rFonts w:hint="eastAsia" w:ascii="宋体" w:hAnsi="宋体" w:cs="Times New Roman"/>
                <w:sz w:val="24"/>
                <w:szCs w:val="24"/>
              </w:rPr>
              <w:t>粘贴被授权人身份证（清晰影印件）</w:t>
            </w:r>
          </w:p>
        </w:tc>
      </w:tr>
    </w:tbl>
    <w:p/>
    <w:p>
      <w:pPr>
        <w:pStyle w:val="3"/>
        <w:numPr>
          <w:ilvl w:val="0"/>
          <w:numId w:val="56"/>
        </w:numPr>
        <w:spacing w:before="100" w:beforeAutospacing="1" w:afterLines="50" w:line="360" w:lineRule="auto"/>
        <w:ind w:left="1610" w:hanging="1610"/>
        <w:rPr>
          <w:rFonts w:ascii="宋体" w:hAnsi="宋体"/>
        </w:rPr>
      </w:pPr>
      <w:bookmarkStart w:id="179" w:name="_Toc238276248"/>
      <w:bookmarkStart w:id="180" w:name="_Toc494702281"/>
      <w:bookmarkStart w:id="181" w:name="_Toc494745328"/>
      <w:bookmarkStart w:id="182" w:name="_Toc497459211"/>
      <w:bookmarkStart w:id="183" w:name="_Toc494665961"/>
      <w:bookmarkStart w:id="184" w:name="_Toc494665564"/>
      <w:bookmarkStart w:id="185" w:name="_Toc494721111"/>
      <w:bookmarkStart w:id="186" w:name="_Toc236473304"/>
      <w:bookmarkStart w:id="187" w:name="_Toc494665011"/>
      <w:r>
        <w:rPr>
          <w:rFonts w:hint="eastAsia" w:ascii="宋体" w:hAnsi="宋体"/>
        </w:rPr>
        <w:t>投标人的资格声明</w:t>
      </w:r>
      <w:bookmarkEnd w:id="179"/>
      <w:bookmarkEnd w:id="180"/>
      <w:bookmarkEnd w:id="181"/>
      <w:bookmarkEnd w:id="182"/>
      <w:bookmarkEnd w:id="183"/>
      <w:bookmarkEnd w:id="184"/>
      <w:bookmarkEnd w:id="185"/>
      <w:bookmarkEnd w:id="186"/>
      <w:bookmarkEnd w:id="187"/>
    </w:p>
    <w:p>
      <w:pPr>
        <w:spacing w:line="360" w:lineRule="auto"/>
        <w:ind w:left="1078" w:hanging="1077" w:hangingChars="449"/>
        <w:jc w:val="left"/>
        <w:rPr>
          <w:rFonts w:ascii="宋体" w:hAnsi="宋体" w:cs="Times New Roman"/>
          <w:sz w:val="24"/>
          <w:szCs w:val="24"/>
        </w:rPr>
      </w:pPr>
      <w:r>
        <w:rPr>
          <w:rFonts w:hint="eastAsia" w:ascii="宋体" w:hAnsi="宋体" w:cs="Times New Roman"/>
          <w:sz w:val="24"/>
          <w:szCs w:val="24"/>
        </w:rPr>
        <w:t>1．名称及基本情况：</w:t>
      </w:r>
    </w:p>
    <w:p>
      <w:pPr>
        <w:spacing w:line="360" w:lineRule="exact"/>
        <w:ind w:firstLine="240" w:firstLineChars="100"/>
        <w:rPr>
          <w:rFonts w:ascii="宋体" w:hAnsi="宋体" w:cs="Times New Roman"/>
          <w:sz w:val="24"/>
          <w:szCs w:val="24"/>
        </w:rPr>
      </w:pPr>
      <w:r>
        <w:rPr>
          <w:rFonts w:hint="eastAsia" w:ascii="宋体" w:hAnsi="宋体" w:cs="Times New Roman"/>
          <w:sz w:val="24"/>
          <w:szCs w:val="24"/>
        </w:rPr>
        <w:t>（1）投标人：</w:t>
      </w:r>
    </w:p>
    <w:p>
      <w:pPr>
        <w:spacing w:line="360" w:lineRule="exact"/>
        <w:ind w:firstLine="240" w:firstLineChars="100"/>
        <w:rPr>
          <w:rFonts w:ascii="宋体" w:hAnsi="宋体" w:cs="Times New Roman"/>
          <w:sz w:val="24"/>
          <w:szCs w:val="24"/>
        </w:rPr>
      </w:pPr>
      <w:r>
        <w:rPr>
          <w:rFonts w:hint="eastAsia" w:ascii="宋体" w:hAnsi="宋体" w:cs="Times New Roman"/>
          <w:sz w:val="24"/>
          <w:szCs w:val="24"/>
        </w:rPr>
        <w:t>（2）地址：     邮编：</w:t>
      </w:r>
    </w:p>
    <w:p>
      <w:pPr>
        <w:spacing w:line="360" w:lineRule="exact"/>
        <w:ind w:firstLine="840" w:firstLineChars="350"/>
        <w:rPr>
          <w:rFonts w:ascii="宋体" w:hAnsi="宋体" w:cs="Times New Roman"/>
          <w:sz w:val="24"/>
          <w:szCs w:val="24"/>
          <w:u w:val="single"/>
        </w:rPr>
      </w:pPr>
      <w:r>
        <w:rPr>
          <w:rFonts w:hint="eastAsia" w:ascii="宋体" w:hAnsi="宋体" w:cs="Times New Roman"/>
          <w:sz w:val="24"/>
          <w:szCs w:val="24"/>
        </w:rPr>
        <w:t>电话：     传真：</w:t>
      </w:r>
    </w:p>
    <w:p>
      <w:pPr>
        <w:spacing w:line="360" w:lineRule="exact"/>
        <w:ind w:firstLine="240" w:firstLineChars="100"/>
        <w:rPr>
          <w:rFonts w:ascii="宋体" w:hAnsi="宋体" w:cs="Times New Roman"/>
          <w:sz w:val="24"/>
          <w:szCs w:val="24"/>
        </w:rPr>
      </w:pPr>
      <w:r>
        <w:rPr>
          <w:rFonts w:hint="eastAsia" w:ascii="宋体" w:hAnsi="宋体" w:cs="Times New Roman"/>
          <w:sz w:val="24"/>
          <w:szCs w:val="24"/>
        </w:rPr>
        <w:t>（3）成立或注册日期：</w:t>
      </w:r>
    </w:p>
    <w:p>
      <w:pPr>
        <w:spacing w:line="360" w:lineRule="exact"/>
        <w:ind w:firstLine="240" w:firstLineChars="100"/>
        <w:rPr>
          <w:rFonts w:ascii="宋体" w:hAnsi="宋体" w:cs="Times New Roman"/>
          <w:sz w:val="24"/>
          <w:szCs w:val="24"/>
        </w:rPr>
      </w:pPr>
      <w:r>
        <w:rPr>
          <w:rFonts w:hint="eastAsia" w:ascii="宋体" w:hAnsi="宋体" w:cs="Times New Roman"/>
          <w:sz w:val="24"/>
          <w:szCs w:val="24"/>
        </w:rPr>
        <w:t>（4）单位性质：</w:t>
      </w:r>
    </w:p>
    <w:p>
      <w:pPr>
        <w:spacing w:line="360" w:lineRule="exact"/>
        <w:ind w:firstLine="240" w:firstLineChars="100"/>
        <w:rPr>
          <w:rFonts w:ascii="宋体" w:hAnsi="宋体" w:cs="Times New Roman"/>
          <w:sz w:val="24"/>
          <w:szCs w:val="24"/>
        </w:rPr>
      </w:pPr>
      <w:r>
        <w:rPr>
          <w:rFonts w:hint="eastAsia" w:ascii="宋体" w:hAnsi="宋体" w:cs="Times New Roman"/>
          <w:sz w:val="24"/>
          <w:szCs w:val="24"/>
        </w:rPr>
        <w:t>（5）法定代表人或主要负责人：</w:t>
      </w:r>
    </w:p>
    <w:p>
      <w:pPr>
        <w:spacing w:line="360" w:lineRule="exact"/>
        <w:ind w:firstLine="240" w:firstLineChars="100"/>
        <w:rPr>
          <w:rFonts w:ascii="宋体" w:hAnsi="宋体" w:cs="Times New Roman"/>
          <w:sz w:val="24"/>
          <w:szCs w:val="24"/>
        </w:rPr>
      </w:pPr>
      <w:r>
        <w:rPr>
          <w:rFonts w:hint="eastAsia" w:ascii="宋体" w:hAnsi="宋体" w:cs="Times New Roman"/>
          <w:sz w:val="24"/>
          <w:szCs w:val="24"/>
        </w:rPr>
        <w:t>（6）员工人数：</w:t>
      </w:r>
    </w:p>
    <w:p>
      <w:pPr>
        <w:spacing w:line="360" w:lineRule="exact"/>
        <w:ind w:firstLine="240" w:firstLineChars="100"/>
        <w:rPr>
          <w:rFonts w:ascii="宋体" w:hAnsi="宋体" w:cs="Times New Roman"/>
          <w:sz w:val="24"/>
          <w:szCs w:val="24"/>
        </w:rPr>
      </w:pPr>
      <w:r>
        <w:rPr>
          <w:rFonts w:hint="eastAsia" w:ascii="宋体" w:hAnsi="宋体" w:cs="Times New Roman"/>
          <w:sz w:val="24"/>
          <w:szCs w:val="24"/>
        </w:rPr>
        <w:t>（7）注册资本：</w:t>
      </w:r>
    </w:p>
    <w:p>
      <w:pPr>
        <w:spacing w:line="360" w:lineRule="exact"/>
        <w:ind w:firstLine="240" w:firstLineChars="100"/>
        <w:rPr>
          <w:rFonts w:ascii="宋体" w:hAnsi="宋体" w:cs="Times New Roman"/>
          <w:sz w:val="24"/>
          <w:szCs w:val="24"/>
        </w:rPr>
      </w:pPr>
      <w:r>
        <w:rPr>
          <w:rFonts w:hint="eastAsia" w:ascii="宋体" w:hAnsi="宋体" w:cs="Times New Roman"/>
          <w:sz w:val="24"/>
          <w:szCs w:val="24"/>
        </w:rPr>
        <w:t>（8）实收资本：</w:t>
      </w:r>
    </w:p>
    <w:p>
      <w:pPr>
        <w:spacing w:line="360" w:lineRule="exact"/>
        <w:ind w:firstLine="240" w:firstLineChars="100"/>
        <w:rPr>
          <w:rFonts w:ascii="宋体" w:hAnsi="宋体" w:cs="Times New Roman"/>
          <w:sz w:val="24"/>
          <w:szCs w:val="24"/>
        </w:rPr>
      </w:pPr>
      <w:r>
        <w:rPr>
          <w:rFonts w:hint="eastAsia" w:ascii="宋体" w:hAnsi="宋体" w:cs="Times New Roman"/>
          <w:sz w:val="24"/>
          <w:szCs w:val="24"/>
        </w:rPr>
        <w:t>（9）上年末资产负债表：</w:t>
      </w:r>
    </w:p>
    <w:p>
      <w:pPr>
        <w:spacing w:line="360" w:lineRule="exact"/>
        <w:ind w:firstLine="727" w:firstLineChars="303"/>
        <w:rPr>
          <w:rFonts w:ascii="宋体" w:hAnsi="宋体" w:cs="Times New Roman"/>
          <w:sz w:val="24"/>
          <w:szCs w:val="24"/>
        </w:rPr>
      </w:pPr>
      <w:r>
        <w:rPr>
          <w:rFonts w:hint="eastAsia" w:ascii="宋体" w:hAnsi="宋体" w:cs="Times New Roman"/>
          <w:sz w:val="24"/>
          <w:szCs w:val="24"/>
        </w:rPr>
        <w:t>1）固定资产</w:t>
      </w:r>
    </w:p>
    <w:p>
      <w:pPr>
        <w:spacing w:line="360" w:lineRule="exact"/>
        <w:ind w:firstLine="727" w:firstLineChars="303"/>
        <w:rPr>
          <w:rFonts w:ascii="宋体" w:hAnsi="宋体" w:cs="Times New Roman"/>
          <w:sz w:val="24"/>
          <w:szCs w:val="24"/>
        </w:rPr>
      </w:pPr>
      <w:r>
        <w:rPr>
          <w:rFonts w:hint="eastAsia" w:ascii="宋体" w:hAnsi="宋体" w:cs="Times New Roman"/>
          <w:sz w:val="24"/>
          <w:szCs w:val="24"/>
        </w:rPr>
        <w:t xml:space="preserve">原   值：    净   值： </w:t>
      </w:r>
    </w:p>
    <w:p>
      <w:pPr>
        <w:spacing w:line="360" w:lineRule="exact"/>
        <w:ind w:firstLine="727" w:firstLineChars="303"/>
        <w:rPr>
          <w:rFonts w:ascii="宋体" w:hAnsi="宋体" w:cs="Times New Roman"/>
          <w:sz w:val="24"/>
          <w:szCs w:val="24"/>
        </w:rPr>
      </w:pPr>
      <w:r>
        <w:rPr>
          <w:rFonts w:hint="eastAsia" w:ascii="宋体" w:hAnsi="宋体" w:cs="Times New Roman"/>
          <w:sz w:val="24"/>
          <w:szCs w:val="24"/>
        </w:rPr>
        <w:t>2）流动资金：</w:t>
      </w:r>
    </w:p>
    <w:p>
      <w:pPr>
        <w:spacing w:line="360" w:lineRule="exact"/>
        <w:ind w:firstLine="727" w:firstLineChars="303"/>
        <w:rPr>
          <w:rFonts w:ascii="宋体" w:hAnsi="宋体" w:cs="Times New Roman"/>
          <w:sz w:val="24"/>
          <w:szCs w:val="24"/>
        </w:rPr>
      </w:pPr>
      <w:r>
        <w:rPr>
          <w:rFonts w:hint="eastAsia" w:ascii="宋体" w:hAnsi="宋体" w:cs="Times New Roman"/>
          <w:sz w:val="24"/>
          <w:szCs w:val="24"/>
        </w:rPr>
        <w:t>3）长期负债：</w:t>
      </w:r>
    </w:p>
    <w:p>
      <w:pPr>
        <w:spacing w:line="360" w:lineRule="exact"/>
        <w:ind w:firstLine="727" w:firstLineChars="303"/>
        <w:rPr>
          <w:rFonts w:ascii="宋体" w:hAnsi="宋体" w:cs="Times New Roman"/>
          <w:sz w:val="24"/>
          <w:szCs w:val="24"/>
        </w:rPr>
      </w:pPr>
      <w:r>
        <w:rPr>
          <w:rFonts w:hint="eastAsia" w:ascii="宋体" w:hAnsi="宋体" w:cs="Times New Roman"/>
          <w:sz w:val="24"/>
          <w:szCs w:val="24"/>
        </w:rPr>
        <w:t>4）短期负债：</w:t>
      </w:r>
    </w:p>
    <w:p>
      <w:pPr>
        <w:spacing w:line="360" w:lineRule="exact"/>
        <w:rPr>
          <w:rFonts w:ascii="宋体" w:hAnsi="宋体" w:cs="Times New Roman"/>
          <w:sz w:val="24"/>
          <w:szCs w:val="24"/>
        </w:rPr>
      </w:pPr>
      <w:r>
        <w:rPr>
          <w:rFonts w:hint="eastAsia" w:ascii="宋体" w:hAnsi="宋体" w:cs="Times New Roman"/>
          <w:sz w:val="24"/>
          <w:szCs w:val="24"/>
        </w:rPr>
        <w:t xml:space="preserve">2．与投标货物的生产、销售和服务有关的情况： </w:t>
      </w:r>
    </w:p>
    <w:p>
      <w:pPr>
        <w:spacing w:line="360" w:lineRule="exact"/>
        <w:ind w:firstLine="240" w:firstLineChars="100"/>
        <w:rPr>
          <w:rFonts w:ascii="宋体" w:hAnsi="宋体" w:cs="Times New Roman"/>
          <w:sz w:val="24"/>
          <w:szCs w:val="24"/>
        </w:rPr>
      </w:pPr>
      <w:r>
        <w:rPr>
          <w:rFonts w:hint="eastAsia" w:ascii="宋体" w:hAnsi="宋体" w:cs="Times New Roman"/>
          <w:sz w:val="24"/>
          <w:szCs w:val="24"/>
        </w:rPr>
        <w:t>（1）关于制造投标货物的设施及其它情况：</w:t>
      </w:r>
    </w:p>
    <w:tbl>
      <w:tblPr>
        <w:tblStyle w:val="14"/>
        <w:tblW w:w="95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2383"/>
        <w:gridCol w:w="2383"/>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383" w:type="dxa"/>
            <w:shd w:val="pct10" w:color="auto" w:fill="auto"/>
            <w:vAlign w:val="center"/>
          </w:tcPr>
          <w:p>
            <w:pPr>
              <w:adjustRightInd w:val="0"/>
              <w:snapToGrid w:val="0"/>
              <w:spacing w:before="100" w:beforeAutospacing="1" w:after="100" w:afterAutospacing="1" w:line="360" w:lineRule="exact"/>
              <w:jc w:val="center"/>
              <w:rPr>
                <w:rFonts w:ascii="宋体" w:hAnsi="宋体" w:cs="Times New Roman"/>
                <w:sz w:val="24"/>
                <w:szCs w:val="24"/>
              </w:rPr>
            </w:pPr>
            <w:r>
              <w:rPr>
                <w:rFonts w:hint="eastAsia" w:ascii="宋体" w:hAnsi="宋体" w:cs="Times New Roman"/>
                <w:sz w:val="24"/>
                <w:szCs w:val="24"/>
              </w:rPr>
              <w:t>生产基地地址</w:t>
            </w:r>
          </w:p>
        </w:tc>
        <w:tc>
          <w:tcPr>
            <w:tcW w:w="2383" w:type="dxa"/>
            <w:shd w:val="pct10" w:color="auto" w:fill="auto"/>
            <w:vAlign w:val="center"/>
          </w:tcPr>
          <w:p>
            <w:pPr>
              <w:adjustRightInd w:val="0"/>
              <w:snapToGrid w:val="0"/>
              <w:spacing w:before="100" w:beforeAutospacing="1" w:after="100" w:afterAutospacing="1" w:line="360" w:lineRule="exact"/>
              <w:jc w:val="center"/>
              <w:rPr>
                <w:rFonts w:ascii="宋体" w:hAnsi="宋体" w:cs="Times New Roman"/>
                <w:sz w:val="24"/>
                <w:szCs w:val="24"/>
              </w:rPr>
            </w:pPr>
            <w:r>
              <w:rPr>
                <w:rFonts w:hint="eastAsia" w:ascii="宋体" w:hAnsi="宋体" w:cs="Times New Roman"/>
                <w:sz w:val="24"/>
                <w:szCs w:val="24"/>
              </w:rPr>
              <w:t>生产的项目</w:t>
            </w:r>
          </w:p>
        </w:tc>
        <w:tc>
          <w:tcPr>
            <w:tcW w:w="2383" w:type="dxa"/>
            <w:shd w:val="pct10" w:color="auto" w:fill="auto"/>
            <w:vAlign w:val="center"/>
          </w:tcPr>
          <w:p>
            <w:pPr>
              <w:adjustRightInd w:val="0"/>
              <w:snapToGrid w:val="0"/>
              <w:spacing w:before="100" w:beforeAutospacing="1" w:after="100" w:afterAutospacing="1" w:line="360" w:lineRule="exact"/>
              <w:jc w:val="center"/>
              <w:rPr>
                <w:rFonts w:ascii="宋体" w:hAnsi="宋体" w:cs="Times New Roman"/>
                <w:sz w:val="24"/>
                <w:szCs w:val="24"/>
              </w:rPr>
            </w:pPr>
            <w:r>
              <w:rPr>
                <w:rFonts w:hint="eastAsia" w:ascii="宋体" w:hAnsi="宋体" w:cs="Times New Roman"/>
                <w:sz w:val="24"/>
                <w:szCs w:val="24"/>
              </w:rPr>
              <w:t>年生产能力</w:t>
            </w:r>
          </w:p>
        </w:tc>
        <w:tc>
          <w:tcPr>
            <w:tcW w:w="2384" w:type="dxa"/>
            <w:shd w:val="pct10" w:color="auto" w:fill="auto"/>
            <w:vAlign w:val="center"/>
          </w:tcPr>
          <w:p>
            <w:pPr>
              <w:adjustRightInd w:val="0"/>
              <w:snapToGrid w:val="0"/>
              <w:spacing w:before="100" w:beforeAutospacing="1" w:after="100" w:afterAutospacing="1" w:line="360" w:lineRule="exact"/>
              <w:jc w:val="center"/>
              <w:rPr>
                <w:rFonts w:ascii="宋体" w:hAnsi="宋体" w:cs="Times New Roman"/>
                <w:sz w:val="24"/>
                <w:szCs w:val="24"/>
              </w:rPr>
            </w:pPr>
            <w:r>
              <w:rPr>
                <w:rFonts w:hint="eastAsia" w:ascii="宋体" w:hAnsi="宋体" w:cs="Times New Roman"/>
                <w:sz w:val="24"/>
                <w:szCs w:val="24"/>
              </w:rPr>
              <w:t>员工人数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383" w:type="dxa"/>
            <w:vAlign w:val="center"/>
          </w:tcPr>
          <w:p>
            <w:pPr>
              <w:adjustRightInd w:val="0"/>
              <w:snapToGrid w:val="0"/>
              <w:spacing w:before="100" w:beforeAutospacing="1" w:after="100" w:afterAutospacing="1" w:line="360" w:lineRule="exact"/>
              <w:jc w:val="center"/>
              <w:rPr>
                <w:rFonts w:ascii="宋体" w:hAnsi="宋体" w:cs="Times New Roman"/>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cs="Times New Roman"/>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cs="Times New Roman"/>
                <w:sz w:val="24"/>
                <w:szCs w:val="24"/>
              </w:rPr>
            </w:pPr>
          </w:p>
        </w:tc>
        <w:tc>
          <w:tcPr>
            <w:tcW w:w="2384" w:type="dxa"/>
            <w:vAlign w:val="center"/>
          </w:tcPr>
          <w:p>
            <w:pPr>
              <w:adjustRightInd w:val="0"/>
              <w:snapToGrid w:val="0"/>
              <w:spacing w:before="100" w:beforeAutospacing="1" w:after="100" w:afterAutospacing="1" w:line="360" w:lineRule="exact"/>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383" w:type="dxa"/>
            <w:vAlign w:val="center"/>
          </w:tcPr>
          <w:p>
            <w:pPr>
              <w:adjustRightInd w:val="0"/>
              <w:snapToGrid w:val="0"/>
              <w:spacing w:before="100" w:beforeAutospacing="1" w:after="100" w:afterAutospacing="1" w:line="360" w:lineRule="exact"/>
              <w:jc w:val="center"/>
              <w:rPr>
                <w:rFonts w:ascii="宋体" w:hAnsi="宋体" w:cs="Times New Roman"/>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cs="Times New Roman"/>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cs="Times New Roman"/>
                <w:sz w:val="24"/>
                <w:szCs w:val="24"/>
              </w:rPr>
            </w:pPr>
          </w:p>
        </w:tc>
        <w:tc>
          <w:tcPr>
            <w:tcW w:w="2384" w:type="dxa"/>
            <w:vAlign w:val="center"/>
          </w:tcPr>
          <w:p>
            <w:pPr>
              <w:adjustRightInd w:val="0"/>
              <w:snapToGrid w:val="0"/>
              <w:spacing w:before="100" w:beforeAutospacing="1" w:after="100" w:afterAutospacing="1" w:line="360" w:lineRule="exact"/>
              <w:jc w:val="center"/>
              <w:rPr>
                <w:rFonts w:ascii="宋体" w:hAnsi="宋体" w:cs="Times New Roman"/>
                <w:sz w:val="24"/>
                <w:szCs w:val="24"/>
              </w:rPr>
            </w:pPr>
          </w:p>
        </w:tc>
      </w:tr>
    </w:tbl>
    <w:p>
      <w:pPr>
        <w:spacing w:line="360" w:lineRule="exact"/>
        <w:ind w:firstLine="240" w:firstLineChars="100"/>
        <w:rPr>
          <w:rFonts w:ascii="宋体" w:hAnsi="宋体" w:cs="Times New Roman"/>
          <w:sz w:val="24"/>
          <w:szCs w:val="24"/>
        </w:rPr>
      </w:pPr>
      <w:r>
        <w:rPr>
          <w:rFonts w:hint="eastAsia" w:ascii="宋体" w:hAnsi="宋体" w:cs="Times New Roman"/>
          <w:sz w:val="24"/>
          <w:szCs w:val="24"/>
        </w:rPr>
        <w:t>（2）投标人生产此投标货物的经验（包括年限、项目业主、额定能力、商业运营的起始日期等）：</w:t>
      </w:r>
    </w:p>
    <w:p>
      <w:pPr>
        <w:spacing w:line="360" w:lineRule="exact"/>
        <w:ind w:firstLine="240" w:firstLineChars="100"/>
        <w:rPr>
          <w:rFonts w:ascii="宋体" w:hAnsi="宋体" w:cs="Times New Roman"/>
          <w:sz w:val="24"/>
          <w:szCs w:val="24"/>
        </w:rPr>
      </w:pPr>
      <w:r>
        <w:rPr>
          <w:rFonts w:hint="eastAsia" w:ascii="宋体" w:hAnsi="宋体" w:cs="Times New Roman"/>
          <w:sz w:val="24"/>
          <w:szCs w:val="24"/>
        </w:rPr>
        <w:t>（3）销售、服务网点分布（可另行附表）：</w:t>
      </w:r>
    </w:p>
    <w:tbl>
      <w:tblPr>
        <w:tblStyle w:val="14"/>
        <w:tblW w:w="95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7"/>
        <w:gridCol w:w="2155"/>
        <w:gridCol w:w="1763"/>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47" w:type="dxa"/>
            <w:shd w:val="pct10" w:color="auto" w:fill="auto"/>
            <w:vAlign w:val="center"/>
          </w:tcPr>
          <w:p>
            <w:pPr>
              <w:adjustRightInd w:val="0"/>
              <w:snapToGrid w:val="0"/>
              <w:spacing w:before="100" w:beforeAutospacing="1" w:after="100" w:afterAutospacing="1" w:line="360" w:lineRule="exact"/>
              <w:jc w:val="center"/>
              <w:rPr>
                <w:rFonts w:ascii="宋体" w:hAnsi="宋体" w:cs="Times New Roman"/>
                <w:sz w:val="24"/>
                <w:szCs w:val="24"/>
              </w:rPr>
            </w:pPr>
            <w:r>
              <w:rPr>
                <w:rFonts w:hint="eastAsia" w:ascii="宋体" w:hAnsi="宋体" w:cs="Times New Roman"/>
                <w:sz w:val="24"/>
                <w:szCs w:val="24"/>
              </w:rPr>
              <w:t>销售服务网点名称和地址</w:t>
            </w:r>
          </w:p>
        </w:tc>
        <w:tc>
          <w:tcPr>
            <w:tcW w:w="2155" w:type="dxa"/>
            <w:shd w:val="pct10" w:color="auto" w:fill="auto"/>
            <w:vAlign w:val="center"/>
          </w:tcPr>
          <w:p>
            <w:pPr>
              <w:adjustRightInd w:val="0"/>
              <w:snapToGrid w:val="0"/>
              <w:spacing w:before="100" w:beforeAutospacing="1" w:after="100" w:afterAutospacing="1" w:line="360" w:lineRule="exact"/>
              <w:jc w:val="center"/>
              <w:rPr>
                <w:rFonts w:ascii="宋体" w:hAnsi="宋体" w:cs="Times New Roman"/>
                <w:sz w:val="24"/>
                <w:szCs w:val="24"/>
              </w:rPr>
            </w:pPr>
            <w:r>
              <w:rPr>
                <w:rFonts w:hint="eastAsia" w:ascii="宋体" w:hAnsi="宋体" w:cs="Times New Roman"/>
                <w:sz w:val="24"/>
                <w:szCs w:val="24"/>
              </w:rPr>
              <w:t>主要服务范围</w:t>
            </w:r>
          </w:p>
        </w:tc>
        <w:tc>
          <w:tcPr>
            <w:tcW w:w="1763" w:type="dxa"/>
            <w:shd w:val="pct10" w:color="auto" w:fill="auto"/>
            <w:vAlign w:val="center"/>
          </w:tcPr>
          <w:p>
            <w:pPr>
              <w:adjustRightInd w:val="0"/>
              <w:snapToGrid w:val="0"/>
              <w:spacing w:before="100" w:beforeAutospacing="1" w:after="100" w:afterAutospacing="1" w:line="360" w:lineRule="exact"/>
              <w:jc w:val="center"/>
              <w:rPr>
                <w:rFonts w:ascii="宋体" w:hAnsi="宋体" w:cs="Times New Roman"/>
                <w:sz w:val="24"/>
                <w:szCs w:val="24"/>
              </w:rPr>
            </w:pPr>
            <w:r>
              <w:rPr>
                <w:rFonts w:hint="eastAsia" w:ascii="宋体" w:hAnsi="宋体" w:cs="Times New Roman"/>
                <w:sz w:val="24"/>
                <w:szCs w:val="24"/>
              </w:rPr>
              <w:t>服务人员数</w:t>
            </w:r>
          </w:p>
        </w:tc>
        <w:tc>
          <w:tcPr>
            <w:tcW w:w="1968" w:type="dxa"/>
            <w:shd w:val="pct10" w:color="auto" w:fill="auto"/>
            <w:vAlign w:val="center"/>
          </w:tcPr>
          <w:p>
            <w:pPr>
              <w:adjustRightInd w:val="0"/>
              <w:snapToGrid w:val="0"/>
              <w:spacing w:before="100" w:beforeAutospacing="1" w:after="100" w:afterAutospacing="1" w:line="360" w:lineRule="exact"/>
              <w:jc w:val="center"/>
              <w:rPr>
                <w:rFonts w:ascii="宋体" w:hAnsi="宋体" w:cs="Times New Roman"/>
                <w:sz w:val="24"/>
                <w:szCs w:val="24"/>
              </w:rPr>
            </w:pPr>
            <w:r>
              <w:rPr>
                <w:rFonts w:hint="eastAsia" w:ascii="宋体" w:hAnsi="宋体" w:cs="Times New Roman"/>
                <w:sz w:val="24"/>
                <w:szCs w:val="24"/>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3647" w:type="dxa"/>
            <w:vAlign w:val="center"/>
          </w:tcPr>
          <w:p>
            <w:pPr>
              <w:adjustRightInd w:val="0"/>
              <w:snapToGrid w:val="0"/>
              <w:spacing w:before="100" w:beforeAutospacing="1" w:after="100" w:afterAutospacing="1" w:line="360" w:lineRule="exact"/>
              <w:jc w:val="center"/>
              <w:rPr>
                <w:rFonts w:ascii="宋体" w:hAnsi="宋体" w:cs="Times New Roman"/>
                <w:sz w:val="24"/>
                <w:szCs w:val="24"/>
              </w:rPr>
            </w:pPr>
          </w:p>
        </w:tc>
        <w:tc>
          <w:tcPr>
            <w:tcW w:w="2155" w:type="dxa"/>
            <w:vAlign w:val="center"/>
          </w:tcPr>
          <w:p>
            <w:pPr>
              <w:adjustRightInd w:val="0"/>
              <w:snapToGrid w:val="0"/>
              <w:spacing w:before="100" w:beforeAutospacing="1" w:after="100" w:afterAutospacing="1" w:line="360" w:lineRule="exact"/>
              <w:jc w:val="center"/>
              <w:rPr>
                <w:rFonts w:ascii="宋体" w:hAnsi="宋体" w:cs="Times New Roman"/>
                <w:sz w:val="24"/>
                <w:szCs w:val="24"/>
              </w:rPr>
            </w:pPr>
          </w:p>
        </w:tc>
        <w:tc>
          <w:tcPr>
            <w:tcW w:w="1763" w:type="dxa"/>
            <w:vAlign w:val="center"/>
          </w:tcPr>
          <w:p>
            <w:pPr>
              <w:adjustRightInd w:val="0"/>
              <w:snapToGrid w:val="0"/>
              <w:spacing w:before="100" w:beforeAutospacing="1" w:after="100" w:afterAutospacing="1" w:line="360" w:lineRule="exact"/>
              <w:jc w:val="center"/>
              <w:rPr>
                <w:rFonts w:ascii="宋体" w:hAnsi="宋体" w:cs="Times New Roman"/>
                <w:sz w:val="24"/>
                <w:szCs w:val="24"/>
              </w:rPr>
            </w:pPr>
          </w:p>
        </w:tc>
        <w:tc>
          <w:tcPr>
            <w:tcW w:w="1968" w:type="dxa"/>
            <w:vAlign w:val="center"/>
          </w:tcPr>
          <w:p>
            <w:pPr>
              <w:adjustRightInd w:val="0"/>
              <w:snapToGrid w:val="0"/>
              <w:spacing w:before="100" w:beforeAutospacing="1" w:after="100" w:afterAutospacing="1" w:line="360" w:lineRule="exact"/>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3647" w:type="dxa"/>
            <w:vAlign w:val="center"/>
          </w:tcPr>
          <w:p>
            <w:pPr>
              <w:adjustRightInd w:val="0"/>
              <w:snapToGrid w:val="0"/>
              <w:spacing w:before="100" w:beforeAutospacing="1" w:after="100" w:afterAutospacing="1" w:line="360" w:lineRule="exact"/>
              <w:jc w:val="center"/>
              <w:rPr>
                <w:rFonts w:ascii="宋体" w:hAnsi="宋体" w:cs="Times New Roman"/>
                <w:sz w:val="24"/>
                <w:szCs w:val="24"/>
              </w:rPr>
            </w:pPr>
          </w:p>
        </w:tc>
        <w:tc>
          <w:tcPr>
            <w:tcW w:w="2155" w:type="dxa"/>
            <w:vAlign w:val="center"/>
          </w:tcPr>
          <w:p>
            <w:pPr>
              <w:adjustRightInd w:val="0"/>
              <w:snapToGrid w:val="0"/>
              <w:spacing w:before="100" w:beforeAutospacing="1" w:after="100" w:afterAutospacing="1" w:line="360" w:lineRule="exact"/>
              <w:jc w:val="center"/>
              <w:rPr>
                <w:rFonts w:ascii="宋体" w:hAnsi="宋体" w:cs="Times New Roman"/>
                <w:sz w:val="24"/>
                <w:szCs w:val="24"/>
              </w:rPr>
            </w:pPr>
          </w:p>
        </w:tc>
        <w:tc>
          <w:tcPr>
            <w:tcW w:w="1763" w:type="dxa"/>
            <w:vAlign w:val="center"/>
          </w:tcPr>
          <w:p>
            <w:pPr>
              <w:adjustRightInd w:val="0"/>
              <w:snapToGrid w:val="0"/>
              <w:spacing w:before="100" w:beforeAutospacing="1" w:after="100" w:afterAutospacing="1" w:line="360" w:lineRule="exact"/>
              <w:jc w:val="center"/>
              <w:rPr>
                <w:rFonts w:ascii="宋体" w:hAnsi="宋体" w:cs="Times New Roman"/>
                <w:sz w:val="24"/>
                <w:szCs w:val="24"/>
              </w:rPr>
            </w:pPr>
          </w:p>
        </w:tc>
        <w:tc>
          <w:tcPr>
            <w:tcW w:w="1968" w:type="dxa"/>
            <w:vAlign w:val="center"/>
          </w:tcPr>
          <w:p>
            <w:pPr>
              <w:adjustRightInd w:val="0"/>
              <w:snapToGrid w:val="0"/>
              <w:spacing w:before="100" w:beforeAutospacing="1" w:after="100" w:afterAutospacing="1" w:line="360" w:lineRule="exact"/>
              <w:jc w:val="center"/>
              <w:rPr>
                <w:rFonts w:ascii="宋体" w:hAnsi="宋体" w:cs="Times New Roman"/>
                <w:sz w:val="24"/>
                <w:szCs w:val="24"/>
              </w:rPr>
            </w:pPr>
          </w:p>
        </w:tc>
      </w:tr>
    </w:tbl>
    <w:p>
      <w:pPr>
        <w:spacing w:line="360" w:lineRule="exact"/>
        <w:rPr>
          <w:rFonts w:ascii="宋体" w:hAnsi="宋体" w:cs="Times New Roman"/>
          <w:sz w:val="24"/>
          <w:szCs w:val="24"/>
        </w:rPr>
      </w:pPr>
      <w:r>
        <w:rPr>
          <w:rFonts w:hint="eastAsia" w:ascii="宋体" w:hAnsi="宋体" w:cs="Times New Roman"/>
          <w:sz w:val="24"/>
          <w:szCs w:val="24"/>
        </w:rPr>
        <w:t xml:space="preserve">3．投标人认为需要声明的其它情况：                         </w:t>
      </w:r>
    </w:p>
    <w:p>
      <w:pPr>
        <w:spacing w:line="360" w:lineRule="exact"/>
        <w:ind w:firstLine="475" w:firstLineChars="198"/>
        <w:rPr>
          <w:rFonts w:ascii="宋体" w:hAnsi="宋体" w:cs="Times New Roman"/>
          <w:sz w:val="24"/>
          <w:szCs w:val="24"/>
        </w:rPr>
      </w:pPr>
      <w:r>
        <w:rPr>
          <w:rFonts w:hint="eastAsia" w:ascii="宋体" w:hAnsi="宋体" w:cs="Times New Roman"/>
          <w:sz w:val="24"/>
          <w:szCs w:val="24"/>
        </w:rPr>
        <w:t xml:space="preserve">兹证明上述声明是真实的、正确，并提供了全部能提供的资料和数据，同意按照采购代理机构要求出示有关证明文件。                      </w:t>
      </w:r>
    </w:p>
    <w:p>
      <w:pPr>
        <w:spacing w:line="360" w:lineRule="auto"/>
        <w:ind w:left="504" w:leftChars="240"/>
        <w:rPr>
          <w:rFonts w:ascii="宋体" w:hAnsi="宋体" w:cs="Times New Roman"/>
          <w:b/>
          <w:sz w:val="24"/>
          <w:szCs w:val="24"/>
        </w:rPr>
      </w:pPr>
      <w:r>
        <w:rPr>
          <w:rFonts w:hint="eastAsia" w:ascii="宋体" w:hAnsi="宋体" w:cs="Times New Roman"/>
          <w:b/>
          <w:sz w:val="24"/>
          <w:szCs w:val="24"/>
        </w:rPr>
        <w:t>投标人</w:t>
      </w:r>
      <w:r>
        <w:rPr>
          <w:rFonts w:hint="eastAsia" w:ascii="Times New Roman" w:hAnsi="宋体" w:cs="Times New Roman"/>
          <w:b/>
          <w:sz w:val="24"/>
          <w:szCs w:val="24"/>
        </w:rPr>
        <w:t>（公章）</w:t>
      </w:r>
      <w:r>
        <w:rPr>
          <w:rFonts w:hint="eastAsia" w:ascii="宋体" w:hAnsi="宋体" w:cs="Times New Roman"/>
          <w:b/>
          <w:sz w:val="24"/>
          <w:szCs w:val="24"/>
        </w:rPr>
        <w:t>：</w:t>
      </w:r>
    </w:p>
    <w:p>
      <w:pPr>
        <w:spacing w:line="360" w:lineRule="auto"/>
        <w:ind w:left="504" w:leftChars="240"/>
        <w:rPr>
          <w:rFonts w:ascii="宋体" w:hAnsi="宋体" w:cs="Times New Roman"/>
          <w:b/>
          <w:sz w:val="24"/>
          <w:szCs w:val="24"/>
        </w:rPr>
      </w:pPr>
      <w:r>
        <w:rPr>
          <w:rFonts w:hint="eastAsia" w:ascii="Times New Roman" w:hAnsi="宋体" w:cs="Times New Roman"/>
          <w:b/>
          <w:sz w:val="24"/>
          <w:szCs w:val="24"/>
        </w:rPr>
        <w:t>法定代表人（签字或盖章）</w:t>
      </w:r>
      <w:r>
        <w:rPr>
          <w:rFonts w:hint="eastAsia" w:ascii="宋体" w:hAnsi="宋体" w:cs="Times New Roman"/>
          <w:b/>
          <w:sz w:val="24"/>
          <w:szCs w:val="24"/>
        </w:rPr>
        <w:t>：</w:t>
      </w:r>
    </w:p>
    <w:p>
      <w:pPr>
        <w:spacing w:line="360" w:lineRule="auto"/>
        <w:ind w:left="504" w:leftChars="240"/>
        <w:rPr>
          <w:rFonts w:ascii="宋体" w:hAnsi="宋体" w:cs="Times New Roman"/>
          <w:b/>
          <w:sz w:val="24"/>
          <w:szCs w:val="24"/>
        </w:rPr>
      </w:pPr>
      <w:r>
        <w:rPr>
          <w:rFonts w:hint="eastAsia" w:ascii="宋体" w:hAnsi="宋体" w:cs="Times New Roman"/>
          <w:b/>
          <w:sz w:val="24"/>
          <w:szCs w:val="24"/>
        </w:rPr>
        <w:t>电    话：</w:t>
      </w:r>
    </w:p>
    <w:p>
      <w:pPr>
        <w:spacing w:line="360" w:lineRule="auto"/>
        <w:ind w:left="504" w:leftChars="240"/>
        <w:rPr>
          <w:rFonts w:ascii="宋体" w:hAnsi="宋体" w:cs="Times New Roman"/>
          <w:b/>
          <w:sz w:val="24"/>
          <w:szCs w:val="24"/>
          <w:u w:val="single"/>
        </w:rPr>
      </w:pPr>
      <w:r>
        <w:rPr>
          <w:rFonts w:hint="eastAsia" w:ascii="宋体" w:hAnsi="宋体" w:cs="Times New Roman"/>
          <w:b/>
          <w:sz w:val="24"/>
          <w:szCs w:val="24"/>
        </w:rPr>
        <w:t>传    真：</w:t>
      </w:r>
    </w:p>
    <w:p>
      <w:pPr>
        <w:spacing w:line="360" w:lineRule="auto"/>
        <w:ind w:left="504" w:leftChars="240"/>
        <w:rPr>
          <w:rFonts w:ascii="宋体" w:hAnsi="宋体" w:cs="Times New Roman"/>
          <w:b/>
          <w:sz w:val="24"/>
          <w:szCs w:val="24"/>
        </w:rPr>
      </w:pPr>
      <w:r>
        <w:rPr>
          <w:rFonts w:hint="eastAsia" w:ascii="宋体" w:hAnsi="宋体" w:cs="Times New Roman"/>
          <w:b/>
          <w:sz w:val="24"/>
          <w:szCs w:val="24"/>
        </w:rPr>
        <w:t>日    期：年月 日</w:t>
      </w:r>
    </w:p>
    <w:p>
      <w:pPr>
        <w:pStyle w:val="3"/>
        <w:numPr>
          <w:ilvl w:val="0"/>
          <w:numId w:val="56"/>
        </w:numPr>
        <w:spacing w:before="100" w:beforeAutospacing="1" w:afterLines="50" w:line="360" w:lineRule="auto"/>
        <w:ind w:left="1610" w:hanging="1610"/>
        <w:rPr>
          <w:rFonts w:ascii="宋体" w:hAnsi="宋体"/>
        </w:rPr>
      </w:pPr>
      <w:bookmarkStart w:id="188" w:name="_Toc494665962"/>
      <w:bookmarkStart w:id="189" w:name="_Toc494665012"/>
      <w:bookmarkStart w:id="190" w:name="_Toc497459212"/>
      <w:bookmarkStart w:id="191" w:name="_Toc494702282"/>
      <w:bookmarkStart w:id="192" w:name="_Toc494721112"/>
      <w:bookmarkStart w:id="193" w:name="_Toc494745329"/>
      <w:bookmarkStart w:id="194" w:name="_Toc494665565"/>
      <w:r>
        <w:rPr>
          <w:rFonts w:hint="eastAsia" w:ascii="宋体" w:hAnsi="宋体"/>
        </w:rPr>
        <w:t>项目负责人、技术负责人简历表</w:t>
      </w:r>
      <w:bookmarkEnd w:id="188"/>
      <w:bookmarkEnd w:id="189"/>
      <w:bookmarkEnd w:id="190"/>
      <w:bookmarkEnd w:id="191"/>
      <w:bookmarkEnd w:id="192"/>
      <w:bookmarkEnd w:id="193"/>
      <w:bookmarkEnd w:id="194"/>
    </w:p>
    <w:p>
      <w:pPr>
        <w:spacing w:line="360" w:lineRule="auto"/>
        <w:jc w:val="left"/>
        <w:rPr>
          <w:rFonts w:hAnsi="宋体"/>
          <w:b/>
          <w:sz w:val="24"/>
        </w:rPr>
      </w:pPr>
      <w:r>
        <w:rPr>
          <w:rFonts w:hint="eastAsia" w:hAnsi="宋体"/>
          <w:b/>
          <w:sz w:val="24"/>
        </w:rPr>
        <w:t>投标人：</w:t>
      </w:r>
    </w:p>
    <w:p>
      <w:pPr>
        <w:spacing w:line="360" w:lineRule="auto"/>
        <w:jc w:val="left"/>
        <w:rPr>
          <w:rFonts w:hAnsi="宋体"/>
          <w:b/>
          <w:sz w:val="24"/>
        </w:rPr>
      </w:pPr>
      <w:r>
        <w:rPr>
          <w:rFonts w:hint="eastAsia" w:ascii="宋体" w:hAnsi="宋体" w:cs="Times New Roman"/>
          <w:b/>
          <w:sz w:val="24"/>
          <w:szCs w:val="21"/>
        </w:rPr>
        <w:t>项目编号：</w:t>
      </w:r>
      <w:r>
        <w:rPr>
          <w:rFonts w:hint="eastAsia" w:ascii="宋体" w:hAnsi="宋体" w:cs="Times New Roman"/>
          <w:b/>
          <w:bCs/>
          <w:sz w:val="24"/>
          <w:szCs w:val="21"/>
        </w:rPr>
        <w:t xml:space="preserve">                所投包号：</w:t>
      </w:r>
    </w:p>
    <w:tbl>
      <w:tblPr>
        <w:tblStyle w:val="14"/>
        <w:tblW w:w="93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306"/>
        <w:gridCol w:w="1224"/>
        <w:gridCol w:w="612"/>
        <w:gridCol w:w="918"/>
        <w:gridCol w:w="918"/>
        <w:gridCol w:w="612"/>
        <w:gridCol w:w="1224"/>
        <w:gridCol w:w="30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autoSpaceDE w:val="0"/>
              <w:autoSpaceDN w:val="0"/>
              <w:adjustRightInd w:val="0"/>
              <w:spacing w:line="360" w:lineRule="auto"/>
              <w:jc w:val="center"/>
              <w:rPr>
                <w:rFonts w:ascii="宋体" w:hAnsi="宋体" w:cs="Times New Roman"/>
                <w:kern w:val="0"/>
                <w:sz w:val="24"/>
                <w:szCs w:val="28"/>
              </w:rPr>
            </w:pPr>
            <w:r>
              <w:rPr>
                <w:rFonts w:hint="eastAsia" w:ascii="宋体" w:hAnsi="宋体" w:cs="Times New Roman"/>
                <w:kern w:val="0"/>
                <w:sz w:val="24"/>
                <w:szCs w:val="28"/>
              </w:rPr>
              <w:t>姓    名</w:t>
            </w:r>
          </w:p>
        </w:tc>
        <w:tc>
          <w:tcPr>
            <w:tcW w:w="1530" w:type="dxa"/>
            <w:gridSpan w:val="2"/>
            <w:vAlign w:val="center"/>
          </w:tcPr>
          <w:p>
            <w:pPr>
              <w:autoSpaceDE w:val="0"/>
              <w:autoSpaceDN w:val="0"/>
              <w:adjustRightInd w:val="0"/>
              <w:spacing w:line="360" w:lineRule="auto"/>
              <w:ind w:right="285" w:rightChars="136"/>
              <w:jc w:val="center"/>
              <w:rPr>
                <w:rFonts w:ascii="宋体" w:hAnsi="宋体" w:cs="Times New Roman"/>
                <w:kern w:val="0"/>
                <w:sz w:val="24"/>
                <w:szCs w:val="28"/>
              </w:rPr>
            </w:pPr>
          </w:p>
        </w:tc>
        <w:tc>
          <w:tcPr>
            <w:tcW w:w="1530" w:type="dxa"/>
            <w:gridSpan w:val="2"/>
            <w:vAlign w:val="center"/>
          </w:tcPr>
          <w:p>
            <w:pPr>
              <w:autoSpaceDE w:val="0"/>
              <w:autoSpaceDN w:val="0"/>
              <w:adjustRightInd w:val="0"/>
              <w:spacing w:line="360" w:lineRule="auto"/>
              <w:ind w:right="-128" w:rightChars="-61"/>
              <w:jc w:val="center"/>
              <w:rPr>
                <w:rFonts w:ascii="宋体" w:hAnsi="宋体" w:cs="Times New Roman"/>
                <w:kern w:val="0"/>
                <w:sz w:val="24"/>
                <w:szCs w:val="28"/>
              </w:rPr>
            </w:pPr>
            <w:r>
              <w:rPr>
                <w:rFonts w:hint="eastAsia" w:ascii="宋体" w:hAnsi="宋体" w:cs="Times New Roman"/>
                <w:kern w:val="0"/>
                <w:sz w:val="24"/>
                <w:szCs w:val="28"/>
              </w:rPr>
              <w:t>性    别</w:t>
            </w:r>
          </w:p>
        </w:tc>
        <w:tc>
          <w:tcPr>
            <w:tcW w:w="1530" w:type="dxa"/>
            <w:gridSpan w:val="2"/>
            <w:vAlign w:val="center"/>
          </w:tcPr>
          <w:p>
            <w:pPr>
              <w:autoSpaceDE w:val="0"/>
              <w:autoSpaceDN w:val="0"/>
              <w:adjustRightInd w:val="0"/>
              <w:spacing w:line="360" w:lineRule="auto"/>
              <w:ind w:right="285" w:rightChars="136"/>
              <w:jc w:val="center"/>
              <w:rPr>
                <w:rFonts w:ascii="宋体" w:hAnsi="宋体" w:cs="Times New Roman"/>
                <w:kern w:val="0"/>
                <w:sz w:val="24"/>
                <w:szCs w:val="28"/>
              </w:rPr>
            </w:pPr>
          </w:p>
        </w:tc>
        <w:tc>
          <w:tcPr>
            <w:tcW w:w="1530" w:type="dxa"/>
            <w:gridSpan w:val="2"/>
            <w:vAlign w:val="center"/>
          </w:tcPr>
          <w:p>
            <w:pPr>
              <w:autoSpaceDE w:val="0"/>
              <w:autoSpaceDN w:val="0"/>
              <w:adjustRightInd w:val="0"/>
              <w:spacing w:line="360" w:lineRule="auto"/>
              <w:ind w:right="2" w:rightChars="1"/>
              <w:jc w:val="center"/>
              <w:rPr>
                <w:rFonts w:ascii="宋体" w:hAnsi="宋体" w:cs="Times New Roman"/>
                <w:kern w:val="0"/>
                <w:sz w:val="24"/>
                <w:szCs w:val="28"/>
              </w:rPr>
            </w:pPr>
            <w:r>
              <w:rPr>
                <w:rFonts w:hint="eastAsia" w:ascii="宋体" w:hAnsi="宋体" w:cs="Times New Roman"/>
                <w:kern w:val="0"/>
                <w:sz w:val="24"/>
                <w:szCs w:val="28"/>
              </w:rPr>
              <w:t>年    龄</w:t>
            </w:r>
          </w:p>
        </w:tc>
        <w:tc>
          <w:tcPr>
            <w:tcW w:w="1530" w:type="dxa"/>
            <w:vAlign w:val="center"/>
          </w:tcPr>
          <w:p>
            <w:pPr>
              <w:autoSpaceDE w:val="0"/>
              <w:autoSpaceDN w:val="0"/>
              <w:adjustRightInd w:val="0"/>
              <w:spacing w:line="360" w:lineRule="auto"/>
              <w:ind w:right="285" w:rightChars="136"/>
              <w:jc w:val="center"/>
              <w:rPr>
                <w:rFonts w:ascii="宋体" w:hAnsi="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autoSpaceDE w:val="0"/>
              <w:autoSpaceDN w:val="0"/>
              <w:adjustRightInd w:val="0"/>
              <w:spacing w:line="360" w:lineRule="auto"/>
              <w:jc w:val="center"/>
              <w:rPr>
                <w:rFonts w:ascii="宋体" w:hAnsi="宋体" w:cs="Times New Roman"/>
                <w:kern w:val="0"/>
                <w:sz w:val="24"/>
                <w:szCs w:val="28"/>
              </w:rPr>
            </w:pPr>
            <w:r>
              <w:rPr>
                <w:rFonts w:hint="eastAsia" w:ascii="宋体" w:hAnsi="宋体" w:cs="Times New Roman"/>
                <w:kern w:val="0"/>
                <w:sz w:val="24"/>
                <w:szCs w:val="28"/>
              </w:rPr>
              <w:t>职    务</w:t>
            </w:r>
          </w:p>
        </w:tc>
        <w:tc>
          <w:tcPr>
            <w:tcW w:w="1530" w:type="dxa"/>
            <w:gridSpan w:val="2"/>
            <w:vAlign w:val="center"/>
          </w:tcPr>
          <w:p>
            <w:pPr>
              <w:autoSpaceDE w:val="0"/>
              <w:autoSpaceDN w:val="0"/>
              <w:adjustRightInd w:val="0"/>
              <w:spacing w:line="360" w:lineRule="auto"/>
              <w:ind w:right="285" w:rightChars="136"/>
              <w:jc w:val="center"/>
              <w:rPr>
                <w:rFonts w:ascii="宋体" w:hAnsi="宋体" w:cs="Times New Roman"/>
                <w:kern w:val="0"/>
                <w:sz w:val="24"/>
                <w:szCs w:val="28"/>
              </w:rPr>
            </w:pPr>
          </w:p>
        </w:tc>
        <w:tc>
          <w:tcPr>
            <w:tcW w:w="1530" w:type="dxa"/>
            <w:gridSpan w:val="2"/>
            <w:vAlign w:val="center"/>
          </w:tcPr>
          <w:p>
            <w:pPr>
              <w:autoSpaceDE w:val="0"/>
              <w:autoSpaceDN w:val="0"/>
              <w:adjustRightInd w:val="0"/>
              <w:spacing w:line="360" w:lineRule="auto"/>
              <w:ind w:right="-84" w:rightChars="-40"/>
              <w:jc w:val="center"/>
              <w:rPr>
                <w:rFonts w:ascii="宋体" w:hAnsi="宋体" w:cs="Times New Roman"/>
                <w:kern w:val="0"/>
                <w:sz w:val="24"/>
                <w:szCs w:val="28"/>
              </w:rPr>
            </w:pPr>
            <w:r>
              <w:rPr>
                <w:rFonts w:hint="eastAsia" w:ascii="宋体" w:hAnsi="宋体" w:cs="Times New Roman"/>
                <w:kern w:val="0"/>
                <w:sz w:val="24"/>
                <w:szCs w:val="28"/>
              </w:rPr>
              <w:t>职    称</w:t>
            </w:r>
          </w:p>
        </w:tc>
        <w:tc>
          <w:tcPr>
            <w:tcW w:w="1530" w:type="dxa"/>
            <w:gridSpan w:val="2"/>
            <w:vAlign w:val="center"/>
          </w:tcPr>
          <w:p>
            <w:pPr>
              <w:autoSpaceDE w:val="0"/>
              <w:autoSpaceDN w:val="0"/>
              <w:adjustRightInd w:val="0"/>
              <w:spacing w:line="360" w:lineRule="auto"/>
              <w:ind w:right="285" w:rightChars="136"/>
              <w:jc w:val="center"/>
              <w:rPr>
                <w:rFonts w:ascii="宋体" w:hAnsi="宋体" w:cs="Times New Roman"/>
                <w:kern w:val="0"/>
                <w:sz w:val="24"/>
                <w:szCs w:val="28"/>
              </w:rPr>
            </w:pPr>
          </w:p>
        </w:tc>
        <w:tc>
          <w:tcPr>
            <w:tcW w:w="1530" w:type="dxa"/>
            <w:gridSpan w:val="2"/>
            <w:vAlign w:val="center"/>
          </w:tcPr>
          <w:p>
            <w:pPr>
              <w:autoSpaceDE w:val="0"/>
              <w:autoSpaceDN w:val="0"/>
              <w:adjustRightInd w:val="0"/>
              <w:spacing w:line="360" w:lineRule="auto"/>
              <w:ind w:right="2" w:rightChars="1"/>
              <w:jc w:val="center"/>
              <w:rPr>
                <w:rFonts w:ascii="宋体" w:hAnsi="宋体" w:cs="Times New Roman"/>
                <w:kern w:val="0"/>
                <w:sz w:val="24"/>
                <w:szCs w:val="28"/>
              </w:rPr>
            </w:pPr>
            <w:r>
              <w:rPr>
                <w:rFonts w:hint="eastAsia" w:ascii="宋体" w:hAnsi="宋体" w:cs="Times New Roman"/>
                <w:kern w:val="0"/>
                <w:sz w:val="24"/>
                <w:szCs w:val="28"/>
              </w:rPr>
              <w:t>学    历</w:t>
            </w:r>
          </w:p>
        </w:tc>
        <w:tc>
          <w:tcPr>
            <w:tcW w:w="1530" w:type="dxa"/>
            <w:vAlign w:val="center"/>
          </w:tcPr>
          <w:p>
            <w:pPr>
              <w:autoSpaceDE w:val="0"/>
              <w:autoSpaceDN w:val="0"/>
              <w:adjustRightInd w:val="0"/>
              <w:spacing w:line="360" w:lineRule="auto"/>
              <w:ind w:right="2" w:rightChars="1"/>
              <w:jc w:val="center"/>
              <w:rPr>
                <w:rFonts w:ascii="宋体" w:hAnsi="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2" w:type="dxa"/>
            <w:vAlign w:val="center"/>
          </w:tcPr>
          <w:p>
            <w:pPr>
              <w:autoSpaceDE w:val="0"/>
              <w:autoSpaceDN w:val="0"/>
              <w:adjustRightInd w:val="0"/>
              <w:spacing w:line="360" w:lineRule="auto"/>
              <w:jc w:val="center"/>
              <w:rPr>
                <w:rFonts w:ascii="宋体" w:hAnsi="宋体" w:cs="Times New Roman"/>
                <w:kern w:val="0"/>
                <w:sz w:val="24"/>
                <w:szCs w:val="28"/>
              </w:rPr>
            </w:pPr>
            <w:r>
              <w:rPr>
                <w:rFonts w:hint="eastAsia" w:ascii="宋体" w:hAnsi="宋体" w:cs="Times New Roman"/>
                <w:kern w:val="0"/>
                <w:sz w:val="24"/>
                <w:szCs w:val="28"/>
              </w:rPr>
              <w:t>参加工作</w:t>
            </w:r>
          </w:p>
          <w:p>
            <w:pPr>
              <w:autoSpaceDE w:val="0"/>
              <w:autoSpaceDN w:val="0"/>
              <w:adjustRightInd w:val="0"/>
              <w:spacing w:line="360" w:lineRule="auto"/>
              <w:jc w:val="center"/>
              <w:rPr>
                <w:rFonts w:ascii="宋体" w:hAnsi="宋体" w:cs="Times New Roman"/>
                <w:kern w:val="0"/>
                <w:sz w:val="24"/>
                <w:szCs w:val="28"/>
              </w:rPr>
            </w:pPr>
            <w:r>
              <w:rPr>
                <w:rFonts w:hint="eastAsia" w:ascii="宋体" w:hAnsi="宋体" w:cs="Times New Roman"/>
                <w:kern w:val="0"/>
                <w:sz w:val="24"/>
                <w:szCs w:val="28"/>
              </w:rPr>
              <w:t>时间</w:t>
            </w:r>
          </w:p>
        </w:tc>
        <w:tc>
          <w:tcPr>
            <w:tcW w:w="1530" w:type="dxa"/>
            <w:gridSpan w:val="2"/>
            <w:vAlign w:val="center"/>
          </w:tcPr>
          <w:p>
            <w:pPr>
              <w:autoSpaceDE w:val="0"/>
              <w:autoSpaceDN w:val="0"/>
              <w:adjustRightInd w:val="0"/>
              <w:spacing w:line="360" w:lineRule="auto"/>
              <w:jc w:val="center"/>
              <w:rPr>
                <w:rFonts w:ascii="宋体" w:hAnsi="宋体" w:cs="Times New Roman"/>
                <w:kern w:val="0"/>
                <w:sz w:val="24"/>
                <w:szCs w:val="28"/>
              </w:rPr>
            </w:pPr>
          </w:p>
        </w:tc>
        <w:tc>
          <w:tcPr>
            <w:tcW w:w="1530" w:type="dxa"/>
            <w:gridSpan w:val="2"/>
            <w:vAlign w:val="center"/>
          </w:tcPr>
          <w:p>
            <w:pPr>
              <w:autoSpaceDE w:val="0"/>
              <w:autoSpaceDN w:val="0"/>
              <w:adjustRightInd w:val="0"/>
              <w:spacing w:line="360" w:lineRule="auto"/>
              <w:jc w:val="center"/>
              <w:rPr>
                <w:rFonts w:ascii="宋体" w:hAnsi="宋体" w:cs="Times New Roman"/>
                <w:kern w:val="0"/>
                <w:sz w:val="24"/>
                <w:szCs w:val="28"/>
              </w:rPr>
            </w:pPr>
            <w:r>
              <w:rPr>
                <w:rFonts w:hint="eastAsia" w:ascii="宋体" w:hAnsi="宋体" w:cs="Times New Roman"/>
                <w:kern w:val="0"/>
                <w:sz w:val="24"/>
                <w:szCs w:val="28"/>
              </w:rPr>
              <w:t>从事本行业工作年限</w:t>
            </w:r>
          </w:p>
        </w:tc>
        <w:tc>
          <w:tcPr>
            <w:tcW w:w="1530" w:type="dxa"/>
            <w:gridSpan w:val="2"/>
            <w:vAlign w:val="center"/>
          </w:tcPr>
          <w:p>
            <w:pPr>
              <w:autoSpaceDE w:val="0"/>
              <w:autoSpaceDN w:val="0"/>
              <w:adjustRightInd w:val="0"/>
              <w:spacing w:line="360" w:lineRule="auto"/>
              <w:jc w:val="center"/>
              <w:rPr>
                <w:rFonts w:ascii="宋体" w:hAnsi="宋体" w:cs="Times New Roman"/>
                <w:kern w:val="0"/>
                <w:sz w:val="24"/>
                <w:szCs w:val="28"/>
              </w:rPr>
            </w:pPr>
          </w:p>
        </w:tc>
        <w:tc>
          <w:tcPr>
            <w:tcW w:w="1530" w:type="dxa"/>
            <w:gridSpan w:val="2"/>
            <w:vAlign w:val="center"/>
          </w:tcPr>
          <w:p>
            <w:pPr>
              <w:autoSpaceDE w:val="0"/>
              <w:autoSpaceDN w:val="0"/>
              <w:adjustRightInd w:val="0"/>
              <w:spacing w:line="360" w:lineRule="auto"/>
              <w:jc w:val="center"/>
              <w:rPr>
                <w:rFonts w:ascii="宋体" w:hAnsi="宋体" w:cs="Times New Roman"/>
                <w:kern w:val="0"/>
                <w:sz w:val="24"/>
                <w:szCs w:val="28"/>
              </w:rPr>
            </w:pPr>
            <w:r>
              <w:rPr>
                <w:rFonts w:hint="eastAsia" w:ascii="宋体" w:hAnsi="宋体" w:cs="Times New Roman"/>
                <w:kern w:val="0"/>
                <w:sz w:val="24"/>
                <w:szCs w:val="28"/>
              </w:rPr>
              <w:t>个人专业资质及证书</w:t>
            </w:r>
          </w:p>
        </w:tc>
        <w:tc>
          <w:tcPr>
            <w:tcW w:w="1530" w:type="dxa"/>
            <w:vAlign w:val="center"/>
          </w:tcPr>
          <w:p>
            <w:pPr>
              <w:autoSpaceDE w:val="0"/>
              <w:autoSpaceDN w:val="0"/>
              <w:adjustRightInd w:val="0"/>
              <w:spacing w:line="360" w:lineRule="auto"/>
              <w:jc w:val="center"/>
              <w:rPr>
                <w:rFonts w:ascii="宋体" w:hAnsi="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center"/>
        </w:trPr>
        <w:tc>
          <w:tcPr>
            <w:tcW w:w="9352" w:type="dxa"/>
            <w:gridSpan w:val="10"/>
            <w:vAlign w:val="center"/>
          </w:tcPr>
          <w:p>
            <w:pPr>
              <w:autoSpaceDE w:val="0"/>
              <w:autoSpaceDN w:val="0"/>
              <w:adjustRightInd w:val="0"/>
              <w:spacing w:line="360" w:lineRule="auto"/>
              <w:ind w:right="285" w:rightChars="136"/>
              <w:jc w:val="center"/>
              <w:rPr>
                <w:rFonts w:ascii="宋体" w:hAnsi="宋体" w:cs="Times New Roman"/>
                <w:kern w:val="0"/>
                <w:sz w:val="24"/>
                <w:szCs w:val="28"/>
              </w:rPr>
            </w:pPr>
            <w:r>
              <w:rPr>
                <w:rFonts w:hint="eastAsia" w:ascii="宋体" w:hAnsi="宋体" w:cs="Times New Roman"/>
                <w:kern w:val="0"/>
                <w:sz w:val="24"/>
                <w:szCs w:val="28"/>
              </w:rPr>
              <w:t>个人简介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1" w:hRule="atLeast"/>
          <w:jc w:val="center"/>
        </w:trPr>
        <w:tc>
          <w:tcPr>
            <w:tcW w:w="9352" w:type="dxa"/>
            <w:gridSpan w:val="10"/>
            <w:vAlign w:val="center"/>
          </w:tcPr>
          <w:p>
            <w:pPr>
              <w:autoSpaceDE w:val="0"/>
              <w:autoSpaceDN w:val="0"/>
              <w:adjustRightInd w:val="0"/>
              <w:spacing w:line="360" w:lineRule="auto"/>
              <w:ind w:right="285" w:rightChars="136"/>
              <w:jc w:val="center"/>
              <w:rPr>
                <w:rFonts w:ascii="宋体" w:hAnsi="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9352" w:type="dxa"/>
            <w:gridSpan w:val="10"/>
            <w:vAlign w:val="center"/>
          </w:tcPr>
          <w:p>
            <w:pPr>
              <w:autoSpaceDE w:val="0"/>
              <w:autoSpaceDN w:val="0"/>
              <w:adjustRightInd w:val="0"/>
              <w:spacing w:line="360" w:lineRule="auto"/>
              <w:ind w:right="285" w:rightChars="136"/>
              <w:jc w:val="center"/>
              <w:rPr>
                <w:rFonts w:ascii="宋体" w:hAnsi="宋体" w:cs="Times New Roman"/>
                <w:kern w:val="0"/>
                <w:sz w:val="24"/>
                <w:szCs w:val="28"/>
              </w:rPr>
            </w:pPr>
            <w:r>
              <w:rPr>
                <w:rFonts w:hint="eastAsia" w:ascii="宋体" w:hAnsi="宋体" w:cs="Times New Roman"/>
                <w:kern w:val="0"/>
                <w:sz w:val="24"/>
                <w:szCs w:val="28"/>
              </w:rPr>
              <w:t>类似项目经验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r>
              <w:rPr>
                <w:rFonts w:hint="eastAsia" w:ascii="宋体" w:hAnsi="宋体" w:cs="Times New Roman"/>
                <w:kern w:val="0"/>
                <w:sz w:val="24"/>
                <w:szCs w:val="28"/>
              </w:rPr>
              <w:t>项目单位</w:t>
            </w: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r>
              <w:rPr>
                <w:rFonts w:hint="eastAsia" w:ascii="宋体" w:hAnsi="宋体" w:cs="Times New Roman"/>
                <w:kern w:val="0"/>
                <w:sz w:val="24"/>
                <w:szCs w:val="28"/>
              </w:rPr>
              <w:t>项目名称</w:t>
            </w: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r>
              <w:rPr>
                <w:rFonts w:hint="eastAsia" w:ascii="宋体" w:hAnsi="宋体" w:cs="Times New Roman"/>
                <w:kern w:val="0"/>
                <w:sz w:val="24"/>
                <w:szCs w:val="28"/>
              </w:rPr>
              <w:t>项目内容</w:t>
            </w: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r>
              <w:rPr>
                <w:rFonts w:hint="eastAsia" w:ascii="宋体" w:hAnsi="宋体" w:cs="Times New Roman"/>
                <w:kern w:val="0"/>
                <w:sz w:val="24"/>
                <w:szCs w:val="28"/>
              </w:rPr>
              <w:t>项目金额</w:t>
            </w: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r>
              <w:rPr>
                <w:rFonts w:hint="eastAsia" w:ascii="宋体" w:hAnsi="宋体" w:cs="Times New Roman"/>
                <w:kern w:val="0"/>
                <w:sz w:val="24"/>
                <w:szCs w:val="28"/>
              </w:rPr>
              <w:t>项目时间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cs="Times New Roman"/>
                <w:kern w:val="0"/>
                <w:sz w:val="24"/>
                <w:szCs w:val="28"/>
              </w:rPr>
            </w:pPr>
          </w:p>
        </w:tc>
      </w:tr>
    </w:tbl>
    <w:p>
      <w:pPr>
        <w:spacing w:line="360" w:lineRule="auto"/>
        <w:ind w:left="720" w:hanging="720" w:hangingChars="300"/>
        <w:jc w:val="left"/>
        <w:rPr>
          <w:rFonts w:ascii="宋体" w:hAnsi="宋体" w:cs="Times New Roman"/>
          <w:sz w:val="24"/>
          <w:szCs w:val="24"/>
        </w:rPr>
      </w:pPr>
      <w:r>
        <w:rPr>
          <w:rFonts w:hint="eastAsia" w:ascii="宋体" w:hAnsi="宋体" w:cs="Times New Roman"/>
          <w:sz w:val="24"/>
          <w:szCs w:val="24"/>
        </w:rPr>
        <w:t>说明：投标文件正本应附完整的相关证明材料清晰影印件，未按照要求详细完整填写此表，导致的后果由投标人自行承担。</w:t>
      </w:r>
    </w:p>
    <w:p>
      <w:pPr>
        <w:spacing w:line="360" w:lineRule="auto"/>
        <w:jc w:val="left"/>
        <w:rPr>
          <w:rFonts w:ascii="宋体" w:hAnsi="宋体" w:cs="Times New Roman"/>
          <w:sz w:val="24"/>
          <w:szCs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bCs/>
          <w:sz w:val="24"/>
          <w:szCs w:val="21"/>
        </w:rPr>
        <w:t>投标人</w:t>
      </w:r>
      <w:r>
        <w:rPr>
          <w:rFonts w:hint="eastAsia" w:hAnsi="宋体"/>
          <w:b/>
          <w:bCs/>
          <w:sz w:val="24"/>
        </w:rPr>
        <w:t>授权代表（签字）：</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bCs/>
          <w:sz w:val="24"/>
          <w:szCs w:val="21"/>
        </w:rPr>
        <w:t>投标</w:t>
      </w:r>
      <w:r>
        <w:rPr>
          <w:rFonts w:hint="eastAsia" w:hAnsi="宋体"/>
          <w:b/>
          <w:bCs/>
          <w:sz w:val="24"/>
        </w:rPr>
        <w:t>时间：</w:t>
      </w:r>
    </w:p>
    <w:p>
      <w:r>
        <w:br w:type="page"/>
      </w:r>
    </w:p>
    <w:p>
      <w:pPr>
        <w:pStyle w:val="3"/>
        <w:numPr>
          <w:ilvl w:val="0"/>
          <w:numId w:val="56"/>
        </w:numPr>
        <w:spacing w:before="100" w:beforeAutospacing="1" w:afterLines="50" w:line="360" w:lineRule="auto"/>
        <w:ind w:left="1610" w:hanging="1610"/>
        <w:rPr>
          <w:rFonts w:ascii="宋体" w:hAnsi="宋体"/>
        </w:rPr>
      </w:pPr>
      <w:bookmarkStart w:id="195" w:name="_Toc497459213"/>
      <w:bookmarkStart w:id="196" w:name="_Toc494745330"/>
      <w:bookmarkStart w:id="197" w:name="_Toc494665013"/>
      <w:bookmarkStart w:id="198" w:name="_Toc494721113"/>
      <w:bookmarkStart w:id="199" w:name="_Toc236473307"/>
      <w:bookmarkStart w:id="200" w:name="_Toc494665566"/>
      <w:bookmarkStart w:id="201" w:name="_Toc494702283"/>
      <w:bookmarkStart w:id="202" w:name="_Toc494665963"/>
      <w:bookmarkStart w:id="203" w:name="_Toc238276251"/>
      <w:r>
        <w:rPr>
          <w:rFonts w:hint="eastAsia" w:ascii="宋体" w:hAnsi="宋体"/>
        </w:rPr>
        <w:t>项目班子成员情况表</w:t>
      </w:r>
      <w:bookmarkEnd w:id="195"/>
      <w:bookmarkEnd w:id="196"/>
      <w:bookmarkEnd w:id="197"/>
      <w:bookmarkEnd w:id="198"/>
      <w:bookmarkEnd w:id="199"/>
      <w:bookmarkEnd w:id="200"/>
      <w:bookmarkEnd w:id="201"/>
      <w:bookmarkEnd w:id="202"/>
      <w:bookmarkEnd w:id="203"/>
    </w:p>
    <w:p>
      <w:pPr>
        <w:spacing w:line="360" w:lineRule="auto"/>
        <w:jc w:val="left"/>
        <w:rPr>
          <w:rFonts w:hAnsi="宋体"/>
          <w:b/>
          <w:sz w:val="24"/>
        </w:rPr>
      </w:pPr>
      <w:r>
        <w:rPr>
          <w:rFonts w:hint="eastAsia" w:hAnsi="宋体"/>
          <w:b/>
          <w:sz w:val="24"/>
        </w:rPr>
        <w:t>投标人：</w:t>
      </w:r>
    </w:p>
    <w:p>
      <w:pPr>
        <w:spacing w:line="360" w:lineRule="auto"/>
        <w:jc w:val="left"/>
        <w:rPr>
          <w:rFonts w:hAnsi="宋体"/>
          <w:b/>
          <w:sz w:val="24"/>
        </w:rPr>
      </w:pPr>
      <w:r>
        <w:rPr>
          <w:rFonts w:hint="eastAsia" w:ascii="宋体" w:hAnsi="宋体" w:cs="Times New Roman"/>
          <w:b/>
          <w:sz w:val="24"/>
          <w:szCs w:val="21"/>
        </w:rPr>
        <w:t>项目编号：</w:t>
      </w:r>
      <w:r>
        <w:rPr>
          <w:rFonts w:hint="eastAsia" w:ascii="宋体" w:hAnsi="宋体" w:cs="Times New Roman"/>
          <w:b/>
          <w:bCs/>
          <w:sz w:val="24"/>
          <w:szCs w:val="21"/>
        </w:rPr>
        <w:t xml:space="preserve">                所投包号：</w:t>
      </w:r>
    </w:p>
    <w:tbl>
      <w:tblPr>
        <w:tblStyle w:val="1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1134"/>
        <w:gridCol w:w="1134"/>
        <w:gridCol w:w="1418"/>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rFonts w:ascii="宋体" w:hAnsi="宋体" w:cs="Times New Roman"/>
                <w:sz w:val="24"/>
                <w:szCs w:val="24"/>
              </w:rPr>
            </w:pPr>
            <w:r>
              <w:rPr>
                <w:rFonts w:hint="eastAsia" w:ascii="宋体" w:hAnsi="宋体" w:cs="Times New Roman"/>
                <w:sz w:val="24"/>
                <w:szCs w:val="24"/>
              </w:rPr>
              <w:t>序号</w:t>
            </w:r>
          </w:p>
        </w:tc>
        <w:tc>
          <w:tcPr>
            <w:tcW w:w="992" w:type="dxa"/>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rFonts w:ascii="宋体" w:hAnsi="宋体" w:cs="Times New Roman"/>
                <w:sz w:val="24"/>
                <w:szCs w:val="24"/>
              </w:rPr>
            </w:pPr>
            <w:r>
              <w:rPr>
                <w:rFonts w:hint="eastAsia" w:ascii="宋体" w:hAnsi="宋体" w:cs="Times New Roman"/>
                <w:sz w:val="24"/>
                <w:szCs w:val="24"/>
              </w:rPr>
              <w:t>姓 名</w:t>
            </w:r>
          </w:p>
        </w:tc>
        <w:tc>
          <w:tcPr>
            <w:tcW w:w="1134" w:type="dxa"/>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rFonts w:ascii="宋体" w:hAnsi="宋体" w:cs="Times New Roman"/>
                <w:sz w:val="24"/>
                <w:szCs w:val="24"/>
              </w:rPr>
            </w:pPr>
            <w:r>
              <w:rPr>
                <w:rFonts w:hint="eastAsia" w:ascii="宋体" w:hAnsi="宋体" w:cs="Times New Roman"/>
                <w:sz w:val="24"/>
                <w:szCs w:val="24"/>
              </w:rPr>
              <w:t>专 业</w:t>
            </w:r>
          </w:p>
        </w:tc>
        <w:tc>
          <w:tcPr>
            <w:tcW w:w="1134" w:type="dxa"/>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rFonts w:ascii="宋体" w:hAnsi="宋体" w:cs="Times New Roman"/>
                <w:sz w:val="24"/>
                <w:szCs w:val="24"/>
              </w:rPr>
            </w:pPr>
            <w:r>
              <w:rPr>
                <w:rFonts w:hint="eastAsia" w:ascii="宋体" w:hAnsi="宋体" w:cs="Times New Roman"/>
                <w:sz w:val="24"/>
                <w:szCs w:val="24"/>
              </w:rPr>
              <w:t>年 龄</w:t>
            </w:r>
          </w:p>
        </w:tc>
        <w:tc>
          <w:tcPr>
            <w:tcW w:w="1418" w:type="dxa"/>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rFonts w:ascii="宋体" w:hAnsi="宋体" w:cs="Times New Roman"/>
                <w:sz w:val="24"/>
                <w:szCs w:val="24"/>
              </w:rPr>
            </w:pPr>
            <w:r>
              <w:rPr>
                <w:rFonts w:hint="eastAsia" w:ascii="宋体" w:hAnsi="宋体" w:cs="Times New Roman"/>
                <w:kern w:val="0"/>
                <w:sz w:val="24"/>
                <w:szCs w:val="28"/>
              </w:rPr>
              <w:t>从事本行业工作年限</w:t>
            </w:r>
          </w:p>
        </w:tc>
        <w:tc>
          <w:tcPr>
            <w:tcW w:w="1843" w:type="dxa"/>
            <w:tcBorders>
              <w:top w:val="single" w:color="auto" w:sz="4" w:space="0"/>
              <w:left w:val="single" w:color="auto" w:sz="4" w:space="0"/>
              <w:right w:val="single" w:color="auto" w:sz="4" w:space="0"/>
            </w:tcBorders>
            <w:shd w:val="clear" w:color="auto" w:fill="F2F2F2"/>
            <w:vAlign w:val="center"/>
          </w:tcPr>
          <w:p>
            <w:pPr>
              <w:jc w:val="center"/>
              <w:rPr>
                <w:rFonts w:ascii="宋体" w:hAnsi="宋体" w:cs="Times New Roman"/>
                <w:sz w:val="24"/>
                <w:szCs w:val="24"/>
              </w:rPr>
            </w:pPr>
            <w:r>
              <w:rPr>
                <w:rFonts w:hint="eastAsia" w:ascii="宋体" w:hAnsi="宋体" w:cs="Times New Roman"/>
                <w:sz w:val="24"/>
                <w:szCs w:val="24"/>
              </w:rPr>
              <w:t>在本项目中承担的工作</w:t>
            </w:r>
          </w:p>
        </w:tc>
        <w:tc>
          <w:tcPr>
            <w:tcW w:w="1842" w:type="dxa"/>
            <w:tcBorders>
              <w:top w:val="single" w:color="auto" w:sz="4" w:space="0"/>
              <w:left w:val="single" w:color="auto" w:sz="4" w:space="0"/>
              <w:right w:val="single" w:color="auto" w:sz="4" w:space="0"/>
            </w:tcBorders>
            <w:shd w:val="clear" w:color="auto" w:fill="F2F2F2"/>
            <w:vAlign w:val="center"/>
          </w:tcPr>
          <w:p>
            <w:pPr>
              <w:jc w:val="center"/>
              <w:rPr>
                <w:rFonts w:ascii="宋体" w:hAnsi="宋体" w:cs="Times New Roman"/>
                <w:sz w:val="24"/>
                <w:szCs w:val="24"/>
              </w:rPr>
            </w:pPr>
            <w:r>
              <w:rPr>
                <w:rFonts w:hint="eastAsia" w:ascii="宋体" w:hAnsi="宋体" w:cs="Times New Roman"/>
                <w:kern w:val="0"/>
                <w:sz w:val="24"/>
                <w:szCs w:val="28"/>
              </w:rPr>
              <w:t>个人专业资质及证书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r>
              <w:rPr>
                <w:rFonts w:hint="eastAsia" w:ascii="宋体" w:hAnsi="宋体"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sz w:val="24"/>
                <w:szCs w:val="24"/>
              </w:rPr>
            </w:pPr>
          </w:p>
        </w:tc>
        <w:tc>
          <w:tcPr>
            <w:tcW w:w="1843" w:type="dxa"/>
            <w:tcBorders>
              <w:left w:val="single" w:color="auto" w:sz="4" w:space="0"/>
              <w:right w:val="single" w:color="auto" w:sz="4" w:space="0"/>
            </w:tcBorders>
            <w:vAlign w:val="center"/>
          </w:tcPr>
          <w:p>
            <w:pPr>
              <w:rPr>
                <w:rFonts w:ascii="宋体" w:hAnsi="宋体" w:cs="Times New Roman"/>
                <w:sz w:val="24"/>
                <w:szCs w:val="24"/>
              </w:rPr>
            </w:pPr>
          </w:p>
        </w:tc>
        <w:tc>
          <w:tcPr>
            <w:tcW w:w="1842" w:type="dxa"/>
            <w:tcBorders>
              <w:left w:val="single" w:color="auto" w:sz="4" w:space="0"/>
              <w:right w:val="single" w:color="auto" w:sz="4" w:space="0"/>
            </w:tcBorders>
            <w:vAlign w:val="center"/>
          </w:tcPr>
          <w:p>
            <w:pP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r>
              <w:rPr>
                <w:rFonts w:hint="eastAsia" w:ascii="宋体" w:hAnsi="宋体" w:cs="Times New Roman"/>
                <w:sz w:val="24"/>
                <w:szCs w:val="24"/>
              </w:rPr>
              <w:t>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r>
              <w:rPr>
                <w:rFonts w:hint="eastAsia" w:ascii="宋体" w:hAnsi="宋体" w:cs="Times New Roman"/>
                <w:sz w:val="24"/>
                <w:szCs w:val="24"/>
              </w:rPr>
              <w:t>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r>
              <w:rPr>
                <w:rFonts w:hint="eastAsia" w:ascii="宋体" w:hAnsi="宋体" w:cs="Times New Roman"/>
                <w:sz w:val="24"/>
                <w:szCs w:val="24"/>
              </w:rPr>
              <w:t>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r>
              <w:rPr>
                <w:rFonts w:hint="eastAsia" w:ascii="宋体" w:hAnsi="宋体" w:cs="Times New Roman"/>
                <w:sz w:val="24"/>
                <w:szCs w:val="24"/>
              </w:rPr>
              <w:t>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r>
              <w:rPr>
                <w:rFonts w:hint="eastAsia" w:ascii="宋体" w:hAnsi="宋体" w:cs="Times New Roman"/>
                <w:sz w:val="24"/>
                <w:szCs w:val="24"/>
              </w:rPr>
              <w:t>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b/>
                <w:sz w:val="24"/>
                <w:szCs w:val="24"/>
              </w:rPr>
            </w:pPr>
            <w:r>
              <w:rPr>
                <w:rFonts w:ascii="宋体" w:hAnsi="宋体" w:cs="Times New Roman"/>
                <w:b/>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843" w:type="dxa"/>
            <w:tcBorders>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c>
          <w:tcPr>
            <w:tcW w:w="1842" w:type="dxa"/>
            <w:tcBorders>
              <w:left w:val="single" w:color="auto" w:sz="4" w:space="0"/>
              <w:bottom w:val="single" w:color="auto" w:sz="4" w:space="0"/>
              <w:right w:val="single" w:color="auto" w:sz="4" w:space="0"/>
            </w:tcBorders>
            <w:vAlign w:val="center"/>
          </w:tcPr>
          <w:p>
            <w:pPr>
              <w:jc w:val="center"/>
              <w:rPr>
                <w:rFonts w:ascii="宋体" w:hAnsi="宋体" w:cs="Times New Roman"/>
                <w:sz w:val="24"/>
                <w:szCs w:val="24"/>
              </w:rPr>
            </w:pPr>
          </w:p>
        </w:tc>
      </w:tr>
    </w:tbl>
    <w:p>
      <w:pPr>
        <w:spacing w:line="360" w:lineRule="auto"/>
        <w:ind w:left="720" w:hanging="720" w:hangingChars="300"/>
        <w:jc w:val="left"/>
        <w:rPr>
          <w:rFonts w:ascii="宋体" w:hAnsi="宋体" w:cs="Times New Roman"/>
          <w:sz w:val="24"/>
          <w:szCs w:val="24"/>
        </w:rPr>
      </w:pPr>
      <w:r>
        <w:rPr>
          <w:rFonts w:hint="eastAsia" w:ascii="宋体" w:hAnsi="宋体" w:cs="Times New Roman"/>
          <w:sz w:val="24"/>
          <w:szCs w:val="24"/>
        </w:rPr>
        <w:t>说明：投标文件正本应附完整的相关证明材料清晰影印件，</w:t>
      </w:r>
      <w:r>
        <w:rPr>
          <w:rFonts w:hint="eastAsia" w:ascii="宋体" w:hAnsi="宋体" w:cs="Corbel"/>
          <w:sz w:val="24"/>
          <w:szCs w:val="21"/>
        </w:rPr>
        <w:t>未按照要求详细完整填写此表，</w:t>
      </w:r>
      <w:r>
        <w:rPr>
          <w:rFonts w:hint="eastAsia" w:ascii="宋体" w:hAnsi="宋体" w:cs="Times New Roman"/>
          <w:sz w:val="24"/>
          <w:szCs w:val="21"/>
        </w:rPr>
        <w:t>导致的后果由投标人自行承担。</w:t>
      </w:r>
    </w:p>
    <w:p>
      <w:pPr>
        <w:spacing w:line="360" w:lineRule="auto"/>
        <w:jc w:val="left"/>
        <w:rPr>
          <w:rFonts w:ascii="宋体" w:hAnsi="宋体" w:cs="Times New Roman"/>
          <w:sz w:val="24"/>
          <w:szCs w:val="24"/>
        </w:rPr>
      </w:pPr>
    </w:p>
    <w:p>
      <w:pPr>
        <w:spacing w:line="360" w:lineRule="auto"/>
        <w:jc w:val="left"/>
        <w:rPr>
          <w:rFonts w:ascii="宋体" w:hAnsi="宋体" w:cs="Times New Roman"/>
          <w:sz w:val="24"/>
          <w:szCs w:val="24"/>
        </w:rPr>
      </w:pPr>
    </w:p>
    <w:p>
      <w:pPr>
        <w:spacing w:line="360" w:lineRule="auto"/>
        <w:jc w:val="left"/>
        <w:rPr>
          <w:rFonts w:ascii="宋体" w:hAnsi="宋体" w:cs="Times New Roman"/>
          <w:sz w:val="24"/>
          <w:szCs w:val="24"/>
        </w:rPr>
      </w:pPr>
    </w:p>
    <w:p>
      <w:pPr>
        <w:spacing w:line="360" w:lineRule="auto"/>
        <w:jc w:val="left"/>
        <w:rPr>
          <w:rFonts w:ascii="宋体" w:hAnsi="宋体" w:cs="Times New Roman"/>
          <w:sz w:val="24"/>
          <w:szCs w:val="24"/>
        </w:rPr>
      </w:pPr>
    </w:p>
    <w:p>
      <w:pPr>
        <w:spacing w:line="360" w:lineRule="auto"/>
        <w:jc w:val="left"/>
        <w:rPr>
          <w:rFonts w:ascii="宋体" w:hAnsi="宋体" w:cs="Times New Roman"/>
          <w:sz w:val="24"/>
          <w:szCs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bCs/>
          <w:sz w:val="24"/>
          <w:szCs w:val="21"/>
        </w:rPr>
        <w:t>投标人</w:t>
      </w:r>
      <w:r>
        <w:rPr>
          <w:rFonts w:hint="eastAsia" w:hAnsi="宋体"/>
          <w:b/>
          <w:bCs/>
          <w:sz w:val="24"/>
        </w:rPr>
        <w:t>授权代表（签字）：</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bCs/>
          <w:sz w:val="24"/>
          <w:szCs w:val="21"/>
        </w:rPr>
        <w:t>投标</w:t>
      </w:r>
      <w:r>
        <w:rPr>
          <w:rFonts w:hint="eastAsia" w:hAnsi="宋体"/>
          <w:b/>
          <w:bCs/>
          <w:sz w:val="24"/>
        </w:rPr>
        <w:t>时间：</w:t>
      </w:r>
    </w:p>
    <w:p>
      <w:r>
        <w:br w:type="page"/>
      </w:r>
    </w:p>
    <w:p>
      <w:pPr>
        <w:pStyle w:val="3"/>
        <w:numPr>
          <w:ilvl w:val="0"/>
          <w:numId w:val="56"/>
        </w:numPr>
        <w:spacing w:before="100" w:beforeAutospacing="1" w:afterLines="50" w:line="360" w:lineRule="auto"/>
        <w:ind w:left="1610" w:hanging="1610"/>
        <w:rPr>
          <w:rFonts w:ascii="宋体" w:hAnsi="宋体"/>
        </w:rPr>
      </w:pPr>
      <w:bookmarkStart w:id="204" w:name="_Toc494721114"/>
      <w:bookmarkStart w:id="205" w:name="_Toc494745331"/>
      <w:bookmarkStart w:id="206" w:name="_Toc494665964"/>
      <w:bookmarkStart w:id="207" w:name="_Toc494665014"/>
      <w:bookmarkStart w:id="208" w:name="_Toc494665567"/>
      <w:bookmarkStart w:id="209" w:name="_Toc238276256"/>
      <w:bookmarkStart w:id="210" w:name="_Toc236473312"/>
      <w:bookmarkStart w:id="211" w:name="_Toc494702284"/>
      <w:bookmarkStart w:id="212" w:name="_Toc497459214"/>
      <w:r>
        <w:rPr>
          <w:rFonts w:hint="eastAsia" w:ascii="宋体" w:hAnsi="宋体"/>
        </w:rPr>
        <w:t>投标人类似项目业绩表</w:t>
      </w:r>
      <w:bookmarkEnd w:id="204"/>
      <w:bookmarkEnd w:id="205"/>
      <w:bookmarkEnd w:id="206"/>
      <w:bookmarkEnd w:id="207"/>
      <w:bookmarkEnd w:id="208"/>
      <w:bookmarkEnd w:id="209"/>
      <w:bookmarkEnd w:id="210"/>
      <w:bookmarkEnd w:id="211"/>
      <w:bookmarkEnd w:id="212"/>
    </w:p>
    <w:p>
      <w:pPr>
        <w:spacing w:line="360" w:lineRule="auto"/>
        <w:jc w:val="left"/>
        <w:rPr>
          <w:rFonts w:hAnsi="宋体"/>
          <w:b/>
          <w:sz w:val="24"/>
        </w:rPr>
      </w:pPr>
      <w:r>
        <w:rPr>
          <w:rFonts w:hint="eastAsia" w:hAnsi="宋体"/>
          <w:b/>
          <w:sz w:val="24"/>
        </w:rPr>
        <w:t>投标人：</w:t>
      </w:r>
    </w:p>
    <w:p>
      <w:pPr>
        <w:spacing w:line="360" w:lineRule="auto"/>
        <w:jc w:val="left"/>
        <w:rPr>
          <w:rFonts w:hAnsi="宋体"/>
          <w:b/>
          <w:sz w:val="24"/>
        </w:rPr>
      </w:pPr>
      <w:r>
        <w:rPr>
          <w:rFonts w:hint="eastAsia" w:ascii="宋体" w:hAnsi="宋体" w:cs="Times New Roman"/>
          <w:b/>
          <w:sz w:val="24"/>
          <w:szCs w:val="21"/>
        </w:rPr>
        <w:t>项目编号：</w:t>
      </w:r>
      <w:r>
        <w:rPr>
          <w:rFonts w:hint="eastAsia" w:ascii="宋体" w:hAnsi="宋体" w:cs="Times New Roman"/>
          <w:b/>
          <w:bCs/>
          <w:sz w:val="24"/>
          <w:szCs w:val="21"/>
        </w:rPr>
        <w:t xml:space="preserve">                所投包号：</w:t>
      </w:r>
    </w:p>
    <w:tbl>
      <w:tblPr>
        <w:tblStyle w:val="14"/>
        <w:tblW w:w="9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20" w:type="dxa"/>
            <w:vAlign w:val="center"/>
          </w:tcPr>
          <w:p>
            <w:pPr>
              <w:jc w:val="center"/>
              <w:rPr>
                <w:rFonts w:ascii="宋体" w:hAnsi="宋体" w:cs="Courier New"/>
                <w:sz w:val="24"/>
                <w:szCs w:val="24"/>
              </w:rPr>
            </w:pPr>
            <w:r>
              <w:rPr>
                <w:rFonts w:hint="eastAsia" w:ascii="宋体" w:hAnsi="宋体" w:cs="Courier New"/>
                <w:sz w:val="24"/>
                <w:szCs w:val="24"/>
              </w:rPr>
              <w:t>项目单位名称</w:t>
            </w:r>
          </w:p>
        </w:tc>
        <w:tc>
          <w:tcPr>
            <w:tcW w:w="7200" w:type="dxa"/>
            <w:vAlign w:val="top"/>
          </w:tcPr>
          <w:p>
            <w:pPr>
              <w:rPr>
                <w:rFonts w:ascii="宋体" w:hAnsi="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2220" w:type="dxa"/>
            <w:vAlign w:val="center"/>
          </w:tcPr>
          <w:p>
            <w:pPr>
              <w:jc w:val="center"/>
              <w:rPr>
                <w:rFonts w:ascii="宋体" w:hAnsi="宋体" w:cs="Courier New"/>
                <w:sz w:val="24"/>
                <w:szCs w:val="24"/>
              </w:rPr>
            </w:pPr>
            <w:r>
              <w:rPr>
                <w:rFonts w:hint="eastAsia" w:ascii="宋体" w:hAnsi="宋体" w:cs="Courier New"/>
                <w:sz w:val="24"/>
                <w:szCs w:val="24"/>
              </w:rPr>
              <w:t>项目名称</w:t>
            </w:r>
          </w:p>
        </w:tc>
        <w:tc>
          <w:tcPr>
            <w:tcW w:w="7200" w:type="dxa"/>
            <w:vAlign w:val="top"/>
          </w:tcPr>
          <w:p>
            <w:pPr>
              <w:rPr>
                <w:rFonts w:ascii="宋体" w:hAnsi="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2220" w:type="dxa"/>
            <w:vAlign w:val="center"/>
          </w:tcPr>
          <w:p>
            <w:pPr>
              <w:jc w:val="center"/>
              <w:rPr>
                <w:rFonts w:ascii="宋体" w:hAnsi="宋体" w:cs="Courier New"/>
                <w:sz w:val="24"/>
                <w:szCs w:val="24"/>
              </w:rPr>
            </w:pPr>
            <w:r>
              <w:rPr>
                <w:rFonts w:hint="eastAsia" w:ascii="宋体" w:hAnsi="宋体" w:cs="Courier New"/>
                <w:sz w:val="24"/>
                <w:szCs w:val="24"/>
              </w:rPr>
              <w:t>项目单位联系人姓名及联系方式</w:t>
            </w:r>
          </w:p>
        </w:tc>
        <w:tc>
          <w:tcPr>
            <w:tcW w:w="7200" w:type="dxa"/>
            <w:vAlign w:val="top"/>
          </w:tcPr>
          <w:p>
            <w:pPr>
              <w:rPr>
                <w:rFonts w:ascii="宋体" w:hAnsi="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2220" w:type="dxa"/>
            <w:vAlign w:val="center"/>
          </w:tcPr>
          <w:p>
            <w:pPr>
              <w:jc w:val="center"/>
              <w:rPr>
                <w:rFonts w:ascii="宋体" w:hAnsi="宋体" w:cs="Courier New"/>
                <w:sz w:val="24"/>
                <w:szCs w:val="24"/>
              </w:rPr>
            </w:pPr>
            <w:r>
              <w:rPr>
                <w:rFonts w:hint="eastAsia" w:ascii="宋体" w:hAnsi="宋体" w:cs="Courier New"/>
                <w:sz w:val="24"/>
                <w:szCs w:val="24"/>
              </w:rPr>
              <w:t>项目金额</w:t>
            </w:r>
          </w:p>
        </w:tc>
        <w:tc>
          <w:tcPr>
            <w:tcW w:w="7200" w:type="dxa"/>
            <w:vAlign w:val="top"/>
          </w:tcPr>
          <w:p>
            <w:pPr>
              <w:rPr>
                <w:rFonts w:ascii="宋体" w:hAnsi="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2220" w:type="dxa"/>
            <w:vAlign w:val="center"/>
          </w:tcPr>
          <w:p>
            <w:pPr>
              <w:jc w:val="center"/>
              <w:rPr>
                <w:rFonts w:ascii="宋体" w:hAnsi="宋体" w:cs="Courier New"/>
                <w:sz w:val="24"/>
                <w:szCs w:val="24"/>
              </w:rPr>
            </w:pPr>
            <w:r>
              <w:rPr>
                <w:rFonts w:hint="eastAsia" w:ascii="宋体" w:hAnsi="宋体" w:cs="Courier New"/>
                <w:sz w:val="24"/>
                <w:szCs w:val="24"/>
              </w:rPr>
              <w:t>项目负责人姓名</w:t>
            </w:r>
          </w:p>
        </w:tc>
        <w:tc>
          <w:tcPr>
            <w:tcW w:w="7200" w:type="dxa"/>
            <w:vAlign w:val="top"/>
          </w:tcPr>
          <w:p>
            <w:pPr>
              <w:rPr>
                <w:rFonts w:ascii="宋体" w:hAnsi="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2220" w:type="dxa"/>
            <w:vAlign w:val="center"/>
          </w:tcPr>
          <w:p>
            <w:pPr>
              <w:jc w:val="center"/>
              <w:rPr>
                <w:rFonts w:ascii="宋体" w:hAnsi="宋体" w:cs="Courier New"/>
                <w:sz w:val="24"/>
                <w:szCs w:val="24"/>
              </w:rPr>
            </w:pPr>
            <w:r>
              <w:rPr>
                <w:rFonts w:hint="eastAsia" w:ascii="宋体" w:hAnsi="宋体" w:cs="Courier New"/>
                <w:sz w:val="24"/>
                <w:szCs w:val="24"/>
              </w:rPr>
              <w:t>项目时间</w:t>
            </w:r>
          </w:p>
        </w:tc>
        <w:tc>
          <w:tcPr>
            <w:tcW w:w="7200" w:type="dxa"/>
            <w:vAlign w:val="top"/>
          </w:tcPr>
          <w:p>
            <w:pPr>
              <w:rPr>
                <w:rFonts w:ascii="宋体" w:hAnsi="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8" w:hRule="atLeast"/>
          <w:jc w:val="center"/>
        </w:trPr>
        <w:tc>
          <w:tcPr>
            <w:tcW w:w="2220" w:type="dxa"/>
            <w:vAlign w:val="center"/>
          </w:tcPr>
          <w:p>
            <w:pPr>
              <w:jc w:val="center"/>
              <w:rPr>
                <w:rFonts w:ascii="宋体" w:hAnsi="宋体" w:cs="Courier New"/>
                <w:sz w:val="24"/>
                <w:szCs w:val="24"/>
              </w:rPr>
            </w:pPr>
            <w:r>
              <w:rPr>
                <w:rFonts w:hint="eastAsia" w:ascii="宋体" w:hAnsi="宋体" w:cs="Courier New"/>
                <w:sz w:val="24"/>
                <w:szCs w:val="24"/>
              </w:rPr>
              <w:t>项目内容</w:t>
            </w:r>
          </w:p>
        </w:tc>
        <w:tc>
          <w:tcPr>
            <w:tcW w:w="7200" w:type="dxa"/>
            <w:vAlign w:val="top"/>
          </w:tcPr>
          <w:p>
            <w:pPr>
              <w:rPr>
                <w:rFonts w:ascii="宋体" w:hAnsi="宋体" w:cs="Courier New"/>
                <w:sz w:val="24"/>
                <w:szCs w:val="24"/>
              </w:rPr>
            </w:pPr>
          </w:p>
        </w:tc>
      </w:tr>
    </w:tbl>
    <w:p>
      <w:pPr>
        <w:spacing w:line="360" w:lineRule="auto"/>
        <w:ind w:left="1092" w:hanging="1092" w:hangingChars="455"/>
        <w:jc w:val="left"/>
        <w:rPr>
          <w:rFonts w:ascii="宋体" w:hAnsi="宋体" w:cs="Times New Roman"/>
          <w:sz w:val="24"/>
          <w:szCs w:val="24"/>
        </w:rPr>
      </w:pPr>
      <w:r>
        <w:rPr>
          <w:rFonts w:hint="eastAsia" w:ascii="宋体" w:hAnsi="宋体" w:cs="Times New Roman"/>
          <w:sz w:val="24"/>
          <w:szCs w:val="24"/>
        </w:rPr>
        <w:t>说明：1．每个合同应单独附表，并附上相关证明材料，</w:t>
      </w:r>
      <w:r>
        <w:rPr>
          <w:rFonts w:hint="eastAsia" w:ascii="宋体" w:hAnsi="宋体" w:cs="Corbel"/>
          <w:sz w:val="24"/>
          <w:szCs w:val="24"/>
        </w:rPr>
        <w:t>未按照要求详细完整填写此表，</w:t>
      </w:r>
      <w:r>
        <w:rPr>
          <w:rFonts w:hint="eastAsia" w:ascii="宋体" w:hAnsi="宋体" w:cs="Times New Roman"/>
          <w:sz w:val="24"/>
          <w:szCs w:val="24"/>
        </w:rPr>
        <w:t>导致的后果由投标人自行承担。</w:t>
      </w:r>
    </w:p>
    <w:p>
      <w:pPr>
        <w:spacing w:line="360" w:lineRule="auto"/>
        <w:ind w:left="1061" w:leftChars="339" w:hanging="350" w:hangingChars="146"/>
        <w:jc w:val="left"/>
        <w:rPr>
          <w:rFonts w:ascii="宋体" w:hAnsi="宋体" w:cs="Times New Roman"/>
          <w:sz w:val="24"/>
          <w:szCs w:val="24"/>
        </w:rPr>
      </w:pPr>
      <w:r>
        <w:rPr>
          <w:rFonts w:hint="eastAsia" w:ascii="宋体" w:hAnsi="宋体" w:cs="Times New Roman"/>
          <w:sz w:val="24"/>
          <w:szCs w:val="24"/>
        </w:rPr>
        <w:t>2．项目内容请详细说明所承担的具体工作内容等。</w:t>
      </w:r>
    </w:p>
    <w:p>
      <w:pPr>
        <w:spacing w:line="360" w:lineRule="auto"/>
        <w:ind w:firstLine="720" w:firstLineChars="300"/>
        <w:rPr>
          <w:rFonts w:ascii="宋体" w:hAnsi="宋体" w:cs="Times New Roman"/>
          <w:sz w:val="24"/>
          <w:szCs w:val="24"/>
        </w:rPr>
      </w:pPr>
    </w:p>
    <w:p>
      <w:pPr>
        <w:spacing w:line="360" w:lineRule="auto"/>
        <w:ind w:firstLine="720" w:firstLineChars="300"/>
        <w:rPr>
          <w:rFonts w:ascii="宋体" w:hAnsi="宋体" w:cs="Times New Roman"/>
          <w:sz w:val="24"/>
          <w:szCs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bCs/>
          <w:sz w:val="24"/>
          <w:szCs w:val="21"/>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cs="Times New Roman"/>
          <w:b/>
          <w:bCs/>
          <w:sz w:val="24"/>
          <w:szCs w:val="21"/>
        </w:rPr>
        <w:t>投标</w:t>
      </w:r>
      <w:r>
        <w:rPr>
          <w:rFonts w:hint="eastAsia" w:hAnsi="宋体"/>
          <w:b/>
          <w:bCs/>
          <w:sz w:val="24"/>
        </w:rPr>
        <w:t>时间：</w:t>
      </w:r>
    </w:p>
    <w:p>
      <w:r>
        <w:br w:type="page"/>
      </w:r>
    </w:p>
    <w:p>
      <w:pPr>
        <w:pStyle w:val="3"/>
        <w:numPr>
          <w:ilvl w:val="0"/>
          <w:numId w:val="56"/>
        </w:numPr>
        <w:spacing w:before="100" w:beforeAutospacing="1" w:afterLines="50" w:line="360" w:lineRule="auto"/>
        <w:ind w:left="1610" w:hanging="1610"/>
        <w:rPr>
          <w:rFonts w:ascii="宋体" w:hAnsi="宋体"/>
        </w:rPr>
      </w:pPr>
      <w:bookmarkStart w:id="213" w:name="_Toc494665015"/>
      <w:bookmarkStart w:id="214" w:name="_Toc494745332"/>
      <w:bookmarkStart w:id="215" w:name="_Toc494665568"/>
      <w:bookmarkStart w:id="216" w:name="_Toc494665965"/>
      <w:bookmarkStart w:id="217" w:name="_Toc494702285"/>
      <w:bookmarkStart w:id="218" w:name="_Toc494721115"/>
      <w:bookmarkStart w:id="219" w:name="_Toc497459215"/>
      <w:r>
        <w:rPr>
          <w:rFonts w:hint="eastAsia" w:ascii="宋体" w:hAnsi="宋体"/>
        </w:rPr>
        <w:t>符合性审查对照表</w:t>
      </w:r>
      <w:bookmarkEnd w:id="213"/>
      <w:bookmarkEnd w:id="214"/>
      <w:bookmarkEnd w:id="215"/>
      <w:bookmarkEnd w:id="216"/>
      <w:bookmarkEnd w:id="217"/>
      <w:bookmarkEnd w:id="218"/>
      <w:bookmarkEnd w:id="219"/>
    </w:p>
    <w:p>
      <w:pPr>
        <w:spacing w:line="360" w:lineRule="auto"/>
        <w:jc w:val="left"/>
        <w:rPr>
          <w:rFonts w:hAnsi="宋体"/>
          <w:b/>
          <w:sz w:val="24"/>
        </w:rPr>
      </w:pPr>
      <w:r>
        <w:rPr>
          <w:rFonts w:hint="eastAsia" w:hAnsi="宋体"/>
          <w:b/>
          <w:sz w:val="24"/>
        </w:rPr>
        <w:t>投标人：</w:t>
      </w:r>
    </w:p>
    <w:p>
      <w:pPr>
        <w:spacing w:line="360" w:lineRule="auto"/>
        <w:jc w:val="left"/>
        <w:rPr>
          <w:rFonts w:hAnsi="宋体"/>
          <w:b/>
          <w:sz w:val="24"/>
        </w:rPr>
      </w:pPr>
      <w:r>
        <w:rPr>
          <w:rFonts w:hint="eastAsia" w:ascii="宋体" w:hAnsi="宋体" w:cs="Times New Roman"/>
          <w:b/>
          <w:sz w:val="24"/>
          <w:szCs w:val="21"/>
        </w:rPr>
        <w:t>项目编号：</w:t>
      </w:r>
      <w:r>
        <w:rPr>
          <w:rFonts w:hint="eastAsia" w:ascii="宋体" w:hAnsi="宋体" w:cs="Times New Roman"/>
          <w:b/>
          <w:bCs/>
          <w:sz w:val="24"/>
          <w:szCs w:val="21"/>
        </w:rPr>
        <w:t xml:space="preserve">                所投包号：</w:t>
      </w:r>
    </w:p>
    <w:tbl>
      <w:tblPr>
        <w:tblStyle w:val="14"/>
        <w:tblW w:w="95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3032"/>
        <w:gridCol w:w="2754"/>
        <w:gridCol w:w="1363"/>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53"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序号</w:t>
            </w:r>
          </w:p>
        </w:tc>
        <w:tc>
          <w:tcPr>
            <w:tcW w:w="3032"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招标文件</w:t>
            </w:r>
            <w:r>
              <w:rPr>
                <w:rFonts w:hint="eastAsia" w:ascii="宋体" w:hAnsi="宋体" w:cs="Corbel"/>
                <w:sz w:val="24"/>
                <w:szCs w:val="24"/>
              </w:rPr>
              <w:t>符合性审查条款</w:t>
            </w:r>
          </w:p>
        </w:tc>
        <w:tc>
          <w:tcPr>
            <w:tcW w:w="2754"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投标响应内容对应简述</w:t>
            </w:r>
          </w:p>
        </w:tc>
        <w:tc>
          <w:tcPr>
            <w:tcW w:w="1363"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偏离说明</w:t>
            </w:r>
          </w:p>
        </w:tc>
        <w:tc>
          <w:tcPr>
            <w:tcW w:w="1602" w:type="dxa"/>
            <w:shd w:val="clear" w:color="auto" w:fill="F2F2F2"/>
            <w:vAlign w:val="top"/>
          </w:tcPr>
          <w:p>
            <w:pPr>
              <w:jc w:val="center"/>
              <w:rPr>
                <w:rFonts w:ascii="宋体" w:hAnsi="宋体" w:cs="仿宋_GB2312"/>
                <w:sz w:val="24"/>
                <w:szCs w:val="24"/>
              </w:rPr>
            </w:pPr>
            <w:r>
              <w:rPr>
                <w:rFonts w:hint="eastAsia" w:ascii="宋体" w:hAnsi="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cs="仿宋_GB2312"/>
                <w:sz w:val="24"/>
                <w:szCs w:val="24"/>
              </w:rPr>
            </w:pPr>
            <w:r>
              <w:rPr>
                <w:rFonts w:hint="eastAsia" w:ascii="宋体" w:hAnsi="宋体" w:cs="仿宋_GB2312"/>
                <w:sz w:val="24"/>
                <w:szCs w:val="24"/>
              </w:rPr>
              <w:t>1</w:t>
            </w:r>
          </w:p>
        </w:tc>
        <w:tc>
          <w:tcPr>
            <w:tcW w:w="3032" w:type="dxa"/>
            <w:vAlign w:val="center"/>
          </w:tcPr>
          <w:p>
            <w:pPr>
              <w:jc w:val="center"/>
              <w:rPr>
                <w:rFonts w:ascii="宋体" w:hAnsi="宋体" w:cs="仿宋_GB2312"/>
                <w:sz w:val="24"/>
                <w:szCs w:val="24"/>
              </w:rPr>
            </w:pPr>
          </w:p>
        </w:tc>
        <w:tc>
          <w:tcPr>
            <w:tcW w:w="2754" w:type="dxa"/>
            <w:vAlign w:val="center"/>
          </w:tcPr>
          <w:p>
            <w:pPr>
              <w:jc w:val="center"/>
              <w:rPr>
                <w:rFonts w:ascii="宋体" w:hAnsi="宋体" w:cs="仿宋_GB2312"/>
                <w:sz w:val="24"/>
                <w:szCs w:val="24"/>
              </w:rPr>
            </w:pPr>
          </w:p>
        </w:tc>
        <w:tc>
          <w:tcPr>
            <w:tcW w:w="1363" w:type="dxa"/>
            <w:vAlign w:val="center"/>
          </w:tcPr>
          <w:p>
            <w:pPr>
              <w:jc w:val="center"/>
              <w:rPr>
                <w:rFonts w:ascii="宋体" w:hAnsi="宋体" w:cs="仿宋_GB2312"/>
                <w:sz w:val="24"/>
                <w:szCs w:val="24"/>
              </w:rPr>
            </w:pPr>
          </w:p>
        </w:tc>
        <w:tc>
          <w:tcPr>
            <w:tcW w:w="1602"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cs="仿宋_GB2312"/>
                <w:sz w:val="24"/>
                <w:szCs w:val="24"/>
              </w:rPr>
            </w:pPr>
            <w:r>
              <w:rPr>
                <w:rFonts w:hint="eastAsia" w:ascii="宋体" w:hAnsi="宋体" w:cs="仿宋_GB2312"/>
                <w:sz w:val="24"/>
                <w:szCs w:val="24"/>
              </w:rPr>
              <w:t>2</w:t>
            </w:r>
          </w:p>
        </w:tc>
        <w:tc>
          <w:tcPr>
            <w:tcW w:w="3032" w:type="dxa"/>
            <w:vAlign w:val="center"/>
          </w:tcPr>
          <w:p>
            <w:pPr>
              <w:jc w:val="center"/>
              <w:rPr>
                <w:rFonts w:ascii="宋体" w:hAnsi="宋体" w:cs="仿宋_GB2312"/>
                <w:sz w:val="24"/>
                <w:szCs w:val="24"/>
              </w:rPr>
            </w:pPr>
          </w:p>
        </w:tc>
        <w:tc>
          <w:tcPr>
            <w:tcW w:w="2754" w:type="dxa"/>
            <w:vAlign w:val="center"/>
          </w:tcPr>
          <w:p>
            <w:pPr>
              <w:jc w:val="center"/>
              <w:rPr>
                <w:rFonts w:ascii="宋体" w:hAnsi="宋体" w:cs="仿宋_GB2312"/>
                <w:sz w:val="24"/>
                <w:szCs w:val="24"/>
              </w:rPr>
            </w:pPr>
          </w:p>
        </w:tc>
        <w:tc>
          <w:tcPr>
            <w:tcW w:w="1363" w:type="dxa"/>
            <w:vAlign w:val="center"/>
          </w:tcPr>
          <w:p>
            <w:pPr>
              <w:jc w:val="center"/>
              <w:rPr>
                <w:rFonts w:ascii="宋体" w:hAnsi="宋体" w:cs="仿宋_GB2312"/>
                <w:sz w:val="24"/>
                <w:szCs w:val="24"/>
              </w:rPr>
            </w:pPr>
          </w:p>
        </w:tc>
        <w:tc>
          <w:tcPr>
            <w:tcW w:w="1602"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cs="仿宋_GB2312"/>
                <w:sz w:val="24"/>
                <w:szCs w:val="24"/>
              </w:rPr>
            </w:pPr>
            <w:r>
              <w:rPr>
                <w:rFonts w:hint="eastAsia" w:ascii="宋体" w:hAnsi="宋体" w:cs="仿宋_GB2312"/>
                <w:sz w:val="24"/>
                <w:szCs w:val="24"/>
              </w:rPr>
              <w:t>3</w:t>
            </w:r>
          </w:p>
        </w:tc>
        <w:tc>
          <w:tcPr>
            <w:tcW w:w="3032" w:type="dxa"/>
            <w:vAlign w:val="center"/>
          </w:tcPr>
          <w:p>
            <w:pPr>
              <w:jc w:val="center"/>
              <w:rPr>
                <w:rFonts w:ascii="宋体" w:hAnsi="宋体" w:cs="仿宋_GB2312"/>
                <w:sz w:val="24"/>
                <w:szCs w:val="24"/>
              </w:rPr>
            </w:pPr>
          </w:p>
        </w:tc>
        <w:tc>
          <w:tcPr>
            <w:tcW w:w="2754" w:type="dxa"/>
            <w:vAlign w:val="center"/>
          </w:tcPr>
          <w:p>
            <w:pPr>
              <w:jc w:val="center"/>
              <w:rPr>
                <w:rFonts w:ascii="宋体" w:hAnsi="宋体" w:cs="仿宋_GB2312"/>
                <w:sz w:val="24"/>
                <w:szCs w:val="24"/>
              </w:rPr>
            </w:pPr>
          </w:p>
        </w:tc>
        <w:tc>
          <w:tcPr>
            <w:tcW w:w="1363" w:type="dxa"/>
            <w:vAlign w:val="center"/>
          </w:tcPr>
          <w:p>
            <w:pPr>
              <w:jc w:val="center"/>
              <w:rPr>
                <w:rFonts w:ascii="宋体" w:hAnsi="宋体" w:cs="仿宋_GB2312"/>
                <w:sz w:val="24"/>
                <w:szCs w:val="24"/>
              </w:rPr>
            </w:pPr>
          </w:p>
        </w:tc>
        <w:tc>
          <w:tcPr>
            <w:tcW w:w="1602"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cs="仿宋_GB2312"/>
                <w:sz w:val="24"/>
                <w:szCs w:val="24"/>
              </w:rPr>
            </w:pPr>
            <w:r>
              <w:rPr>
                <w:rFonts w:hint="eastAsia" w:ascii="宋体" w:hAnsi="宋体" w:cs="仿宋_GB2312"/>
                <w:sz w:val="24"/>
                <w:szCs w:val="24"/>
              </w:rPr>
              <w:t>4</w:t>
            </w:r>
          </w:p>
        </w:tc>
        <w:tc>
          <w:tcPr>
            <w:tcW w:w="3032" w:type="dxa"/>
            <w:vAlign w:val="center"/>
          </w:tcPr>
          <w:p>
            <w:pPr>
              <w:jc w:val="center"/>
              <w:rPr>
                <w:rFonts w:ascii="宋体" w:hAnsi="宋体" w:cs="仿宋_GB2312"/>
                <w:sz w:val="24"/>
                <w:szCs w:val="24"/>
              </w:rPr>
            </w:pPr>
          </w:p>
        </w:tc>
        <w:tc>
          <w:tcPr>
            <w:tcW w:w="2754" w:type="dxa"/>
            <w:vAlign w:val="center"/>
          </w:tcPr>
          <w:p>
            <w:pPr>
              <w:jc w:val="center"/>
              <w:rPr>
                <w:rFonts w:ascii="宋体" w:hAnsi="宋体" w:cs="仿宋_GB2312"/>
                <w:sz w:val="24"/>
                <w:szCs w:val="24"/>
              </w:rPr>
            </w:pPr>
          </w:p>
        </w:tc>
        <w:tc>
          <w:tcPr>
            <w:tcW w:w="1363" w:type="dxa"/>
            <w:vAlign w:val="center"/>
          </w:tcPr>
          <w:p>
            <w:pPr>
              <w:jc w:val="center"/>
              <w:rPr>
                <w:rFonts w:ascii="宋体" w:hAnsi="宋体" w:cs="仿宋_GB2312"/>
                <w:sz w:val="24"/>
                <w:szCs w:val="24"/>
              </w:rPr>
            </w:pPr>
          </w:p>
        </w:tc>
        <w:tc>
          <w:tcPr>
            <w:tcW w:w="1602"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cs="仿宋_GB2312"/>
                <w:sz w:val="24"/>
                <w:szCs w:val="24"/>
              </w:rPr>
            </w:pPr>
            <w:r>
              <w:rPr>
                <w:rFonts w:hint="eastAsia" w:ascii="宋体" w:hAnsi="宋体" w:cs="仿宋_GB2312"/>
                <w:sz w:val="24"/>
                <w:szCs w:val="24"/>
              </w:rPr>
              <w:t>5</w:t>
            </w:r>
          </w:p>
        </w:tc>
        <w:tc>
          <w:tcPr>
            <w:tcW w:w="3032" w:type="dxa"/>
            <w:vAlign w:val="center"/>
          </w:tcPr>
          <w:p>
            <w:pPr>
              <w:jc w:val="center"/>
              <w:rPr>
                <w:rFonts w:ascii="宋体" w:hAnsi="宋体" w:cs="仿宋_GB2312"/>
                <w:sz w:val="24"/>
                <w:szCs w:val="24"/>
              </w:rPr>
            </w:pPr>
          </w:p>
        </w:tc>
        <w:tc>
          <w:tcPr>
            <w:tcW w:w="2754" w:type="dxa"/>
            <w:vAlign w:val="center"/>
          </w:tcPr>
          <w:p>
            <w:pPr>
              <w:jc w:val="center"/>
              <w:rPr>
                <w:rFonts w:ascii="宋体" w:hAnsi="宋体" w:cs="仿宋_GB2312"/>
                <w:sz w:val="24"/>
                <w:szCs w:val="24"/>
              </w:rPr>
            </w:pPr>
          </w:p>
        </w:tc>
        <w:tc>
          <w:tcPr>
            <w:tcW w:w="1363" w:type="dxa"/>
            <w:vAlign w:val="center"/>
          </w:tcPr>
          <w:p>
            <w:pPr>
              <w:jc w:val="center"/>
              <w:rPr>
                <w:rFonts w:ascii="宋体" w:hAnsi="宋体" w:cs="仿宋_GB2312"/>
                <w:sz w:val="24"/>
                <w:szCs w:val="24"/>
              </w:rPr>
            </w:pPr>
          </w:p>
        </w:tc>
        <w:tc>
          <w:tcPr>
            <w:tcW w:w="1602"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cs="仿宋_GB2312"/>
                <w:sz w:val="24"/>
                <w:szCs w:val="24"/>
              </w:rPr>
            </w:pPr>
            <w:r>
              <w:rPr>
                <w:rFonts w:hint="eastAsia" w:ascii="宋体" w:hAnsi="宋体" w:cs="仿宋_GB2312"/>
                <w:sz w:val="24"/>
                <w:szCs w:val="24"/>
              </w:rPr>
              <w:t>6</w:t>
            </w:r>
          </w:p>
        </w:tc>
        <w:tc>
          <w:tcPr>
            <w:tcW w:w="3032" w:type="dxa"/>
            <w:vAlign w:val="center"/>
          </w:tcPr>
          <w:p>
            <w:pPr>
              <w:jc w:val="center"/>
              <w:rPr>
                <w:rFonts w:ascii="宋体" w:hAnsi="宋体" w:cs="仿宋_GB2312"/>
                <w:sz w:val="24"/>
                <w:szCs w:val="24"/>
              </w:rPr>
            </w:pPr>
          </w:p>
        </w:tc>
        <w:tc>
          <w:tcPr>
            <w:tcW w:w="2754" w:type="dxa"/>
            <w:vAlign w:val="center"/>
          </w:tcPr>
          <w:p>
            <w:pPr>
              <w:jc w:val="center"/>
              <w:rPr>
                <w:rFonts w:ascii="宋体" w:hAnsi="宋体" w:cs="仿宋_GB2312"/>
                <w:sz w:val="24"/>
                <w:szCs w:val="24"/>
              </w:rPr>
            </w:pPr>
          </w:p>
        </w:tc>
        <w:tc>
          <w:tcPr>
            <w:tcW w:w="1363" w:type="dxa"/>
            <w:vAlign w:val="center"/>
          </w:tcPr>
          <w:p>
            <w:pPr>
              <w:jc w:val="center"/>
              <w:rPr>
                <w:rFonts w:ascii="宋体" w:hAnsi="宋体" w:cs="仿宋_GB2312"/>
                <w:sz w:val="24"/>
                <w:szCs w:val="24"/>
              </w:rPr>
            </w:pPr>
          </w:p>
        </w:tc>
        <w:tc>
          <w:tcPr>
            <w:tcW w:w="1602"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cs="仿宋_GB2312"/>
                <w:sz w:val="24"/>
                <w:szCs w:val="24"/>
              </w:rPr>
            </w:pPr>
            <w:r>
              <w:rPr>
                <w:rFonts w:hint="eastAsia" w:ascii="宋体" w:hAnsi="宋体" w:cs="仿宋_GB2312"/>
                <w:sz w:val="24"/>
                <w:szCs w:val="24"/>
              </w:rPr>
              <w:t>…</w:t>
            </w:r>
          </w:p>
        </w:tc>
        <w:tc>
          <w:tcPr>
            <w:tcW w:w="3032" w:type="dxa"/>
            <w:vAlign w:val="center"/>
          </w:tcPr>
          <w:p>
            <w:pPr>
              <w:jc w:val="center"/>
              <w:rPr>
                <w:rFonts w:ascii="宋体" w:hAnsi="宋体" w:cs="仿宋_GB2312"/>
                <w:sz w:val="24"/>
                <w:szCs w:val="24"/>
              </w:rPr>
            </w:pPr>
          </w:p>
        </w:tc>
        <w:tc>
          <w:tcPr>
            <w:tcW w:w="2754" w:type="dxa"/>
            <w:vAlign w:val="center"/>
          </w:tcPr>
          <w:p>
            <w:pPr>
              <w:jc w:val="center"/>
              <w:rPr>
                <w:rFonts w:ascii="宋体" w:hAnsi="宋体" w:cs="仿宋_GB2312"/>
                <w:sz w:val="24"/>
                <w:szCs w:val="24"/>
              </w:rPr>
            </w:pPr>
          </w:p>
        </w:tc>
        <w:tc>
          <w:tcPr>
            <w:tcW w:w="1363" w:type="dxa"/>
            <w:vAlign w:val="center"/>
          </w:tcPr>
          <w:p>
            <w:pPr>
              <w:jc w:val="center"/>
              <w:rPr>
                <w:rFonts w:ascii="宋体" w:hAnsi="宋体" w:cs="仿宋_GB2312"/>
                <w:sz w:val="24"/>
                <w:szCs w:val="24"/>
              </w:rPr>
            </w:pPr>
          </w:p>
        </w:tc>
        <w:tc>
          <w:tcPr>
            <w:tcW w:w="1602" w:type="dxa"/>
            <w:vAlign w:val="center"/>
          </w:tcPr>
          <w:p>
            <w:pPr>
              <w:jc w:val="center"/>
              <w:rPr>
                <w:rFonts w:ascii="宋体" w:hAnsi="宋体" w:cs="仿宋_GB2312"/>
                <w:sz w:val="24"/>
                <w:szCs w:val="24"/>
              </w:rPr>
            </w:pPr>
          </w:p>
        </w:tc>
      </w:tr>
    </w:tbl>
    <w:p>
      <w:pPr>
        <w:spacing w:line="360" w:lineRule="auto"/>
        <w:ind w:left="1092" w:hanging="1092" w:hangingChars="455"/>
        <w:jc w:val="left"/>
        <w:rPr>
          <w:rFonts w:ascii="宋体" w:hAnsi="宋体" w:cs="Times New Roman"/>
          <w:b/>
          <w:sz w:val="24"/>
          <w:szCs w:val="24"/>
        </w:rPr>
      </w:pPr>
      <w:r>
        <w:rPr>
          <w:rFonts w:hint="eastAsia" w:ascii="宋体" w:hAnsi="宋体" w:cs="Times New Roman"/>
          <w:sz w:val="24"/>
          <w:szCs w:val="24"/>
        </w:rPr>
        <w:t>说明</w:t>
      </w:r>
      <w:r>
        <w:rPr>
          <w:rFonts w:hint="eastAsia" w:ascii="宋体" w:hAnsi="宋体" w:cs="Corbel"/>
          <w:sz w:val="24"/>
          <w:szCs w:val="24"/>
        </w:rPr>
        <w:t>：1</w:t>
      </w:r>
      <w:r>
        <w:rPr>
          <w:rFonts w:hint="eastAsia" w:ascii="宋体" w:hAnsi="宋体" w:cs="Times New Roman"/>
          <w:sz w:val="24"/>
          <w:szCs w:val="24"/>
        </w:rPr>
        <w:t>．</w:t>
      </w:r>
      <w:r>
        <w:rPr>
          <w:rFonts w:hint="eastAsia" w:ascii="宋体" w:hAnsi="宋体" w:cs="Corbel"/>
          <w:sz w:val="24"/>
          <w:szCs w:val="24"/>
        </w:rPr>
        <w:t>投标人应按招标文件第五章“评标方法、程序及标准”中“符合性审查”的条款逐项说明是否满足要求，如有偏离,投标人应详细说明。未按照要求详细完整填写此表或仅注明“符合”、“满足”的，</w:t>
      </w:r>
      <w:r>
        <w:rPr>
          <w:rFonts w:hint="eastAsia" w:ascii="宋体" w:hAnsi="宋体" w:cs="Times New Roman"/>
          <w:sz w:val="24"/>
          <w:szCs w:val="24"/>
        </w:rPr>
        <w:t>导致的后果由投标人自行承担。</w:t>
      </w:r>
    </w:p>
    <w:p>
      <w:pPr>
        <w:spacing w:line="360" w:lineRule="auto"/>
        <w:ind w:left="1061" w:leftChars="339" w:hanging="350" w:hangingChars="146"/>
        <w:jc w:val="left"/>
        <w:rPr>
          <w:rFonts w:ascii="宋体" w:hAnsi="宋体" w:cs="Times New Roman"/>
          <w:b/>
          <w:sz w:val="24"/>
          <w:szCs w:val="24"/>
        </w:rPr>
      </w:pPr>
      <w:r>
        <w:rPr>
          <w:rFonts w:hint="eastAsia" w:ascii="宋体" w:hAnsi="宋体" w:cs="Corbel"/>
          <w:sz w:val="24"/>
          <w:szCs w:val="24"/>
        </w:rPr>
        <w:t>2．</w:t>
      </w:r>
      <w:r>
        <w:rPr>
          <w:rFonts w:hint="eastAsia" w:ascii="宋体" w:hAnsi="宋体" w:cs="Times New Roman"/>
          <w:sz w:val="24"/>
          <w:szCs w:val="24"/>
        </w:rPr>
        <w:t>投标人</w:t>
      </w:r>
      <w:r>
        <w:rPr>
          <w:rFonts w:hint="eastAsia" w:ascii="宋体" w:hAnsi="宋体" w:cs="Corbel"/>
          <w:sz w:val="24"/>
          <w:szCs w:val="24"/>
        </w:rPr>
        <w:t>提供的相关证明文件对应的页码填写到上表“投标文件对应的页码”中。如未提供页码或内容页码完全不一致的，</w:t>
      </w:r>
      <w:r>
        <w:rPr>
          <w:rFonts w:hint="eastAsia" w:ascii="宋体" w:hAnsi="宋体" w:cs="Times New Roman"/>
          <w:sz w:val="24"/>
          <w:szCs w:val="24"/>
        </w:rPr>
        <w:t>导致的后果由投标人自行承担。</w:t>
      </w:r>
    </w:p>
    <w:p>
      <w:pPr>
        <w:spacing w:before="100" w:beforeAutospacing="1" w:after="100" w:afterAutospacing="1" w:line="360" w:lineRule="auto"/>
        <w:ind w:firstLine="3811" w:firstLineChars="1588"/>
        <w:rPr>
          <w:rFonts w:ascii="宋体" w:hAnsi="宋体" w:cs="Times New Roman"/>
          <w:b/>
          <w:bCs/>
          <w:sz w:val="24"/>
          <w:szCs w:val="21"/>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bCs/>
          <w:sz w:val="24"/>
          <w:szCs w:val="21"/>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cs="Times New Roman"/>
          <w:b/>
          <w:bCs/>
          <w:sz w:val="24"/>
          <w:szCs w:val="21"/>
        </w:rPr>
        <w:t>投标</w:t>
      </w:r>
      <w:r>
        <w:rPr>
          <w:rFonts w:hint="eastAsia" w:hAnsi="宋体"/>
          <w:b/>
          <w:bCs/>
          <w:sz w:val="24"/>
        </w:rPr>
        <w:t>时间：</w:t>
      </w:r>
    </w:p>
    <w:p>
      <w:r>
        <w:br w:type="page"/>
      </w:r>
    </w:p>
    <w:p>
      <w:pPr>
        <w:pStyle w:val="3"/>
        <w:numPr>
          <w:ilvl w:val="0"/>
          <w:numId w:val="56"/>
        </w:numPr>
        <w:spacing w:before="100" w:beforeAutospacing="1" w:afterLines="50" w:line="360" w:lineRule="auto"/>
        <w:ind w:left="1610" w:hanging="1610"/>
        <w:rPr>
          <w:rFonts w:ascii="宋体" w:hAnsi="宋体"/>
        </w:rPr>
      </w:pPr>
      <w:bookmarkStart w:id="220" w:name="_Toc494665569"/>
      <w:bookmarkStart w:id="221" w:name="_Toc494702286"/>
      <w:bookmarkStart w:id="222" w:name="_Toc494665966"/>
      <w:bookmarkStart w:id="223" w:name="_Toc494721116"/>
      <w:bookmarkStart w:id="224" w:name="_Toc494665016"/>
      <w:bookmarkStart w:id="225" w:name="_Toc497459216"/>
      <w:bookmarkStart w:id="226" w:name="_Toc494745333"/>
      <w:r>
        <w:rPr>
          <w:rFonts w:hint="eastAsia" w:ascii="宋体" w:hAnsi="宋体"/>
        </w:rPr>
        <w:t>商务要求响应、偏离说明表</w:t>
      </w:r>
      <w:bookmarkEnd w:id="220"/>
      <w:bookmarkEnd w:id="221"/>
      <w:bookmarkEnd w:id="222"/>
      <w:bookmarkEnd w:id="223"/>
      <w:bookmarkEnd w:id="224"/>
      <w:bookmarkEnd w:id="225"/>
      <w:bookmarkEnd w:id="226"/>
    </w:p>
    <w:p>
      <w:pPr>
        <w:spacing w:line="360" w:lineRule="auto"/>
        <w:jc w:val="left"/>
        <w:rPr>
          <w:rFonts w:hAnsi="宋体"/>
          <w:b/>
          <w:sz w:val="24"/>
        </w:rPr>
      </w:pPr>
      <w:r>
        <w:rPr>
          <w:rFonts w:hint="eastAsia" w:hAnsi="宋体"/>
          <w:b/>
          <w:sz w:val="24"/>
        </w:rPr>
        <w:t>投标人：</w:t>
      </w:r>
    </w:p>
    <w:p>
      <w:pPr>
        <w:spacing w:line="360" w:lineRule="auto"/>
        <w:jc w:val="left"/>
        <w:rPr>
          <w:rFonts w:hAnsi="宋体"/>
          <w:b/>
          <w:sz w:val="24"/>
        </w:rPr>
      </w:pPr>
      <w:r>
        <w:rPr>
          <w:rFonts w:hint="eastAsia" w:ascii="宋体" w:hAnsi="宋体" w:cs="Times New Roman"/>
          <w:b/>
          <w:sz w:val="24"/>
          <w:szCs w:val="21"/>
        </w:rPr>
        <w:t>项目编号：</w:t>
      </w:r>
      <w:r>
        <w:rPr>
          <w:rFonts w:hint="eastAsia" w:ascii="宋体" w:hAnsi="宋体" w:cs="Times New Roman"/>
          <w:b/>
          <w:bCs/>
          <w:sz w:val="24"/>
          <w:szCs w:val="21"/>
        </w:rPr>
        <w:t xml:space="preserve">                所投包号：</w:t>
      </w:r>
    </w:p>
    <w:tbl>
      <w:tblPr>
        <w:tblStyle w:val="14"/>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767"/>
        <w:gridCol w:w="2767"/>
        <w:gridCol w:w="161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42"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序号</w:t>
            </w:r>
          </w:p>
        </w:tc>
        <w:tc>
          <w:tcPr>
            <w:tcW w:w="2767"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招标文件商务要求条款</w:t>
            </w:r>
          </w:p>
        </w:tc>
        <w:tc>
          <w:tcPr>
            <w:tcW w:w="2767"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投标响应内容对应简述</w:t>
            </w:r>
          </w:p>
        </w:tc>
        <w:tc>
          <w:tcPr>
            <w:tcW w:w="1619"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偏离说明</w:t>
            </w:r>
          </w:p>
        </w:tc>
        <w:tc>
          <w:tcPr>
            <w:tcW w:w="1619" w:type="dxa"/>
            <w:shd w:val="clear" w:color="auto" w:fill="F2F2F2"/>
            <w:vAlign w:val="top"/>
          </w:tcPr>
          <w:p>
            <w:pPr>
              <w:jc w:val="center"/>
              <w:rPr>
                <w:rFonts w:ascii="宋体" w:hAnsi="宋体" w:cs="仿宋_GB2312"/>
                <w:sz w:val="24"/>
                <w:szCs w:val="24"/>
              </w:rPr>
            </w:pPr>
            <w:r>
              <w:rPr>
                <w:rFonts w:hint="eastAsia" w:ascii="宋体" w:hAnsi="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1</w:t>
            </w:r>
          </w:p>
        </w:tc>
        <w:tc>
          <w:tcPr>
            <w:tcW w:w="2767"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2</w:t>
            </w:r>
          </w:p>
        </w:tc>
        <w:tc>
          <w:tcPr>
            <w:tcW w:w="2767"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3</w:t>
            </w:r>
          </w:p>
        </w:tc>
        <w:tc>
          <w:tcPr>
            <w:tcW w:w="2767"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4</w:t>
            </w:r>
          </w:p>
        </w:tc>
        <w:tc>
          <w:tcPr>
            <w:tcW w:w="2767"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5</w:t>
            </w:r>
          </w:p>
        </w:tc>
        <w:tc>
          <w:tcPr>
            <w:tcW w:w="2767"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6</w:t>
            </w:r>
          </w:p>
        </w:tc>
        <w:tc>
          <w:tcPr>
            <w:tcW w:w="2767"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w:t>
            </w:r>
          </w:p>
        </w:tc>
        <w:tc>
          <w:tcPr>
            <w:tcW w:w="2767"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bl>
    <w:p>
      <w:pPr>
        <w:spacing w:line="360" w:lineRule="auto"/>
        <w:ind w:left="1092" w:hanging="1092" w:hangingChars="455"/>
        <w:jc w:val="left"/>
        <w:rPr>
          <w:rFonts w:ascii="宋体" w:hAnsi="宋体" w:cs="Times New Roman"/>
          <w:sz w:val="24"/>
          <w:szCs w:val="24"/>
        </w:rPr>
      </w:pPr>
      <w:r>
        <w:rPr>
          <w:rFonts w:hint="eastAsia" w:ascii="宋体" w:hAnsi="宋体" w:cs="Times New Roman"/>
          <w:sz w:val="24"/>
          <w:szCs w:val="24"/>
        </w:rPr>
        <w:t>说明</w:t>
      </w:r>
      <w:r>
        <w:rPr>
          <w:rFonts w:hint="eastAsia" w:ascii="宋体" w:hAnsi="宋体" w:cs="Corbel"/>
          <w:sz w:val="24"/>
          <w:szCs w:val="24"/>
        </w:rPr>
        <w:t>：1．投标人应按招标文件第三章“项目技术、服务及商务要求”中“商务要求”条款逐项说明是否满足要求，如有偏离,投标人应详细说明。未按照要求填写此表或仅注明“符合”、“满足”的，</w:t>
      </w:r>
      <w:r>
        <w:rPr>
          <w:rFonts w:hint="eastAsia" w:ascii="宋体" w:hAnsi="宋体" w:cs="Times New Roman"/>
          <w:sz w:val="24"/>
          <w:szCs w:val="24"/>
        </w:rPr>
        <w:t>导致的后果由投标人自行承担。</w:t>
      </w:r>
    </w:p>
    <w:p>
      <w:pPr>
        <w:spacing w:line="360" w:lineRule="auto"/>
        <w:ind w:left="1061" w:leftChars="339" w:hanging="350" w:hangingChars="146"/>
        <w:jc w:val="left"/>
        <w:rPr>
          <w:rFonts w:ascii="宋体" w:hAnsi="宋体" w:cs="Times New Roman"/>
          <w:sz w:val="24"/>
          <w:szCs w:val="24"/>
        </w:rPr>
      </w:pPr>
      <w:r>
        <w:rPr>
          <w:rFonts w:hint="eastAsia" w:ascii="宋体" w:hAnsi="宋体" w:cs="Corbel"/>
          <w:sz w:val="24"/>
          <w:szCs w:val="24"/>
        </w:rPr>
        <w:t>2．投标人</w:t>
      </w:r>
      <w:r>
        <w:rPr>
          <w:rFonts w:hint="eastAsia" w:ascii="宋体" w:hAnsi="宋体" w:cs="Times New Roman"/>
          <w:sz w:val="24"/>
          <w:szCs w:val="24"/>
        </w:rPr>
        <w:t>提供</w:t>
      </w:r>
      <w:r>
        <w:rPr>
          <w:rFonts w:hint="eastAsia" w:ascii="宋体" w:hAnsi="宋体" w:cs="Corbel"/>
          <w:sz w:val="24"/>
          <w:szCs w:val="24"/>
        </w:rPr>
        <w:t>的相关证明文件对应的页码填写到上表“投标文件对应的页码”中。如未提供页码或内容页码完全不一致的，</w:t>
      </w:r>
      <w:r>
        <w:rPr>
          <w:rFonts w:hint="eastAsia" w:ascii="宋体" w:hAnsi="宋体" w:cs="Times New Roman"/>
          <w:sz w:val="24"/>
          <w:szCs w:val="24"/>
        </w:rPr>
        <w:t>导致的后果由投标人自行承担。</w:t>
      </w:r>
    </w:p>
    <w:p>
      <w:pPr>
        <w:adjustRightInd w:val="0"/>
        <w:snapToGrid w:val="0"/>
        <w:spacing w:line="360" w:lineRule="auto"/>
        <w:ind w:left="781" w:leftChars="258" w:hanging="240" w:hangingChars="100"/>
        <w:rPr>
          <w:rFonts w:ascii="宋体" w:hAnsi="宋体" w:cs="Corbel"/>
          <w:sz w:val="24"/>
          <w:szCs w:val="24"/>
        </w:rPr>
      </w:pPr>
    </w:p>
    <w:p>
      <w:pPr>
        <w:adjustRightInd w:val="0"/>
        <w:snapToGrid w:val="0"/>
        <w:spacing w:line="360" w:lineRule="auto"/>
        <w:ind w:left="781" w:leftChars="258" w:hanging="240" w:hangingChars="100"/>
        <w:rPr>
          <w:rFonts w:ascii="宋体" w:hAnsi="宋体" w:cs="Corbel"/>
          <w:sz w:val="24"/>
          <w:szCs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bCs/>
          <w:sz w:val="24"/>
          <w:szCs w:val="21"/>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cs="Times New Roman"/>
          <w:b/>
          <w:bCs/>
          <w:sz w:val="24"/>
          <w:szCs w:val="21"/>
        </w:rPr>
        <w:t>投标</w:t>
      </w:r>
      <w:r>
        <w:rPr>
          <w:rFonts w:hint="eastAsia" w:hAnsi="宋体"/>
          <w:b/>
          <w:bCs/>
          <w:sz w:val="24"/>
        </w:rPr>
        <w:t>时间：</w:t>
      </w:r>
    </w:p>
    <w:p>
      <w:r>
        <w:br w:type="page"/>
      </w:r>
    </w:p>
    <w:p>
      <w:pPr>
        <w:pStyle w:val="3"/>
        <w:numPr>
          <w:ilvl w:val="0"/>
          <w:numId w:val="56"/>
        </w:numPr>
        <w:spacing w:before="100" w:beforeAutospacing="1" w:afterLines="50" w:line="360" w:lineRule="auto"/>
        <w:ind w:left="1610" w:hanging="1610"/>
        <w:rPr>
          <w:rFonts w:ascii="宋体" w:hAnsi="宋体"/>
        </w:rPr>
      </w:pPr>
      <w:bookmarkStart w:id="227" w:name="_Toc494665570"/>
      <w:bookmarkStart w:id="228" w:name="_Toc494702287"/>
      <w:bookmarkStart w:id="229" w:name="_Toc494721117"/>
      <w:bookmarkStart w:id="230" w:name="_Toc494665967"/>
      <w:bookmarkStart w:id="231" w:name="_Toc497459217"/>
      <w:bookmarkStart w:id="232" w:name="_Toc494665017"/>
      <w:bookmarkStart w:id="233" w:name="_Toc494745334"/>
      <w:r>
        <w:rPr>
          <w:rFonts w:hint="eastAsia" w:ascii="宋体" w:hAnsi="宋体"/>
        </w:rPr>
        <w:t>商务要求“★”号条款响应、偏离说明表</w:t>
      </w:r>
      <w:bookmarkEnd w:id="227"/>
      <w:bookmarkEnd w:id="228"/>
      <w:bookmarkEnd w:id="229"/>
      <w:bookmarkEnd w:id="230"/>
      <w:bookmarkEnd w:id="231"/>
      <w:bookmarkEnd w:id="232"/>
      <w:bookmarkEnd w:id="233"/>
    </w:p>
    <w:p>
      <w:pPr>
        <w:spacing w:line="360" w:lineRule="auto"/>
        <w:jc w:val="left"/>
        <w:rPr>
          <w:rFonts w:hAnsi="宋体"/>
          <w:b/>
          <w:sz w:val="24"/>
        </w:rPr>
      </w:pPr>
      <w:r>
        <w:rPr>
          <w:rFonts w:hint="eastAsia" w:hAnsi="宋体"/>
          <w:b/>
          <w:sz w:val="24"/>
        </w:rPr>
        <w:t>投标人：</w:t>
      </w:r>
    </w:p>
    <w:p>
      <w:pPr>
        <w:spacing w:line="360" w:lineRule="auto"/>
        <w:jc w:val="left"/>
        <w:rPr>
          <w:rFonts w:hAnsi="宋体"/>
          <w:b/>
          <w:sz w:val="24"/>
        </w:rPr>
      </w:pPr>
      <w:r>
        <w:rPr>
          <w:rFonts w:hint="eastAsia" w:ascii="宋体" w:hAnsi="宋体" w:cs="Times New Roman"/>
          <w:b/>
          <w:sz w:val="24"/>
          <w:szCs w:val="21"/>
        </w:rPr>
        <w:t>项目编号：</w:t>
      </w:r>
      <w:r>
        <w:rPr>
          <w:rFonts w:hint="eastAsia" w:ascii="宋体" w:hAnsi="宋体" w:cs="Times New Roman"/>
          <w:b/>
          <w:bCs/>
          <w:sz w:val="24"/>
          <w:szCs w:val="21"/>
        </w:rPr>
        <w:t xml:space="preserve">                所投包号：</w:t>
      </w:r>
    </w:p>
    <w:tbl>
      <w:tblPr>
        <w:tblStyle w:val="14"/>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767"/>
        <w:gridCol w:w="2767"/>
        <w:gridCol w:w="161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42"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序号</w:t>
            </w:r>
          </w:p>
        </w:tc>
        <w:tc>
          <w:tcPr>
            <w:tcW w:w="2767"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招标文件</w:t>
            </w:r>
            <w:r>
              <w:rPr>
                <w:rFonts w:hint="eastAsia" w:ascii="宋体" w:hAnsi="宋体" w:cs="Corbel"/>
                <w:sz w:val="24"/>
                <w:szCs w:val="24"/>
              </w:rPr>
              <w:t>商务要求“★”号条款</w:t>
            </w:r>
          </w:p>
        </w:tc>
        <w:tc>
          <w:tcPr>
            <w:tcW w:w="2767"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投标响应内容对应简述</w:t>
            </w:r>
          </w:p>
        </w:tc>
        <w:tc>
          <w:tcPr>
            <w:tcW w:w="1619"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偏离说明</w:t>
            </w:r>
          </w:p>
        </w:tc>
        <w:tc>
          <w:tcPr>
            <w:tcW w:w="1619" w:type="dxa"/>
            <w:shd w:val="clear" w:color="auto" w:fill="F2F2F2"/>
            <w:vAlign w:val="top"/>
          </w:tcPr>
          <w:p>
            <w:pPr>
              <w:jc w:val="center"/>
              <w:rPr>
                <w:rFonts w:ascii="宋体" w:hAnsi="宋体" w:cs="仿宋_GB2312"/>
                <w:sz w:val="24"/>
                <w:szCs w:val="24"/>
              </w:rPr>
            </w:pPr>
            <w:r>
              <w:rPr>
                <w:rFonts w:hint="eastAsia" w:ascii="宋体" w:hAnsi="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1</w:t>
            </w:r>
          </w:p>
        </w:tc>
        <w:tc>
          <w:tcPr>
            <w:tcW w:w="2767"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2</w:t>
            </w:r>
          </w:p>
        </w:tc>
        <w:tc>
          <w:tcPr>
            <w:tcW w:w="2767"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3</w:t>
            </w:r>
          </w:p>
        </w:tc>
        <w:tc>
          <w:tcPr>
            <w:tcW w:w="2767"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4</w:t>
            </w:r>
          </w:p>
        </w:tc>
        <w:tc>
          <w:tcPr>
            <w:tcW w:w="2767"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5</w:t>
            </w:r>
          </w:p>
        </w:tc>
        <w:tc>
          <w:tcPr>
            <w:tcW w:w="2767"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6</w:t>
            </w:r>
          </w:p>
        </w:tc>
        <w:tc>
          <w:tcPr>
            <w:tcW w:w="2767"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w:t>
            </w:r>
          </w:p>
        </w:tc>
        <w:tc>
          <w:tcPr>
            <w:tcW w:w="2767"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bl>
    <w:p>
      <w:pPr>
        <w:spacing w:line="360" w:lineRule="auto"/>
        <w:ind w:left="1092" w:hanging="1092" w:hangingChars="455"/>
        <w:jc w:val="left"/>
        <w:rPr>
          <w:rFonts w:ascii="宋体" w:hAnsi="宋体" w:cs="Corbel"/>
          <w:sz w:val="24"/>
          <w:szCs w:val="24"/>
        </w:rPr>
      </w:pPr>
      <w:r>
        <w:rPr>
          <w:rFonts w:hint="eastAsia" w:ascii="宋体" w:hAnsi="宋体" w:cs="Corbel"/>
          <w:sz w:val="24"/>
          <w:szCs w:val="24"/>
        </w:rPr>
        <w:t>说明：1．投标人应按招标文件第三章“项目技术、服务及商务要求”中商务要求“★”号条款进行逐项说明是否满足要求，如有偏离,投标人应详细说明。未按照要求填写此表或仅注明“符合”、“满足”的，导致的后果由投标人自行承担。</w:t>
      </w:r>
    </w:p>
    <w:p>
      <w:pPr>
        <w:spacing w:line="360" w:lineRule="auto"/>
        <w:ind w:left="1061" w:leftChars="339" w:hanging="350" w:hangingChars="146"/>
        <w:jc w:val="left"/>
        <w:rPr>
          <w:rFonts w:ascii="宋体" w:hAnsi="宋体" w:cs="Corbel"/>
          <w:sz w:val="24"/>
          <w:szCs w:val="24"/>
        </w:rPr>
      </w:pPr>
      <w:r>
        <w:rPr>
          <w:rFonts w:hint="eastAsia" w:ascii="宋体" w:hAnsi="宋体" w:cs="Corbel"/>
          <w:sz w:val="24"/>
          <w:szCs w:val="24"/>
        </w:rPr>
        <w:t>2．投标人提供的相关证明文件对应的页码填写到上表“投标文件对应的页码”中。如未提供页码或内容页码完全不一致的，</w:t>
      </w:r>
      <w:r>
        <w:rPr>
          <w:rFonts w:hint="eastAsia" w:ascii="宋体" w:hAnsi="宋体" w:cs="Times New Roman"/>
          <w:sz w:val="24"/>
          <w:szCs w:val="24"/>
        </w:rPr>
        <w:t>导致的后果由投标人自行承担。</w:t>
      </w: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bCs/>
          <w:sz w:val="24"/>
          <w:szCs w:val="21"/>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cs="Times New Roman"/>
          <w:b/>
          <w:bCs/>
          <w:sz w:val="24"/>
          <w:szCs w:val="21"/>
        </w:rPr>
        <w:t>投标</w:t>
      </w:r>
      <w:r>
        <w:rPr>
          <w:rFonts w:hint="eastAsia" w:hAnsi="宋体"/>
          <w:b/>
          <w:bCs/>
          <w:sz w:val="24"/>
        </w:rPr>
        <w:t>时间：</w:t>
      </w:r>
    </w:p>
    <w:p>
      <w:r>
        <w:br w:type="page"/>
      </w:r>
    </w:p>
    <w:p>
      <w:pPr>
        <w:pStyle w:val="3"/>
        <w:numPr>
          <w:ilvl w:val="0"/>
          <w:numId w:val="56"/>
        </w:numPr>
        <w:spacing w:before="100" w:beforeAutospacing="1" w:afterLines="50" w:line="360" w:lineRule="auto"/>
        <w:ind w:left="1610" w:hanging="1610"/>
        <w:rPr>
          <w:rFonts w:ascii="宋体" w:hAnsi="宋体"/>
        </w:rPr>
      </w:pPr>
      <w:bookmarkStart w:id="234" w:name="_Toc494665968"/>
      <w:bookmarkStart w:id="235" w:name="_Toc494721118"/>
      <w:bookmarkStart w:id="236" w:name="_Toc494702288"/>
      <w:bookmarkStart w:id="237" w:name="_Toc494665571"/>
      <w:bookmarkStart w:id="238" w:name="_Toc497459218"/>
      <w:bookmarkStart w:id="239" w:name="_Toc494745335"/>
      <w:bookmarkStart w:id="240" w:name="_Toc494665018"/>
      <w:r>
        <w:rPr>
          <w:rFonts w:hint="eastAsia" w:ascii="宋体" w:hAnsi="宋体"/>
        </w:rPr>
        <w:t>商务评议对照表</w:t>
      </w:r>
      <w:bookmarkEnd w:id="234"/>
      <w:bookmarkEnd w:id="235"/>
      <w:bookmarkEnd w:id="236"/>
      <w:bookmarkEnd w:id="237"/>
      <w:bookmarkEnd w:id="238"/>
      <w:bookmarkEnd w:id="239"/>
      <w:bookmarkEnd w:id="240"/>
    </w:p>
    <w:p>
      <w:pPr>
        <w:spacing w:line="360" w:lineRule="auto"/>
        <w:jc w:val="left"/>
        <w:rPr>
          <w:rFonts w:hAnsi="宋体"/>
          <w:b/>
          <w:sz w:val="24"/>
        </w:rPr>
      </w:pPr>
      <w:r>
        <w:rPr>
          <w:rFonts w:hint="eastAsia" w:hAnsi="宋体"/>
          <w:b/>
          <w:sz w:val="24"/>
        </w:rPr>
        <w:t>投标人：</w:t>
      </w:r>
    </w:p>
    <w:p>
      <w:pPr>
        <w:spacing w:line="360" w:lineRule="auto"/>
        <w:jc w:val="left"/>
        <w:rPr>
          <w:rFonts w:hAnsi="宋体"/>
          <w:b/>
          <w:sz w:val="24"/>
        </w:rPr>
      </w:pPr>
      <w:r>
        <w:rPr>
          <w:rFonts w:hint="eastAsia" w:ascii="宋体" w:hAnsi="宋体" w:cs="Times New Roman"/>
          <w:b/>
          <w:sz w:val="24"/>
          <w:szCs w:val="21"/>
        </w:rPr>
        <w:t>项目编号：</w:t>
      </w:r>
      <w:r>
        <w:rPr>
          <w:rFonts w:hint="eastAsia" w:ascii="宋体" w:hAnsi="宋体" w:cs="Times New Roman"/>
          <w:b/>
          <w:bCs/>
          <w:sz w:val="24"/>
          <w:szCs w:val="21"/>
        </w:rPr>
        <w:t xml:space="preserve">                所投包号：</w:t>
      </w:r>
    </w:p>
    <w:tbl>
      <w:tblPr>
        <w:tblStyle w:val="14"/>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848"/>
        <w:gridCol w:w="2767"/>
        <w:gridCol w:w="161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61" w:type="dxa"/>
            <w:shd w:val="clear" w:color="auto" w:fill="F2F2F2"/>
            <w:vAlign w:val="center"/>
          </w:tcPr>
          <w:p>
            <w:pPr>
              <w:ind w:left="-37" w:leftChars="-18" w:right="-48" w:rightChars="-23"/>
              <w:jc w:val="center"/>
              <w:rPr>
                <w:rFonts w:ascii="宋体" w:hAnsi="宋体" w:cs="仿宋_GB2312"/>
                <w:sz w:val="24"/>
                <w:szCs w:val="24"/>
              </w:rPr>
            </w:pPr>
            <w:r>
              <w:rPr>
                <w:rFonts w:hint="eastAsia" w:ascii="宋体" w:hAnsi="宋体" w:cs="仿宋_GB2312"/>
                <w:sz w:val="24"/>
                <w:szCs w:val="24"/>
              </w:rPr>
              <w:t>序号</w:t>
            </w:r>
          </w:p>
        </w:tc>
        <w:tc>
          <w:tcPr>
            <w:tcW w:w="2848"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招标文件商务评分标准</w:t>
            </w:r>
          </w:p>
        </w:tc>
        <w:tc>
          <w:tcPr>
            <w:tcW w:w="2767"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投标响应内容对应简述</w:t>
            </w:r>
          </w:p>
        </w:tc>
        <w:tc>
          <w:tcPr>
            <w:tcW w:w="1619"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偏离说明</w:t>
            </w:r>
          </w:p>
        </w:tc>
        <w:tc>
          <w:tcPr>
            <w:tcW w:w="1619" w:type="dxa"/>
            <w:shd w:val="clear" w:color="auto" w:fill="F2F2F2"/>
            <w:vAlign w:val="top"/>
          </w:tcPr>
          <w:p>
            <w:pPr>
              <w:jc w:val="center"/>
              <w:rPr>
                <w:rFonts w:ascii="宋体" w:hAnsi="宋体" w:cs="仿宋_GB2312"/>
                <w:sz w:val="24"/>
                <w:szCs w:val="24"/>
              </w:rPr>
            </w:pPr>
            <w:r>
              <w:rPr>
                <w:rFonts w:hint="eastAsia" w:ascii="宋体" w:hAnsi="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61" w:type="dxa"/>
            <w:vAlign w:val="center"/>
          </w:tcPr>
          <w:p>
            <w:pPr>
              <w:numPr>
                <w:ilvl w:val="0"/>
                <w:numId w:val="60"/>
              </w:numPr>
              <w:jc w:val="center"/>
              <w:rPr>
                <w:rFonts w:ascii="宋体" w:hAnsi="宋体" w:cs="仿宋_GB2312"/>
                <w:sz w:val="24"/>
                <w:szCs w:val="24"/>
              </w:rPr>
            </w:pPr>
          </w:p>
        </w:tc>
        <w:tc>
          <w:tcPr>
            <w:tcW w:w="2848"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61" w:type="dxa"/>
            <w:vAlign w:val="center"/>
          </w:tcPr>
          <w:p>
            <w:pPr>
              <w:numPr>
                <w:ilvl w:val="0"/>
                <w:numId w:val="60"/>
              </w:numPr>
              <w:jc w:val="center"/>
              <w:rPr>
                <w:rFonts w:ascii="宋体" w:hAnsi="宋体" w:cs="仿宋_GB2312"/>
                <w:sz w:val="24"/>
                <w:szCs w:val="24"/>
              </w:rPr>
            </w:pPr>
          </w:p>
        </w:tc>
        <w:tc>
          <w:tcPr>
            <w:tcW w:w="2848"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61" w:type="dxa"/>
            <w:vAlign w:val="center"/>
          </w:tcPr>
          <w:p>
            <w:pPr>
              <w:numPr>
                <w:ilvl w:val="0"/>
                <w:numId w:val="60"/>
              </w:numPr>
              <w:jc w:val="center"/>
              <w:rPr>
                <w:rFonts w:ascii="宋体" w:hAnsi="宋体" w:cs="仿宋_GB2312"/>
                <w:sz w:val="24"/>
                <w:szCs w:val="24"/>
              </w:rPr>
            </w:pPr>
          </w:p>
        </w:tc>
        <w:tc>
          <w:tcPr>
            <w:tcW w:w="2848"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61" w:type="dxa"/>
            <w:vAlign w:val="center"/>
          </w:tcPr>
          <w:p>
            <w:pPr>
              <w:numPr>
                <w:ilvl w:val="0"/>
                <w:numId w:val="60"/>
              </w:numPr>
              <w:jc w:val="center"/>
              <w:rPr>
                <w:rFonts w:ascii="宋体" w:hAnsi="宋体" w:cs="仿宋_GB2312"/>
                <w:sz w:val="24"/>
                <w:szCs w:val="24"/>
              </w:rPr>
            </w:pPr>
          </w:p>
        </w:tc>
        <w:tc>
          <w:tcPr>
            <w:tcW w:w="2848"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61" w:type="dxa"/>
            <w:vAlign w:val="center"/>
          </w:tcPr>
          <w:p>
            <w:pPr>
              <w:numPr>
                <w:ilvl w:val="0"/>
                <w:numId w:val="60"/>
              </w:numPr>
              <w:jc w:val="center"/>
              <w:rPr>
                <w:rFonts w:ascii="宋体" w:hAnsi="宋体" w:cs="仿宋_GB2312"/>
                <w:sz w:val="24"/>
                <w:szCs w:val="24"/>
              </w:rPr>
            </w:pPr>
          </w:p>
        </w:tc>
        <w:tc>
          <w:tcPr>
            <w:tcW w:w="2848"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61" w:type="dxa"/>
            <w:vAlign w:val="center"/>
          </w:tcPr>
          <w:p>
            <w:pPr>
              <w:numPr>
                <w:ilvl w:val="0"/>
                <w:numId w:val="60"/>
              </w:numPr>
              <w:jc w:val="center"/>
              <w:rPr>
                <w:rFonts w:ascii="宋体" w:hAnsi="宋体" w:cs="仿宋_GB2312"/>
                <w:sz w:val="24"/>
                <w:szCs w:val="24"/>
              </w:rPr>
            </w:pPr>
          </w:p>
        </w:tc>
        <w:tc>
          <w:tcPr>
            <w:tcW w:w="2848"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61" w:type="dxa"/>
            <w:vAlign w:val="center"/>
          </w:tcPr>
          <w:p>
            <w:pPr>
              <w:jc w:val="center"/>
              <w:rPr>
                <w:rFonts w:ascii="宋体" w:hAnsi="宋体" w:cs="仿宋_GB2312"/>
                <w:sz w:val="24"/>
                <w:szCs w:val="24"/>
              </w:rPr>
            </w:pPr>
            <w:r>
              <w:rPr>
                <w:rFonts w:hint="eastAsia" w:ascii="宋体" w:hAnsi="宋体" w:cs="仿宋_GB2312"/>
                <w:sz w:val="24"/>
                <w:szCs w:val="24"/>
              </w:rPr>
              <w:t>…</w:t>
            </w:r>
          </w:p>
        </w:tc>
        <w:tc>
          <w:tcPr>
            <w:tcW w:w="2848" w:type="dxa"/>
            <w:vAlign w:val="center"/>
          </w:tcPr>
          <w:p>
            <w:pPr>
              <w:jc w:val="center"/>
              <w:rPr>
                <w:rFonts w:ascii="宋体" w:hAnsi="宋体" w:cs="仿宋_GB2312"/>
                <w:sz w:val="24"/>
                <w:szCs w:val="24"/>
              </w:rPr>
            </w:pPr>
          </w:p>
        </w:tc>
        <w:tc>
          <w:tcPr>
            <w:tcW w:w="2767"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bl>
    <w:p>
      <w:pPr>
        <w:spacing w:line="360" w:lineRule="auto"/>
        <w:ind w:left="1092" w:hanging="1092" w:hangingChars="455"/>
        <w:jc w:val="left"/>
        <w:rPr>
          <w:rFonts w:ascii="宋体" w:hAnsi="宋体" w:cs="Corbel"/>
          <w:sz w:val="24"/>
          <w:szCs w:val="24"/>
        </w:rPr>
      </w:pPr>
      <w:r>
        <w:rPr>
          <w:rFonts w:hint="eastAsia" w:ascii="宋体" w:hAnsi="宋体" w:cs="Corbel"/>
          <w:sz w:val="24"/>
          <w:szCs w:val="24"/>
        </w:rPr>
        <w:t>说明：1．投标人应按招标文件第五章“评标方法、程序及标准”中“商务评议”的评分标准逐项说明是否满足要求，如有偏离,投标人应详细说明。未按照要求填写此表或仅注明“符合”、“满足”的，</w:t>
      </w:r>
      <w:r>
        <w:rPr>
          <w:rFonts w:hint="eastAsia" w:ascii="宋体" w:hAnsi="宋体" w:cs="Times New Roman"/>
          <w:sz w:val="24"/>
          <w:szCs w:val="24"/>
        </w:rPr>
        <w:t>导致的后果由投标人自行承担。</w:t>
      </w:r>
    </w:p>
    <w:p>
      <w:pPr>
        <w:spacing w:line="360" w:lineRule="auto"/>
        <w:ind w:left="1061" w:leftChars="339" w:hanging="350" w:hangingChars="146"/>
        <w:jc w:val="left"/>
        <w:rPr>
          <w:rFonts w:ascii="宋体" w:hAnsi="宋体" w:cs="Corbel"/>
          <w:sz w:val="24"/>
          <w:szCs w:val="24"/>
        </w:rPr>
      </w:pPr>
      <w:r>
        <w:rPr>
          <w:rFonts w:hint="eastAsia" w:ascii="宋体" w:hAnsi="宋体" w:cs="Corbel"/>
          <w:sz w:val="24"/>
          <w:szCs w:val="24"/>
        </w:rPr>
        <w:t>2．投标人提供的相关证明文件对应的页码填写到上表“投标文件对应的页码”中。如未提供页码或内容页码完全不一致的，</w:t>
      </w:r>
      <w:r>
        <w:rPr>
          <w:rFonts w:hint="eastAsia" w:ascii="宋体" w:hAnsi="宋体" w:cs="Times New Roman"/>
          <w:sz w:val="24"/>
          <w:szCs w:val="24"/>
        </w:rPr>
        <w:t>导致的后果由投标人自行承担。</w:t>
      </w: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bCs/>
          <w:sz w:val="24"/>
          <w:szCs w:val="21"/>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cs="Times New Roman"/>
          <w:b/>
          <w:bCs/>
          <w:sz w:val="24"/>
          <w:szCs w:val="21"/>
        </w:rPr>
        <w:t>投标</w:t>
      </w:r>
      <w:r>
        <w:rPr>
          <w:rFonts w:hint="eastAsia" w:hAnsi="宋体"/>
          <w:b/>
          <w:bCs/>
          <w:sz w:val="24"/>
        </w:rPr>
        <w:t>时间：</w:t>
      </w:r>
    </w:p>
    <w:p>
      <w:r>
        <w:br w:type="page"/>
      </w:r>
    </w:p>
    <w:p>
      <w:pPr>
        <w:pStyle w:val="3"/>
        <w:numPr>
          <w:ilvl w:val="0"/>
          <w:numId w:val="56"/>
        </w:numPr>
        <w:spacing w:before="100" w:beforeAutospacing="1" w:afterLines="50" w:line="360" w:lineRule="auto"/>
        <w:ind w:left="1610" w:hanging="1610"/>
        <w:rPr>
          <w:rFonts w:ascii="宋体" w:hAnsi="宋体"/>
        </w:rPr>
      </w:pPr>
      <w:bookmarkStart w:id="241" w:name="_Toc494665969"/>
      <w:bookmarkStart w:id="242" w:name="_Toc494665019"/>
      <w:bookmarkStart w:id="243" w:name="_Toc494721119"/>
      <w:bookmarkStart w:id="244" w:name="_Toc494665572"/>
      <w:bookmarkStart w:id="245" w:name="_Toc494702289"/>
      <w:bookmarkStart w:id="246" w:name="_Toc494745336"/>
      <w:bookmarkStart w:id="247" w:name="_Toc497459219"/>
      <w:r>
        <w:rPr>
          <w:rFonts w:hint="eastAsia" w:ascii="宋体" w:hAnsi="宋体"/>
        </w:rPr>
        <w:t>技术、服务要求响应、偏离说明表</w:t>
      </w:r>
      <w:bookmarkEnd w:id="241"/>
      <w:bookmarkEnd w:id="242"/>
      <w:bookmarkEnd w:id="243"/>
      <w:bookmarkEnd w:id="244"/>
      <w:bookmarkEnd w:id="245"/>
      <w:bookmarkEnd w:id="246"/>
      <w:bookmarkEnd w:id="247"/>
    </w:p>
    <w:p>
      <w:pPr>
        <w:spacing w:line="360" w:lineRule="auto"/>
        <w:jc w:val="left"/>
        <w:rPr>
          <w:rFonts w:hAnsi="宋体"/>
          <w:b/>
          <w:sz w:val="24"/>
        </w:rPr>
      </w:pPr>
      <w:r>
        <w:rPr>
          <w:rFonts w:hint="eastAsia" w:hAnsi="宋体"/>
          <w:b/>
          <w:sz w:val="24"/>
        </w:rPr>
        <w:t>投标人：</w:t>
      </w:r>
    </w:p>
    <w:p>
      <w:pPr>
        <w:spacing w:line="360" w:lineRule="auto"/>
        <w:jc w:val="left"/>
        <w:rPr>
          <w:rFonts w:hAnsi="宋体"/>
          <w:b/>
          <w:sz w:val="24"/>
        </w:rPr>
      </w:pPr>
      <w:r>
        <w:rPr>
          <w:rFonts w:hint="eastAsia" w:ascii="宋体" w:hAnsi="宋体" w:cs="Times New Roman"/>
          <w:b/>
          <w:sz w:val="24"/>
          <w:szCs w:val="21"/>
        </w:rPr>
        <w:t>项目编号：</w:t>
      </w:r>
      <w:r>
        <w:rPr>
          <w:rFonts w:hint="eastAsia" w:ascii="宋体" w:hAnsi="宋体" w:cs="Times New Roman"/>
          <w:b/>
          <w:bCs/>
          <w:sz w:val="24"/>
          <w:szCs w:val="21"/>
        </w:rPr>
        <w:t xml:space="preserve">                所投包号：</w:t>
      </w:r>
    </w:p>
    <w:tbl>
      <w:tblPr>
        <w:tblStyle w:val="14"/>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3031"/>
        <w:gridCol w:w="2755"/>
        <w:gridCol w:w="1364"/>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45"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序号</w:t>
            </w:r>
          </w:p>
        </w:tc>
        <w:tc>
          <w:tcPr>
            <w:tcW w:w="3031"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招标文件技术、服务要求条款</w:t>
            </w:r>
          </w:p>
        </w:tc>
        <w:tc>
          <w:tcPr>
            <w:tcW w:w="2755"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投标响应内容对应简述</w:t>
            </w:r>
          </w:p>
        </w:tc>
        <w:tc>
          <w:tcPr>
            <w:tcW w:w="1364"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偏离说明</w:t>
            </w:r>
          </w:p>
        </w:tc>
        <w:tc>
          <w:tcPr>
            <w:tcW w:w="1619" w:type="dxa"/>
            <w:shd w:val="clear" w:color="auto" w:fill="F2F2F2"/>
            <w:vAlign w:val="top"/>
          </w:tcPr>
          <w:p>
            <w:pPr>
              <w:jc w:val="center"/>
              <w:rPr>
                <w:rFonts w:ascii="宋体" w:hAnsi="宋体" w:cs="仿宋_GB2312"/>
                <w:sz w:val="24"/>
                <w:szCs w:val="24"/>
              </w:rPr>
            </w:pPr>
            <w:r>
              <w:rPr>
                <w:rFonts w:hint="eastAsia" w:ascii="宋体" w:hAnsi="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cs="仿宋_GB2312"/>
                <w:sz w:val="24"/>
                <w:szCs w:val="24"/>
              </w:rPr>
            </w:pPr>
            <w:r>
              <w:rPr>
                <w:rFonts w:hint="eastAsia" w:ascii="宋体" w:hAnsi="宋体" w:cs="仿宋_GB2312"/>
                <w:sz w:val="24"/>
                <w:szCs w:val="24"/>
              </w:rPr>
              <w:t>1</w:t>
            </w:r>
          </w:p>
        </w:tc>
        <w:tc>
          <w:tcPr>
            <w:tcW w:w="3031" w:type="dxa"/>
            <w:vAlign w:val="center"/>
          </w:tcPr>
          <w:p>
            <w:pPr>
              <w:jc w:val="center"/>
              <w:rPr>
                <w:rFonts w:ascii="宋体" w:hAnsi="宋体" w:cs="仿宋_GB2312"/>
                <w:sz w:val="24"/>
                <w:szCs w:val="24"/>
              </w:rPr>
            </w:pPr>
          </w:p>
        </w:tc>
        <w:tc>
          <w:tcPr>
            <w:tcW w:w="2755" w:type="dxa"/>
            <w:vAlign w:val="center"/>
          </w:tcPr>
          <w:p>
            <w:pPr>
              <w:jc w:val="center"/>
              <w:rPr>
                <w:rFonts w:ascii="宋体" w:hAnsi="宋体" w:cs="仿宋_GB2312"/>
                <w:sz w:val="24"/>
                <w:szCs w:val="24"/>
              </w:rPr>
            </w:pPr>
          </w:p>
        </w:tc>
        <w:tc>
          <w:tcPr>
            <w:tcW w:w="1364"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cs="仿宋_GB2312"/>
                <w:sz w:val="24"/>
                <w:szCs w:val="24"/>
              </w:rPr>
            </w:pPr>
            <w:r>
              <w:rPr>
                <w:rFonts w:hint="eastAsia" w:ascii="宋体" w:hAnsi="宋体" w:cs="仿宋_GB2312"/>
                <w:sz w:val="24"/>
                <w:szCs w:val="24"/>
              </w:rPr>
              <w:t>2</w:t>
            </w:r>
          </w:p>
        </w:tc>
        <w:tc>
          <w:tcPr>
            <w:tcW w:w="3031" w:type="dxa"/>
            <w:vAlign w:val="center"/>
          </w:tcPr>
          <w:p>
            <w:pPr>
              <w:jc w:val="center"/>
              <w:rPr>
                <w:rFonts w:ascii="宋体" w:hAnsi="宋体" w:cs="仿宋_GB2312"/>
                <w:sz w:val="24"/>
                <w:szCs w:val="24"/>
              </w:rPr>
            </w:pPr>
          </w:p>
        </w:tc>
        <w:tc>
          <w:tcPr>
            <w:tcW w:w="2755" w:type="dxa"/>
            <w:vAlign w:val="center"/>
          </w:tcPr>
          <w:p>
            <w:pPr>
              <w:jc w:val="center"/>
              <w:rPr>
                <w:rFonts w:ascii="宋体" w:hAnsi="宋体" w:cs="仿宋_GB2312"/>
                <w:sz w:val="24"/>
                <w:szCs w:val="24"/>
              </w:rPr>
            </w:pPr>
          </w:p>
        </w:tc>
        <w:tc>
          <w:tcPr>
            <w:tcW w:w="1364"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cs="仿宋_GB2312"/>
                <w:sz w:val="24"/>
                <w:szCs w:val="24"/>
              </w:rPr>
            </w:pPr>
            <w:r>
              <w:rPr>
                <w:rFonts w:hint="eastAsia" w:ascii="宋体" w:hAnsi="宋体" w:cs="仿宋_GB2312"/>
                <w:sz w:val="24"/>
                <w:szCs w:val="24"/>
              </w:rPr>
              <w:t>3</w:t>
            </w:r>
          </w:p>
        </w:tc>
        <w:tc>
          <w:tcPr>
            <w:tcW w:w="3031" w:type="dxa"/>
            <w:vAlign w:val="center"/>
          </w:tcPr>
          <w:p>
            <w:pPr>
              <w:jc w:val="center"/>
              <w:rPr>
                <w:rFonts w:ascii="宋体" w:hAnsi="宋体" w:cs="仿宋_GB2312"/>
                <w:sz w:val="24"/>
                <w:szCs w:val="24"/>
              </w:rPr>
            </w:pPr>
          </w:p>
        </w:tc>
        <w:tc>
          <w:tcPr>
            <w:tcW w:w="2755" w:type="dxa"/>
            <w:vAlign w:val="center"/>
          </w:tcPr>
          <w:p>
            <w:pPr>
              <w:jc w:val="center"/>
              <w:rPr>
                <w:rFonts w:ascii="宋体" w:hAnsi="宋体" w:cs="仿宋_GB2312"/>
                <w:sz w:val="24"/>
                <w:szCs w:val="24"/>
              </w:rPr>
            </w:pPr>
          </w:p>
        </w:tc>
        <w:tc>
          <w:tcPr>
            <w:tcW w:w="1364"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cs="仿宋_GB2312"/>
                <w:sz w:val="24"/>
                <w:szCs w:val="24"/>
              </w:rPr>
            </w:pPr>
            <w:r>
              <w:rPr>
                <w:rFonts w:hint="eastAsia" w:ascii="宋体" w:hAnsi="宋体" w:cs="仿宋_GB2312"/>
                <w:sz w:val="24"/>
                <w:szCs w:val="24"/>
              </w:rPr>
              <w:t>4</w:t>
            </w:r>
          </w:p>
        </w:tc>
        <w:tc>
          <w:tcPr>
            <w:tcW w:w="3031" w:type="dxa"/>
            <w:vAlign w:val="center"/>
          </w:tcPr>
          <w:p>
            <w:pPr>
              <w:jc w:val="center"/>
              <w:rPr>
                <w:rFonts w:ascii="宋体" w:hAnsi="宋体" w:cs="仿宋_GB2312"/>
                <w:sz w:val="24"/>
                <w:szCs w:val="24"/>
              </w:rPr>
            </w:pPr>
          </w:p>
        </w:tc>
        <w:tc>
          <w:tcPr>
            <w:tcW w:w="2755" w:type="dxa"/>
            <w:vAlign w:val="center"/>
          </w:tcPr>
          <w:p>
            <w:pPr>
              <w:jc w:val="center"/>
              <w:rPr>
                <w:rFonts w:ascii="宋体" w:hAnsi="宋体" w:cs="仿宋_GB2312"/>
                <w:sz w:val="24"/>
                <w:szCs w:val="24"/>
              </w:rPr>
            </w:pPr>
          </w:p>
        </w:tc>
        <w:tc>
          <w:tcPr>
            <w:tcW w:w="1364"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cs="仿宋_GB2312"/>
                <w:sz w:val="24"/>
                <w:szCs w:val="24"/>
              </w:rPr>
            </w:pPr>
            <w:r>
              <w:rPr>
                <w:rFonts w:hint="eastAsia" w:ascii="宋体" w:hAnsi="宋体" w:cs="仿宋_GB2312"/>
                <w:sz w:val="24"/>
                <w:szCs w:val="24"/>
              </w:rPr>
              <w:t>5</w:t>
            </w:r>
          </w:p>
        </w:tc>
        <w:tc>
          <w:tcPr>
            <w:tcW w:w="3031" w:type="dxa"/>
            <w:vAlign w:val="center"/>
          </w:tcPr>
          <w:p>
            <w:pPr>
              <w:jc w:val="center"/>
              <w:rPr>
                <w:rFonts w:ascii="宋体" w:hAnsi="宋体" w:cs="仿宋_GB2312"/>
                <w:sz w:val="24"/>
                <w:szCs w:val="24"/>
              </w:rPr>
            </w:pPr>
          </w:p>
        </w:tc>
        <w:tc>
          <w:tcPr>
            <w:tcW w:w="2755" w:type="dxa"/>
            <w:vAlign w:val="center"/>
          </w:tcPr>
          <w:p>
            <w:pPr>
              <w:jc w:val="center"/>
              <w:rPr>
                <w:rFonts w:ascii="宋体" w:hAnsi="宋体" w:cs="仿宋_GB2312"/>
                <w:sz w:val="24"/>
                <w:szCs w:val="24"/>
              </w:rPr>
            </w:pPr>
          </w:p>
        </w:tc>
        <w:tc>
          <w:tcPr>
            <w:tcW w:w="1364"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cs="仿宋_GB2312"/>
                <w:sz w:val="24"/>
                <w:szCs w:val="24"/>
              </w:rPr>
            </w:pPr>
            <w:r>
              <w:rPr>
                <w:rFonts w:hint="eastAsia" w:ascii="宋体" w:hAnsi="宋体" w:cs="仿宋_GB2312"/>
                <w:sz w:val="24"/>
                <w:szCs w:val="24"/>
              </w:rPr>
              <w:t>6</w:t>
            </w:r>
          </w:p>
        </w:tc>
        <w:tc>
          <w:tcPr>
            <w:tcW w:w="3031" w:type="dxa"/>
            <w:vAlign w:val="center"/>
          </w:tcPr>
          <w:p>
            <w:pPr>
              <w:jc w:val="center"/>
              <w:rPr>
                <w:rFonts w:ascii="宋体" w:hAnsi="宋体" w:cs="仿宋_GB2312"/>
                <w:sz w:val="24"/>
                <w:szCs w:val="24"/>
              </w:rPr>
            </w:pPr>
          </w:p>
        </w:tc>
        <w:tc>
          <w:tcPr>
            <w:tcW w:w="2755" w:type="dxa"/>
            <w:vAlign w:val="center"/>
          </w:tcPr>
          <w:p>
            <w:pPr>
              <w:jc w:val="center"/>
              <w:rPr>
                <w:rFonts w:ascii="宋体" w:hAnsi="宋体" w:cs="仿宋_GB2312"/>
                <w:sz w:val="24"/>
                <w:szCs w:val="24"/>
              </w:rPr>
            </w:pPr>
          </w:p>
        </w:tc>
        <w:tc>
          <w:tcPr>
            <w:tcW w:w="1364"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cs="仿宋_GB2312"/>
                <w:sz w:val="24"/>
                <w:szCs w:val="24"/>
              </w:rPr>
            </w:pPr>
            <w:r>
              <w:rPr>
                <w:rFonts w:hint="eastAsia" w:ascii="宋体" w:hAnsi="宋体" w:cs="仿宋_GB2312"/>
                <w:sz w:val="24"/>
                <w:szCs w:val="24"/>
              </w:rPr>
              <w:t>…</w:t>
            </w:r>
          </w:p>
        </w:tc>
        <w:tc>
          <w:tcPr>
            <w:tcW w:w="3031" w:type="dxa"/>
            <w:vAlign w:val="center"/>
          </w:tcPr>
          <w:p>
            <w:pPr>
              <w:jc w:val="center"/>
              <w:rPr>
                <w:rFonts w:ascii="宋体" w:hAnsi="宋体" w:cs="仿宋_GB2312"/>
                <w:sz w:val="24"/>
                <w:szCs w:val="24"/>
              </w:rPr>
            </w:pPr>
          </w:p>
        </w:tc>
        <w:tc>
          <w:tcPr>
            <w:tcW w:w="2755" w:type="dxa"/>
            <w:vAlign w:val="center"/>
          </w:tcPr>
          <w:p>
            <w:pPr>
              <w:jc w:val="center"/>
              <w:rPr>
                <w:rFonts w:ascii="宋体" w:hAnsi="宋体" w:cs="仿宋_GB2312"/>
                <w:sz w:val="24"/>
                <w:szCs w:val="24"/>
              </w:rPr>
            </w:pPr>
          </w:p>
        </w:tc>
        <w:tc>
          <w:tcPr>
            <w:tcW w:w="1364"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bl>
    <w:p>
      <w:pPr>
        <w:spacing w:line="360" w:lineRule="auto"/>
        <w:ind w:left="1092" w:hanging="1092" w:hangingChars="455"/>
        <w:jc w:val="left"/>
        <w:rPr>
          <w:rFonts w:ascii="宋体" w:hAnsi="宋体" w:cs="Times New Roman"/>
          <w:sz w:val="24"/>
          <w:szCs w:val="24"/>
        </w:rPr>
      </w:pPr>
      <w:r>
        <w:rPr>
          <w:rFonts w:hint="eastAsia" w:ascii="宋体" w:hAnsi="宋体" w:cs="Corbel"/>
          <w:sz w:val="24"/>
          <w:szCs w:val="24"/>
        </w:rPr>
        <w:t>说明：1．投标人应按招标文件第三章“项目技术、服务及商务要求”中“技术、服务要求”条款逐项说明是否满足要求，如有偏离,投标人应详细说明。未按照要求填写此表或仅注明“符合”、“满足”的，</w:t>
      </w:r>
      <w:r>
        <w:rPr>
          <w:rFonts w:hint="eastAsia" w:ascii="宋体" w:hAnsi="宋体" w:cs="Times New Roman"/>
          <w:sz w:val="24"/>
          <w:szCs w:val="24"/>
        </w:rPr>
        <w:t>导致的后果由投标人自行承担。</w:t>
      </w:r>
    </w:p>
    <w:p>
      <w:pPr>
        <w:spacing w:line="360" w:lineRule="auto"/>
        <w:ind w:left="1061" w:leftChars="339" w:hanging="350" w:hangingChars="146"/>
        <w:jc w:val="left"/>
        <w:rPr>
          <w:rFonts w:ascii="宋体" w:hAnsi="宋体" w:cs="Corbel"/>
          <w:sz w:val="24"/>
          <w:szCs w:val="24"/>
        </w:rPr>
      </w:pPr>
      <w:r>
        <w:rPr>
          <w:rFonts w:hint="eastAsia" w:ascii="宋体" w:hAnsi="宋体" w:cs="Corbel"/>
          <w:sz w:val="24"/>
          <w:szCs w:val="24"/>
        </w:rPr>
        <w:t>2．投标人提供的相关证明文件对应的页码填写到上表“投标文件对应的页码”中。如未提供页码或内容页码完全不一致的，</w:t>
      </w:r>
      <w:r>
        <w:rPr>
          <w:rFonts w:hint="eastAsia" w:ascii="宋体" w:hAnsi="宋体" w:cs="Times New Roman"/>
          <w:sz w:val="24"/>
          <w:szCs w:val="24"/>
        </w:rPr>
        <w:t>导致的后果由投标人自行承担。</w:t>
      </w: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bCs/>
          <w:sz w:val="24"/>
          <w:szCs w:val="21"/>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cs="Times New Roman"/>
          <w:b/>
          <w:bCs/>
          <w:sz w:val="24"/>
          <w:szCs w:val="21"/>
        </w:rPr>
        <w:t>投标</w:t>
      </w:r>
      <w:r>
        <w:rPr>
          <w:rFonts w:hint="eastAsia" w:hAnsi="宋体"/>
          <w:b/>
          <w:bCs/>
          <w:sz w:val="24"/>
        </w:rPr>
        <w:t>时间：</w:t>
      </w:r>
    </w:p>
    <w:p>
      <w:r>
        <w:br w:type="page"/>
      </w:r>
    </w:p>
    <w:p>
      <w:pPr>
        <w:pStyle w:val="3"/>
        <w:numPr>
          <w:ilvl w:val="0"/>
          <w:numId w:val="56"/>
        </w:numPr>
        <w:spacing w:before="100" w:beforeAutospacing="1" w:afterLines="50" w:line="360" w:lineRule="auto"/>
        <w:ind w:left="1610" w:hanging="1610"/>
        <w:rPr>
          <w:rFonts w:ascii="宋体" w:hAnsi="宋体"/>
        </w:rPr>
      </w:pPr>
      <w:bookmarkStart w:id="248" w:name="_Toc494721120"/>
      <w:bookmarkStart w:id="249" w:name="_Toc494745337"/>
      <w:bookmarkStart w:id="250" w:name="_Toc494665970"/>
      <w:bookmarkStart w:id="251" w:name="_Toc494665573"/>
      <w:bookmarkStart w:id="252" w:name="_Toc497459220"/>
      <w:bookmarkStart w:id="253" w:name="_Toc494702290"/>
      <w:bookmarkStart w:id="254" w:name="_Toc494665020"/>
      <w:bookmarkStart w:id="255" w:name="_Toc329859066"/>
      <w:r>
        <w:rPr>
          <w:rFonts w:hint="eastAsia" w:ascii="宋体" w:hAnsi="宋体"/>
        </w:rPr>
        <w:t>技术、服务要求“★”号条款响应、偏离说明表</w:t>
      </w:r>
      <w:bookmarkEnd w:id="248"/>
      <w:bookmarkEnd w:id="249"/>
      <w:bookmarkEnd w:id="250"/>
      <w:bookmarkEnd w:id="251"/>
      <w:bookmarkEnd w:id="252"/>
      <w:bookmarkEnd w:id="253"/>
      <w:bookmarkEnd w:id="254"/>
    </w:p>
    <w:p>
      <w:pPr>
        <w:spacing w:line="360" w:lineRule="auto"/>
        <w:jc w:val="left"/>
        <w:rPr>
          <w:rFonts w:hAnsi="宋体"/>
          <w:b/>
          <w:sz w:val="24"/>
        </w:rPr>
      </w:pPr>
      <w:r>
        <w:rPr>
          <w:rFonts w:hint="eastAsia" w:hAnsi="宋体"/>
          <w:b/>
          <w:sz w:val="24"/>
        </w:rPr>
        <w:t>投标人：</w:t>
      </w:r>
    </w:p>
    <w:p>
      <w:pPr>
        <w:spacing w:line="360" w:lineRule="auto"/>
        <w:jc w:val="left"/>
        <w:rPr>
          <w:rFonts w:hAnsi="宋体"/>
          <w:b/>
          <w:sz w:val="24"/>
        </w:rPr>
      </w:pPr>
      <w:r>
        <w:rPr>
          <w:rFonts w:hint="eastAsia" w:ascii="宋体" w:hAnsi="宋体" w:cs="Times New Roman"/>
          <w:b/>
          <w:sz w:val="24"/>
          <w:szCs w:val="21"/>
        </w:rPr>
        <w:t>项目编号：</w:t>
      </w:r>
      <w:r>
        <w:rPr>
          <w:rFonts w:hint="eastAsia" w:ascii="宋体" w:hAnsi="宋体" w:cs="Times New Roman"/>
          <w:b/>
          <w:bCs/>
          <w:sz w:val="24"/>
          <w:szCs w:val="21"/>
        </w:rPr>
        <w:t xml:space="preserve">                所投包号：</w:t>
      </w:r>
    </w:p>
    <w:tbl>
      <w:tblPr>
        <w:tblStyle w:val="14"/>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767"/>
        <w:gridCol w:w="2877"/>
        <w:gridCol w:w="150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42"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序号</w:t>
            </w:r>
          </w:p>
        </w:tc>
        <w:tc>
          <w:tcPr>
            <w:tcW w:w="2767"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招标文件</w:t>
            </w:r>
            <w:r>
              <w:rPr>
                <w:rFonts w:hint="eastAsia" w:ascii="宋体" w:hAnsi="宋体" w:cs="Corbel"/>
                <w:sz w:val="24"/>
                <w:szCs w:val="24"/>
              </w:rPr>
              <w:t>技术、服务要求“★”号条款</w:t>
            </w:r>
          </w:p>
        </w:tc>
        <w:tc>
          <w:tcPr>
            <w:tcW w:w="2877"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投标响应内容对应简述</w:t>
            </w:r>
          </w:p>
        </w:tc>
        <w:tc>
          <w:tcPr>
            <w:tcW w:w="1509"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偏离说明</w:t>
            </w:r>
          </w:p>
        </w:tc>
        <w:tc>
          <w:tcPr>
            <w:tcW w:w="1619" w:type="dxa"/>
            <w:shd w:val="clear" w:color="auto" w:fill="F2F2F2"/>
            <w:vAlign w:val="top"/>
          </w:tcPr>
          <w:p>
            <w:pPr>
              <w:jc w:val="center"/>
              <w:rPr>
                <w:rFonts w:ascii="宋体" w:hAnsi="宋体" w:cs="仿宋_GB2312"/>
                <w:sz w:val="24"/>
                <w:szCs w:val="24"/>
              </w:rPr>
            </w:pPr>
            <w:r>
              <w:rPr>
                <w:rFonts w:hint="eastAsia" w:ascii="宋体" w:hAnsi="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1</w:t>
            </w:r>
          </w:p>
        </w:tc>
        <w:tc>
          <w:tcPr>
            <w:tcW w:w="2767" w:type="dxa"/>
            <w:vAlign w:val="center"/>
          </w:tcPr>
          <w:p>
            <w:pPr>
              <w:jc w:val="center"/>
              <w:rPr>
                <w:rFonts w:ascii="宋体" w:hAnsi="宋体" w:cs="仿宋_GB2312"/>
                <w:sz w:val="24"/>
                <w:szCs w:val="24"/>
              </w:rPr>
            </w:pPr>
          </w:p>
        </w:tc>
        <w:tc>
          <w:tcPr>
            <w:tcW w:w="2877" w:type="dxa"/>
            <w:vAlign w:val="center"/>
          </w:tcPr>
          <w:p>
            <w:pPr>
              <w:jc w:val="center"/>
              <w:rPr>
                <w:rFonts w:ascii="宋体" w:hAnsi="宋体" w:cs="仿宋_GB2312"/>
                <w:sz w:val="24"/>
                <w:szCs w:val="24"/>
              </w:rPr>
            </w:pPr>
          </w:p>
        </w:tc>
        <w:tc>
          <w:tcPr>
            <w:tcW w:w="150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2</w:t>
            </w:r>
          </w:p>
        </w:tc>
        <w:tc>
          <w:tcPr>
            <w:tcW w:w="2767" w:type="dxa"/>
            <w:vAlign w:val="center"/>
          </w:tcPr>
          <w:p>
            <w:pPr>
              <w:jc w:val="center"/>
              <w:rPr>
                <w:rFonts w:ascii="宋体" w:hAnsi="宋体" w:cs="仿宋_GB2312"/>
                <w:sz w:val="24"/>
                <w:szCs w:val="24"/>
              </w:rPr>
            </w:pPr>
          </w:p>
        </w:tc>
        <w:tc>
          <w:tcPr>
            <w:tcW w:w="2877" w:type="dxa"/>
            <w:vAlign w:val="center"/>
          </w:tcPr>
          <w:p>
            <w:pPr>
              <w:jc w:val="center"/>
              <w:rPr>
                <w:rFonts w:ascii="宋体" w:hAnsi="宋体" w:cs="仿宋_GB2312"/>
                <w:sz w:val="24"/>
                <w:szCs w:val="24"/>
              </w:rPr>
            </w:pPr>
          </w:p>
        </w:tc>
        <w:tc>
          <w:tcPr>
            <w:tcW w:w="150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3</w:t>
            </w:r>
          </w:p>
        </w:tc>
        <w:tc>
          <w:tcPr>
            <w:tcW w:w="2767" w:type="dxa"/>
            <w:vAlign w:val="center"/>
          </w:tcPr>
          <w:p>
            <w:pPr>
              <w:jc w:val="center"/>
              <w:rPr>
                <w:rFonts w:ascii="宋体" w:hAnsi="宋体" w:cs="仿宋_GB2312"/>
                <w:sz w:val="24"/>
                <w:szCs w:val="24"/>
              </w:rPr>
            </w:pPr>
          </w:p>
        </w:tc>
        <w:tc>
          <w:tcPr>
            <w:tcW w:w="2877" w:type="dxa"/>
            <w:vAlign w:val="center"/>
          </w:tcPr>
          <w:p>
            <w:pPr>
              <w:jc w:val="center"/>
              <w:rPr>
                <w:rFonts w:ascii="宋体" w:hAnsi="宋体" w:cs="仿宋_GB2312"/>
                <w:sz w:val="24"/>
                <w:szCs w:val="24"/>
              </w:rPr>
            </w:pPr>
          </w:p>
        </w:tc>
        <w:tc>
          <w:tcPr>
            <w:tcW w:w="150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4</w:t>
            </w:r>
          </w:p>
        </w:tc>
        <w:tc>
          <w:tcPr>
            <w:tcW w:w="2767" w:type="dxa"/>
            <w:vAlign w:val="center"/>
          </w:tcPr>
          <w:p>
            <w:pPr>
              <w:jc w:val="center"/>
              <w:rPr>
                <w:rFonts w:ascii="宋体" w:hAnsi="宋体" w:cs="仿宋_GB2312"/>
                <w:sz w:val="24"/>
                <w:szCs w:val="24"/>
              </w:rPr>
            </w:pPr>
          </w:p>
        </w:tc>
        <w:tc>
          <w:tcPr>
            <w:tcW w:w="2877" w:type="dxa"/>
            <w:vAlign w:val="center"/>
          </w:tcPr>
          <w:p>
            <w:pPr>
              <w:jc w:val="center"/>
              <w:rPr>
                <w:rFonts w:ascii="宋体" w:hAnsi="宋体" w:cs="仿宋_GB2312"/>
                <w:sz w:val="24"/>
                <w:szCs w:val="24"/>
              </w:rPr>
            </w:pPr>
          </w:p>
        </w:tc>
        <w:tc>
          <w:tcPr>
            <w:tcW w:w="150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5</w:t>
            </w:r>
          </w:p>
        </w:tc>
        <w:tc>
          <w:tcPr>
            <w:tcW w:w="2767" w:type="dxa"/>
            <w:vAlign w:val="center"/>
          </w:tcPr>
          <w:p>
            <w:pPr>
              <w:jc w:val="center"/>
              <w:rPr>
                <w:rFonts w:ascii="宋体" w:hAnsi="宋体" w:cs="仿宋_GB2312"/>
                <w:sz w:val="24"/>
                <w:szCs w:val="24"/>
              </w:rPr>
            </w:pPr>
          </w:p>
        </w:tc>
        <w:tc>
          <w:tcPr>
            <w:tcW w:w="2877" w:type="dxa"/>
            <w:vAlign w:val="center"/>
          </w:tcPr>
          <w:p>
            <w:pPr>
              <w:jc w:val="center"/>
              <w:rPr>
                <w:rFonts w:ascii="宋体" w:hAnsi="宋体" w:cs="仿宋_GB2312"/>
                <w:sz w:val="24"/>
                <w:szCs w:val="24"/>
              </w:rPr>
            </w:pPr>
          </w:p>
        </w:tc>
        <w:tc>
          <w:tcPr>
            <w:tcW w:w="150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6</w:t>
            </w:r>
          </w:p>
        </w:tc>
        <w:tc>
          <w:tcPr>
            <w:tcW w:w="2767" w:type="dxa"/>
            <w:vAlign w:val="center"/>
          </w:tcPr>
          <w:p>
            <w:pPr>
              <w:jc w:val="center"/>
              <w:rPr>
                <w:rFonts w:ascii="宋体" w:hAnsi="宋体" w:cs="仿宋_GB2312"/>
                <w:sz w:val="24"/>
                <w:szCs w:val="24"/>
              </w:rPr>
            </w:pPr>
          </w:p>
        </w:tc>
        <w:tc>
          <w:tcPr>
            <w:tcW w:w="2877" w:type="dxa"/>
            <w:vAlign w:val="center"/>
          </w:tcPr>
          <w:p>
            <w:pPr>
              <w:jc w:val="center"/>
              <w:rPr>
                <w:rFonts w:ascii="宋体" w:hAnsi="宋体" w:cs="仿宋_GB2312"/>
                <w:sz w:val="24"/>
                <w:szCs w:val="24"/>
              </w:rPr>
            </w:pPr>
          </w:p>
        </w:tc>
        <w:tc>
          <w:tcPr>
            <w:tcW w:w="150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cs="仿宋_GB2312"/>
                <w:sz w:val="24"/>
                <w:szCs w:val="24"/>
              </w:rPr>
            </w:pPr>
            <w:r>
              <w:rPr>
                <w:rFonts w:hint="eastAsia" w:ascii="宋体" w:hAnsi="宋体" w:cs="仿宋_GB2312"/>
                <w:sz w:val="24"/>
                <w:szCs w:val="24"/>
              </w:rPr>
              <w:t>…</w:t>
            </w:r>
          </w:p>
        </w:tc>
        <w:tc>
          <w:tcPr>
            <w:tcW w:w="2767" w:type="dxa"/>
            <w:vAlign w:val="center"/>
          </w:tcPr>
          <w:p>
            <w:pPr>
              <w:jc w:val="center"/>
              <w:rPr>
                <w:rFonts w:ascii="宋体" w:hAnsi="宋体" w:cs="仿宋_GB2312"/>
                <w:sz w:val="24"/>
                <w:szCs w:val="24"/>
              </w:rPr>
            </w:pPr>
          </w:p>
        </w:tc>
        <w:tc>
          <w:tcPr>
            <w:tcW w:w="2877" w:type="dxa"/>
            <w:vAlign w:val="center"/>
          </w:tcPr>
          <w:p>
            <w:pPr>
              <w:jc w:val="center"/>
              <w:rPr>
                <w:rFonts w:ascii="宋体" w:hAnsi="宋体" w:cs="仿宋_GB2312"/>
                <w:sz w:val="24"/>
                <w:szCs w:val="24"/>
              </w:rPr>
            </w:pPr>
          </w:p>
        </w:tc>
        <w:tc>
          <w:tcPr>
            <w:tcW w:w="1509" w:type="dxa"/>
            <w:vAlign w:val="center"/>
          </w:tcPr>
          <w:p>
            <w:pPr>
              <w:jc w:val="center"/>
              <w:rPr>
                <w:rFonts w:ascii="宋体" w:hAnsi="宋体" w:cs="仿宋_GB2312"/>
                <w:sz w:val="24"/>
                <w:szCs w:val="24"/>
              </w:rPr>
            </w:pPr>
          </w:p>
        </w:tc>
        <w:tc>
          <w:tcPr>
            <w:tcW w:w="1619" w:type="dxa"/>
            <w:vAlign w:val="center"/>
          </w:tcPr>
          <w:p>
            <w:pPr>
              <w:jc w:val="center"/>
              <w:rPr>
                <w:rFonts w:ascii="宋体" w:hAnsi="宋体" w:cs="仿宋_GB2312"/>
                <w:sz w:val="24"/>
                <w:szCs w:val="24"/>
              </w:rPr>
            </w:pPr>
          </w:p>
        </w:tc>
      </w:tr>
    </w:tbl>
    <w:p>
      <w:pPr>
        <w:spacing w:line="360" w:lineRule="auto"/>
        <w:ind w:left="936" w:hanging="936" w:hangingChars="390"/>
        <w:jc w:val="left"/>
        <w:rPr>
          <w:rFonts w:ascii="宋体" w:hAnsi="宋体" w:cs="Corbel"/>
          <w:sz w:val="24"/>
          <w:szCs w:val="24"/>
        </w:rPr>
      </w:pPr>
      <w:r>
        <w:rPr>
          <w:rFonts w:hint="eastAsia" w:ascii="宋体" w:hAnsi="宋体" w:cs="Corbel"/>
          <w:sz w:val="24"/>
          <w:szCs w:val="24"/>
        </w:rPr>
        <w:t>说明：1．投标人应按招标文件第三章“项目技术、服务及商务要求”中技术、服务要求</w:t>
      </w:r>
      <w:r>
        <w:rPr>
          <w:rFonts w:hint="eastAsia" w:ascii="Times New Roman" w:hAnsi="宋体" w:cs="Times New Roman"/>
          <w:sz w:val="24"/>
          <w:szCs w:val="24"/>
        </w:rPr>
        <w:t>“★”号</w:t>
      </w:r>
      <w:r>
        <w:rPr>
          <w:rFonts w:hint="eastAsia" w:ascii="宋体" w:hAnsi="宋体" w:cs="Corbel"/>
          <w:sz w:val="24"/>
          <w:szCs w:val="24"/>
        </w:rPr>
        <w:t>条款进行逐项说明是否满足要求，如有偏离,投标人应详细说明。未按照要求填写此表或仅注明“符合”、“满足”的，</w:t>
      </w:r>
      <w:r>
        <w:rPr>
          <w:rFonts w:hint="eastAsia" w:ascii="宋体" w:hAnsi="宋体" w:cs="Times New Roman"/>
          <w:sz w:val="24"/>
          <w:szCs w:val="24"/>
        </w:rPr>
        <w:t>导致的后果由投标人自行承担。</w:t>
      </w:r>
    </w:p>
    <w:p>
      <w:pPr>
        <w:spacing w:line="360" w:lineRule="auto"/>
        <w:ind w:left="1006" w:leftChars="306" w:hanging="364" w:hangingChars="152"/>
        <w:jc w:val="left"/>
        <w:rPr>
          <w:rFonts w:ascii="宋体" w:hAnsi="宋体" w:cs="Corbel"/>
          <w:sz w:val="24"/>
          <w:szCs w:val="24"/>
        </w:rPr>
      </w:pPr>
      <w:r>
        <w:rPr>
          <w:rFonts w:hint="eastAsia" w:ascii="宋体" w:hAnsi="宋体" w:cs="Corbel"/>
          <w:sz w:val="24"/>
          <w:szCs w:val="24"/>
        </w:rPr>
        <w:t>2．投标人提供的相关证明文件对应的页码填写到上表“投标文件对应的页码”中。如未提供页码或内容页码完全不一致的，</w:t>
      </w:r>
      <w:r>
        <w:rPr>
          <w:rFonts w:hint="eastAsia" w:ascii="宋体" w:hAnsi="宋体" w:cs="Times New Roman"/>
          <w:sz w:val="24"/>
          <w:szCs w:val="24"/>
        </w:rPr>
        <w:t>导致的后果由投标人自行承担。</w:t>
      </w:r>
      <w:bookmarkEnd w:id="255"/>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bCs/>
          <w:sz w:val="24"/>
          <w:szCs w:val="21"/>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cs="Times New Roman"/>
          <w:b/>
          <w:bCs/>
          <w:sz w:val="24"/>
          <w:szCs w:val="21"/>
        </w:rPr>
        <w:t>投标</w:t>
      </w:r>
      <w:r>
        <w:rPr>
          <w:rFonts w:hint="eastAsia" w:hAnsi="宋体"/>
          <w:b/>
          <w:bCs/>
          <w:sz w:val="24"/>
        </w:rPr>
        <w:t>时间：</w:t>
      </w:r>
    </w:p>
    <w:p>
      <w:r>
        <w:br w:type="page"/>
      </w:r>
    </w:p>
    <w:p>
      <w:pPr>
        <w:pStyle w:val="3"/>
        <w:numPr>
          <w:ilvl w:val="0"/>
          <w:numId w:val="56"/>
        </w:numPr>
        <w:spacing w:before="100" w:beforeAutospacing="1" w:afterLines="50" w:line="360" w:lineRule="auto"/>
        <w:ind w:left="1610" w:hanging="1610"/>
        <w:rPr>
          <w:rFonts w:ascii="宋体" w:hAnsi="宋体"/>
        </w:rPr>
      </w:pPr>
      <w:bookmarkStart w:id="256" w:name="_Toc494665971"/>
      <w:bookmarkStart w:id="257" w:name="_Toc494745338"/>
      <w:bookmarkStart w:id="258" w:name="_Toc494665574"/>
      <w:bookmarkStart w:id="259" w:name="_Toc494721121"/>
      <w:bookmarkStart w:id="260" w:name="_Toc494665021"/>
      <w:bookmarkStart w:id="261" w:name="_Toc494702291"/>
      <w:bookmarkStart w:id="262" w:name="_Toc497459221"/>
      <w:r>
        <w:rPr>
          <w:rFonts w:hint="eastAsia" w:ascii="宋体" w:hAnsi="宋体"/>
        </w:rPr>
        <w:t>技术、服务评议对照表</w:t>
      </w:r>
      <w:bookmarkEnd w:id="256"/>
      <w:bookmarkEnd w:id="257"/>
      <w:bookmarkEnd w:id="258"/>
      <w:bookmarkEnd w:id="259"/>
      <w:bookmarkEnd w:id="260"/>
      <w:bookmarkEnd w:id="261"/>
      <w:bookmarkEnd w:id="262"/>
    </w:p>
    <w:p>
      <w:pPr>
        <w:spacing w:line="360" w:lineRule="auto"/>
        <w:jc w:val="left"/>
        <w:rPr>
          <w:rFonts w:hAnsi="宋体"/>
          <w:b/>
          <w:sz w:val="24"/>
        </w:rPr>
      </w:pPr>
      <w:r>
        <w:rPr>
          <w:rFonts w:hint="eastAsia" w:hAnsi="宋体"/>
          <w:b/>
          <w:sz w:val="24"/>
        </w:rPr>
        <w:t>投标人：</w:t>
      </w:r>
    </w:p>
    <w:p>
      <w:pPr>
        <w:spacing w:line="360" w:lineRule="auto"/>
        <w:jc w:val="left"/>
        <w:rPr>
          <w:rFonts w:hAnsi="宋体"/>
          <w:b/>
          <w:sz w:val="24"/>
        </w:rPr>
      </w:pPr>
      <w:r>
        <w:rPr>
          <w:rFonts w:hint="eastAsia" w:ascii="宋体" w:hAnsi="宋体" w:cs="Times New Roman"/>
          <w:b/>
          <w:sz w:val="24"/>
          <w:szCs w:val="21"/>
        </w:rPr>
        <w:t>项目编号：</w:t>
      </w:r>
      <w:r>
        <w:rPr>
          <w:rFonts w:hint="eastAsia" w:ascii="宋体" w:hAnsi="宋体" w:cs="Times New Roman"/>
          <w:b/>
          <w:bCs/>
          <w:sz w:val="24"/>
          <w:szCs w:val="21"/>
        </w:rPr>
        <w:t xml:space="preserve">                所投包号：</w:t>
      </w:r>
    </w:p>
    <w:tbl>
      <w:tblPr>
        <w:tblStyle w:val="14"/>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2389"/>
        <w:gridCol w:w="3227"/>
        <w:gridCol w:w="1256"/>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59" w:type="dxa"/>
            <w:shd w:val="clear" w:color="auto" w:fill="F2F2F2"/>
            <w:vAlign w:val="center"/>
          </w:tcPr>
          <w:p>
            <w:pPr>
              <w:ind w:left="-37" w:leftChars="-18" w:right="-48" w:rightChars="-23"/>
              <w:jc w:val="center"/>
              <w:rPr>
                <w:rFonts w:ascii="宋体" w:hAnsi="宋体" w:cs="仿宋_GB2312"/>
                <w:sz w:val="24"/>
                <w:szCs w:val="24"/>
              </w:rPr>
            </w:pPr>
            <w:r>
              <w:rPr>
                <w:rFonts w:hint="eastAsia" w:ascii="宋体" w:hAnsi="宋体" w:cs="仿宋_GB2312"/>
                <w:sz w:val="24"/>
                <w:szCs w:val="24"/>
              </w:rPr>
              <w:t>序号</w:t>
            </w:r>
          </w:p>
        </w:tc>
        <w:tc>
          <w:tcPr>
            <w:tcW w:w="2389"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招标文件技术、服务评分标准</w:t>
            </w:r>
          </w:p>
        </w:tc>
        <w:tc>
          <w:tcPr>
            <w:tcW w:w="3227"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投标响应内容对应简述</w:t>
            </w:r>
          </w:p>
        </w:tc>
        <w:tc>
          <w:tcPr>
            <w:tcW w:w="1256" w:type="dxa"/>
            <w:shd w:val="clear" w:color="auto" w:fill="F2F2F2"/>
            <w:vAlign w:val="center"/>
          </w:tcPr>
          <w:p>
            <w:pPr>
              <w:jc w:val="center"/>
              <w:rPr>
                <w:rFonts w:ascii="宋体" w:hAnsi="宋体" w:cs="仿宋_GB2312"/>
                <w:sz w:val="24"/>
                <w:szCs w:val="24"/>
              </w:rPr>
            </w:pPr>
            <w:r>
              <w:rPr>
                <w:rFonts w:hint="eastAsia" w:ascii="宋体" w:hAnsi="宋体" w:cs="仿宋_GB2312"/>
                <w:sz w:val="24"/>
                <w:szCs w:val="24"/>
              </w:rPr>
              <w:t>偏离说明</w:t>
            </w:r>
          </w:p>
        </w:tc>
        <w:tc>
          <w:tcPr>
            <w:tcW w:w="1983" w:type="dxa"/>
            <w:shd w:val="clear" w:color="auto" w:fill="F2F2F2"/>
            <w:vAlign w:val="top"/>
          </w:tcPr>
          <w:p>
            <w:pPr>
              <w:jc w:val="center"/>
              <w:rPr>
                <w:rFonts w:ascii="宋体" w:hAnsi="宋体" w:cs="仿宋_GB2312"/>
                <w:sz w:val="24"/>
                <w:szCs w:val="24"/>
              </w:rPr>
            </w:pPr>
            <w:r>
              <w:rPr>
                <w:rFonts w:hint="eastAsia" w:ascii="宋体" w:hAnsi="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9" w:type="dxa"/>
            <w:vAlign w:val="center"/>
          </w:tcPr>
          <w:p>
            <w:pPr>
              <w:numPr>
                <w:ilvl w:val="0"/>
                <w:numId w:val="61"/>
              </w:numPr>
              <w:jc w:val="center"/>
              <w:rPr>
                <w:rFonts w:ascii="宋体" w:hAnsi="宋体" w:cs="仿宋_GB2312"/>
                <w:sz w:val="24"/>
                <w:szCs w:val="24"/>
              </w:rPr>
            </w:pPr>
          </w:p>
        </w:tc>
        <w:tc>
          <w:tcPr>
            <w:tcW w:w="2389" w:type="dxa"/>
            <w:vAlign w:val="center"/>
          </w:tcPr>
          <w:p>
            <w:pPr>
              <w:jc w:val="center"/>
              <w:rPr>
                <w:rFonts w:ascii="宋体" w:hAnsi="宋体" w:cs="仿宋_GB2312"/>
                <w:sz w:val="24"/>
                <w:szCs w:val="24"/>
              </w:rPr>
            </w:pPr>
          </w:p>
        </w:tc>
        <w:tc>
          <w:tcPr>
            <w:tcW w:w="3227" w:type="dxa"/>
            <w:vAlign w:val="center"/>
          </w:tcPr>
          <w:p>
            <w:pPr>
              <w:jc w:val="center"/>
              <w:rPr>
                <w:rFonts w:ascii="宋体" w:hAnsi="宋体" w:cs="仿宋_GB2312"/>
                <w:sz w:val="24"/>
                <w:szCs w:val="24"/>
              </w:rPr>
            </w:pPr>
          </w:p>
        </w:tc>
        <w:tc>
          <w:tcPr>
            <w:tcW w:w="1256" w:type="dxa"/>
            <w:vAlign w:val="center"/>
          </w:tcPr>
          <w:p>
            <w:pPr>
              <w:jc w:val="center"/>
              <w:rPr>
                <w:rFonts w:ascii="宋体" w:hAnsi="宋体" w:cs="仿宋_GB2312"/>
                <w:sz w:val="24"/>
                <w:szCs w:val="24"/>
              </w:rPr>
            </w:pPr>
          </w:p>
        </w:tc>
        <w:tc>
          <w:tcPr>
            <w:tcW w:w="1983"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9" w:type="dxa"/>
            <w:vAlign w:val="center"/>
          </w:tcPr>
          <w:p>
            <w:pPr>
              <w:numPr>
                <w:ilvl w:val="0"/>
                <w:numId w:val="61"/>
              </w:numPr>
              <w:jc w:val="center"/>
              <w:rPr>
                <w:rFonts w:ascii="宋体" w:hAnsi="宋体" w:cs="仿宋_GB2312"/>
                <w:sz w:val="24"/>
                <w:szCs w:val="24"/>
              </w:rPr>
            </w:pPr>
          </w:p>
        </w:tc>
        <w:tc>
          <w:tcPr>
            <w:tcW w:w="2389" w:type="dxa"/>
            <w:vAlign w:val="center"/>
          </w:tcPr>
          <w:p>
            <w:pPr>
              <w:jc w:val="center"/>
              <w:rPr>
                <w:rFonts w:ascii="宋体" w:hAnsi="宋体" w:cs="仿宋_GB2312"/>
                <w:sz w:val="24"/>
                <w:szCs w:val="24"/>
              </w:rPr>
            </w:pPr>
          </w:p>
        </w:tc>
        <w:tc>
          <w:tcPr>
            <w:tcW w:w="3227" w:type="dxa"/>
            <w:vAlign w:val="center"/>
          </w:tcPr>
          <w:p>
            <w:pPr>
              <w:jc w:val="center"/>
              <w:rPr>
                <w:rFonts w:ascii="宋体" w:hAnsi="宋体" w:cs="仿宋_GB2312"/>
                <w:sz w:val="24"/>
                <w:szCs w:val="24"/>
              </w:rPr>
            </w:pPr>
          </w:p>
        </w:tc>
        <w:tc>
          <w:tcPr>
            <w:tcW w:w="1256" w:type="dxa"/>
            <w:vAlign w:val="center"/>
          </w:tcPr>
          <w:p>
            <w:pPr>
              <w:jc w:val="center"/>
              <w:rPr>
                <w:rFonts w:ascii="宋体" w:hAnsi="宋体" w:cs="仿宋_GB2312"/>
                <w:sz w:val="24"/>
                <w:szCs w:val="24"/>
              </w:rPr>
            </w:pPr>
          </w:p>
        </w:tc>
        <w:tc>
          <w:tcPr>
            <w:tcW w:w="1983"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9" w:type="dxa"/>
            <w:vAlign w:val="center"/>
          </w:tcPr>
          <w:p>
            <w:pPr>
              <w:numPr>
                <w:ilvl w:val="0"/>
                <w:numId w:val="61"/>
              </w:numPr>
              <w:jc w:val="center"/>
              <w:rPr>
                <w:rFonts w:ascii="宋体" w:hAnsi="宋体" w:cs="仿宋_GB2312"/>
                <w:sz w:val="24"/>
                <w:szCs w:val="24"/>
              </w:rPr>
            </w:pPr>
          </w:p>
        </w:tc>
        <w:tc>
          <w:tcPr>
            <w:tcW w:w="2389" w:type="dxa"/>
            <w:vAlign w:val="center"/>
          </w:tcPr>
          <w:p>
            <w:pPr>
              <w:jc w:val="center"/>
              <w:rPr>
                <w:rFonts w:ascii="宋体" w:hAnsi="宋体" w:cs="仿宋_GB2312"/>
                <w:sz w:val="24"/>
                <w:szCs w:val="24"/>
              </w:rPr>
            </w:pPr>
          </w:p>
        </w:tc>
        <w:tc>
          <w:tcPr>
            <w:tcW w:w="3227" w:type="dxa"/>
            <w:vAlign w:val="center"/>
          </w:tcPr>
          <w:p>
            <w:pPr>
              <w:jc w:val="center"/>
              <w:rPr>
                <w:rFonts w:ascii="宋体" w:hAnsi="宋体" w:cs="仿宋_GB2312"/>
                <w:sz w:val="24"/>
                <w:szCs w:val="24"/>
              </w:rPr>
            </w:pPr>
          </w:p>
        </w:tc>
        <w:tc>
          <w:tcPr>
            <w:tcW w:w="1256" w:type="dxa"/>
            <w:vAlign w:val="center"/>
          </w:tcPr>
          <w:p>
            <w:pPr>
              <w:jc w:val="center"/>
              <w:rPr>
                <w:rFonts w:ascii="宋体" w:hAnsi="宋体" w:cs="仿宋_GB2312"/>
                <w:sz w:val="24"/>
                <w:szCs w:val="24"/>
              </w:rPr>
            </w:pPr>
          </w:p>
        </w:tc>
        <w:tc>
          <w:tcPr>
            <w:tcW w:w="1983"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9" w:type="dxa"/>
            <w:vAlign w:val="center"/>
          </w:tcPr>
          <w:p>
            <w:pPr>
              <w:numPr>
                <w:ilvl w:val="0"/>
                <w:numId w:val="61"/>
              </w:numPr>
              <w:jc w:val="center"/>
              <w:rPr>
                <w:rFonts w:ascii="宋体" w:hAnsi="宋体" w:cs="仿宋_GB2312"/>
                <w:sz w:val="24"/>
                <w:szCs w:val="24"/>
              </w:rPr>
            </w:pPr>
          </w:p>
        </w:tc>
        <w:tc>
          <w:tcPr>
            <w:tcW w:w="2389" w:type="dxa"/>
            <w:vAlign w:val="center"/>
          </w:tcPr>
          <w:p>
            <w:pPr>
              <w:jc w:val="center"/>
              <w:rPr>
                <w:rFonts w:ascii="宋体" w:hAnsi="宋体" w:cs="仿宋_GB2312"/>
                <w:sz w:val="24"/>
                <w:szCs w:val="24"/>
              </w:rPr>
            </w:pPr>
          </w:p>
        </w:tc>
        <w:tc>
          <w:tcPr>
            <w:tcW w:w="3227" w:type="dxa"/>
            <w:vAlign w:val="center"/>
          </w:tcPr>
          <w:p>
            <w:pPr>
              <w:jc w:val="center"/>
              <w:rPr>
                <w:rFonts w:ascii="宋体" w:hAnsi="宋体" w:cs="仿宋_GB2312"/>
                <w:sz w:val="24"/>
                <w:szCs w:val="24"/>
              </w:rPr>
            </w:pPr>
          </w:p>
        </w:tc>
        <w:tc>
          <w:tcPr>
            <w:tcW w:w="1256" w:type="dxa"/>
            <w:vAlign w:val="center"/>
          </w:tcPr>
          <w:p>
            <w:pPr>
              <w:jc w:val="center"/>
              <w:rPr>
                <w:rFonts w:ascii="宋体" w:hAnsi="宋体" w:cs="仿宋_GB2312"/>
                <w:sz w:val="24"/>
                <w:szCs w:val="24"/>
              </w:rPr>
            </w:pPr>
          </w:p>
        </w:tc>
        <w:tc>
          <w:tcPr>
            <w:tcW w:w="1983"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9" w:type="dxa"/>
            <w:vAlign w:val="center"/>
          </w:tcPr>
          <w:p>
            <w:pPr>
              <w:numPr>
                <w:ilvl w:val="0"/>
                <w:numId w:val="61"/>
              </w:numPr>
              <w:jc w:val="center"/>
              <w:rPr>
                <w:rFonts w:ascii="宋体" w:hAnsi="宋体" w:cs="仿宋_GB2312"/>
                <w:sz w:val="24"/>
                <w:szCs w:val="24"/>
              </w:rPr>
            </w:pPr>
          </w:p>
        </w:tc>
        <w:tc>
          <w:tcPr>
            <w:tcW w:w="2389" w:type="dxa"/>
            <w:vAlign w:val="center"/>
          </w:tcPr>
          <w:p>
            <w:pPr>
              <w:jc w:val="center"/>
              <w:rPr>
                <w:rFonts w:ascii="宋体" w:hAnsi="宋体" w:cs="仿宋_GB2312"/>
                <w:sz w:val="24"/>
                <w:szCs w:val="24"/>
              </w:rPr>
            </w:pPr>
          </w:p>
        </w:tc>
        <w:tc>
          <w:tcPr>
            <w:tcW w:w="3227" w:type="dxa"/>
            <w:vAlign w:val="center"/>
          </w:tcPr>
          <w:p>
            <w:pPr>
              <w:jc w:val="center"/>
              <w:rPr>
                <w:rFonts w:ascii="宋体" w:hAnsi="宋体" w:cs="仿宋_GB2312"/>
                <w:sz w:val="24"/>
                <w:szCs w:val="24"/>
              </w:rPr>
            </w:pPr>
          </w:p>
        </w:tc>
        <w:tc>
          <w:tcPr>
            <w:tcW w:w="1256" w:type="dxa"/>
            <w:vAlign w:val="center"/>
          </w:tcPr>
          <w:p>
            <w:pPr>
              <w:jc w:val="center"/>
              <w:rPr>
                <w:rFonts w:ascii="宋体" w:hAnsi="宋体" w:cs="仿宋_GB2312"/>
                <w:sz w:val="24"/>
                <w:szCs w:val="24"/>
              </w:rPr>
            </w:pPr>
          </w:p>
        </w:tc>
        <w:tc>
          <w:tcPr>
            <w:tcW w:w="1983"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9" w:type="dxa"/>
            <w:vAlign w:val="center"/>
          </w:tcPr>
          <w:p>
            <w:pPr>
              <w:numPr>
                <w:ilvl w:val="0"/>
                <w:numId w:val="61"/>
              </w:numPr>
              <w:jc w:val="center"/>
              <w:rPr>
                <w:rFonts w:ascii="宋体" w:hAnsi="宋体" w:cs="仿宋_GB2312"/>
                <w:sz w:val="24"/>
                <w:szCs w:val="24"/>
              </w:rPr>
            </w:pPr>
          </w:p>
        </w:tc>
        <w:tc>
          <w:tcPr>
            <w:tcW w:w="2389" w:type="dxa"/>
            <w:vAlign w:val="center"/>
          </w:tcPr>
          <w:p>
            <w:pPr>
              <w:jc w:val="center"/>
              <w:rPr>
                <w:rFonts w:ascii="宋体" w:hAnsi="宋体" w:cs="仿宋_GB2312"/>
                <w:sz w:val="24"/>
                <w:szCs w:val="24"/>
              </w:rPr>
            </w:pPr>
          </w:p>
        </w:tc>
        <w:tc>
          <w:tcPr>
            <w:tcW w:w="3227" w:type="dxa"/>
            <w:vAlign w:val="center"/>
          </w:tcPr>
          <w:p>
            <w:pPr>
              <w:jc w:val="center"/>
              <w:rPr>
                <w:rFonts w:ascii="宋体" w:hAnsi="宋体" w:cs="仿宋_GB2312"/>
                <w:sz w:val="24"/>
                <w:szCs w:val="24"/>
              </w:rPr>
            </w:pPr>
          </w:p>
        </w:tc>
        <w:tc>
          <w:tcPr>
            <w:tcW w:w="1256" w:type="dxa"/>
            <w:vAlign w:val="center"/>
          </w:tcPr>
          <w:p>
            <w:pPr>
              <w:jc w:val="center"/>
              <w:rPr>
                <w:rFonts w:ascii="宋体" w:hAnsi="宋体" w:cs="仿宋_GB2312"/>
                <w:sz w:val="24"/>
                <w:szCs w:val="24"/>
              </w:rPr>
            </w:pPr>
          </w:p>
        </w:tc>
        <w:tc>
          <w:tcPr>
            <w:tcW w:w="1983" w:type="dxa"/>
            <w:vAlign w:val="center"/>
          </w:tcPr>
          <w:p>
            <w:pPr>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9" w:type="dxa"/>
            <w:vAlign w:val="center"/>
          </w:tcPr>
          <w:p>
            <w:pPr>
              <w:jc w:val="center"/>
              <w:rPr>
                <w:rFonts w:ascii="宋体" w:hAnsi="宋体" w:cs="仿宋_GB2312"/>
                <w:sz w:val="24"/>
                <w:szCs w:val="24"/>
              </w:rPr>
            </w:pPr>
            <w:r>
              <w:rPr>
                <w:rFonts w:hint="eastAsia" w:ascii="宋体" w:hAnsi="宋体" w:cs="仿宋_GB2312"/>
                <w:sz w:val="24"/>
                <w:szCs w:val="24"/>
              </w:rPr>
              <w:t>…</w:t>
            </w:r>
          </w:p>
        </w:tc>
        <w:tc>
          <w:tcPr>
            <w:tcW w:w="2389" w:type="dxa"/>
            <w:vAlign w:val="center"/>
          </w:tcPr>
          <w:p>
            <w:pPr>
              <w:jc w:val="center"/>
              <w:rPr>
                <w:rFonts w:ascii="宋体" w:hAnsi="宋体" w:cs="仿宋_GB2312"/>
                <w:sz w:val="24"/>
                <w:szCs w:val="24"/>
              </w:rPr>
            </w:pPr>
          </w:p>
        </w:tc>
        <w:tc>
          <w:tcPr>
            <w:tcW w:w="3227" w:type="dxa"/>
            <w:vAlign w:val="center"/>
          </w:tcPr>
          <w:p>
            <w:pPr>
              <w:jc w:val="center"/>
              <w:rPr>
                <w:rFonts w:ascii="宋体" w:hAnsi="宋体" w:cs="仿宋_GB2312"/>
                <w:sz w:val="24"/>
                <w:szCs w:val="24"/>
              </w:rPr>
            </w:pPr>
          </w:p>
        </w:tc>
        <w:tc>
          <w:tcPr>
            <w:tcW w:w="1256" w:type="dxa"/>
            <w:vAlign w:val="center"/>
          </w:tcPr>
          <w:p>
            <w:pPr>
              <w:jc w:val="center"/>
              <w:rPr>
                <w:rFonts w:ascii="宋体" w:hAnsi="宋体" w:cs="仿宋_GB2312"/>
                <w:sz w:val="24"/>
                <w:szCs w:val="24"/>
              </w:rPr>
            </w:pPr>
          </w:p>
        </w:tc>
        <w:tc>
          <w:tcPr>
            <w:tcW w:w="1983" w:type="dxa"/>
            <w:vAlign w:val="center"/>
          </w:tcPr>
          <w:p>
            <w:pPr>
              <w:jc w:val="center"/>
              <w:rPr>
                <w:rFonts w:ascii="宋体" w:hAnsi="宋体" w:cs="仿宋_GB2312"/>
                <w:sz w:val="24"/>
                <w:szCs w:val="24"/>
              </w:rPr>
            </w:pPr>
          </w:p>
        </w:tc>
      </w:tr>
    </w:tbl>
    <w:p>
      <w:pPr>
        <w:spacing w:line="360" w:lineRule="auto"/>
        <w:ind w:left="1092" w:hanging="1092" w:hangingChars="455"/>
        <w:jc w:val="left"/>
        <w:rPr>
          <w:rFonts w:ascii="宋体" w:hAnsi="宋体" w:cs="Corbel"/>
          <w:sz w:val="24"/>
          <w:szCs w:val="24"/>
        </w:rPr>
      </w:pPr>
      <w:r>
        <w:rPr>
          <w:rFonts w:hint="eastAsia" w:ascii="宋体" w:hAnsi="宋体" w:cs="Corbel"/>
          <w:sz w:val="24"/>
          <w:szCs w:val="24"/>
        </w:rPr>
        <w:t>说明：1．投标人应按招标文件第五章“评标方法、程序及标准”中“技术、服务评议”的评分标准逐项说明是否满足要求，如有偏离,投标人应详细说明。未按照要求填写此表或仅注明“符合”、“满足”的，</w:t>
      </w:r>
      <w:r>
        <w:rPr>
          <w:rFonts w:hint="eastAsia" w:ascii="宋体" w:hAnsi="宋体" w:cs="Times New Roman"/>
          <w:sz w:val="24"/>
          <w:szCs w:val="24"/>
        </w:rPr>
        <w:t>导致的后果由投标人自行承担。</w:t>
      </w:r>
    </w:p>
    <w:p>
      <w:pPr>
        <w:spacing w:line="360" w:lineRule="auto"/>
        <w:ind w:left="1006" w:leftChars="306" w:hanging="364" w:hangingChars="152"/>
        <w:jc w:val="left"/>
        <w:rPr>
          <w:rFonts w:ascii="宋体" w:hAnsi="宋体" w:cs="Corbel"/>
          <w:sz w:val="24"/>
          <w:szCs w:val="24"/>
        </w:rPr>
      </w:pPr>
      <w:r>
        <w:rPr>
          <w:rFonts w:hint="eastAsia" w:ascii="宋体" w:hAnsi="宋体" w:cs="Corbel"/>
          <w:sz w:val="24"/>
          <w:szCs w:val="24"/>
        </w:rPr>
        <w:t>2．投标人提供的相关证明文件对应的页码填写到上表“投标文件对应的页码”中。如未提供页码或内容页码完全不一致的，</w:t>
      </w:r>
      <w:r>
        <w:rPr>
          <w:rFonts w:hint="eastAsia" w:ascii="宋体" w:hAnsi="宋体" w:cs="Times New Roman"/>
          <w:sz w:val="24"/>
          <w:szCs w:val="24"/>
        </w:rPr>
        <w:t>导致的后果由投标人自行承担。</w:t>
      </w:r>
    </w:p>
    <w:p>
      <w:pPr>
        <w:adjustRightInd w:val="0"/>
        <w:snapToGrid w:val="0"/>
        <w:spacing w:line="300" w:lineRule="auto"/>
        <w:ind w:left="720" w:hanging="720" w:hangingChars="300"/>
        <w:rPr>
          <w:rFonts w:ascii="宋体" w:hAnsi="宋体" w:cs="Corbel"/>
          <w:sz w:val="24"/>
          <w:szCs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cs="Times New Roman"/>
          <w:b/>
          <w:bCs/>
          <w:sz w:val="24"/>
          <w:szCs w:val="21"/>
        </w:rPr>
        <w:t>投标人</w:t>
      </w:r>
      <w:r>
        <w:rPr>
          <w:rFonts w:hint="eastAsia" w:hAnsi="宋体"/>
          <w:b/>
          <w:bCs/>
          <w:sz w:val="24"/>
        </w:rPr>
        <w:t>授权代表（签字）：</w:t>
      </w:r>
    </w:p>
    <w:p>
      <w:pPr>
        <w:spacing w:before="100" w:beforeAutospacing="1" w:after="100" w:afterAutospacing="1" w:line="360" w:lineRule="auto"/>
        <w:ind w:firstLine="3316" w:firstLineChars="1382"/>
        <w:rPr>
          <w:rFonts w:hint="eastAsia" w:hAnsi="宋体"/>
          <w:b/>
          <w:bCs/>
          <w:sz w:val="24"/>
        </w:rPr>
      </w:pPr>
      <w:r>
        <w:rPr>
          <w:rFonts w:hint="eastAsia" w:ascii="宋体" w:hAnsi="宋体" w:cs="Times New Roman"/>
          <w:b/>
          <w:bCs/>
          <w:sz w:val="24"/>
          <w:szCs w:val="21"/>
        </w:rPr>
        <w:t>投标</w:t>
      </w:r>
      <w:r>
        <w:rPr>
          <w:rFonts w:hint="eastAsia" w:hAnsi="宋体"/>
          <w:b/>
          <w:bCs/>
          <w:sz w:val="24"/>
        </w:rPr>
        <w:t>时间：</w:t>
      </w:r>
    </w:p>
    <w:p>
      <w:pPr>
        <w:spacing w:before="100" w:beforeAutospacing="1" w:after="100" w:afterAutospacing="1" w:line="360" w:lineRule="auto"/>
        <w:ind w:firstLine="3316" w:firstLineChars="1382"/>
        <w:rPr>
          <w:rFonts w:hint="eastAsia" w:hAnsi="宋体"/>
          <w:b/>
          <w:bCs/>
          <w:sz w:val="24"/>
        </w:rPr>
      </w:pPr>
    </w:p>
    <w:p>
      <w:pPr>
        <w:pStyle w:val="3"/>
        <w:keepNext w:val="0"/>
        <w:keepLines w:val="0"/>
        <w:widowControl/>
        <w:suppressLineNumbers w:val="0"/>
        <w:shd w:val="clear" w:fill="FFFFFF"/>
        <w:spacing w:line="360" w:lineRule="auto"/>
        <w:ind w:left="1610" w:hanging="1610"/>
        <w:jc w:val="both"/>
        <w:rPr>
          <w:rFonts w:ascii="微软雅黑" w:hAnsi="微软雅黑" w:eastAsia="微软雅黑" w:cs="微软雅黑"/>
          <w:i w:val="0"/>
          <w:caps w:val="0"/>
          <w:color w:val="000000"/>
          <w:spacing w:val="0"/>
        </w:rPr>
      </w:pPr>
      <w:r>
        <w:rPr>
          <w:rFonts w:ascii="_5b8b_4f53" w:hAnsi="_5b8b_4f53" w:eastAsia="_5b8b_4f53" w:cs="_5b8b_4f53"/>
          <w:b/>
          <w:i w:val="0"/>
          <w:caps w:val="0"/>
          <w:color w:val="000000"/>
          <w:spacing w:val="0"/>
          <w:shd w:val="clear" w:fill="FFFFFF"/>
        </w:rPr>
        <w:t>附件二十二、</w:t>
      </w:r>
      <w:bookmarkStart w:id="263" w:name="_Toc534358746"/>
      <w:bookmarkEnd w:id="263"/>
      <w:r>
        <w:rPr>
          <w:rFonts w:hint="default" w:ascii="_5b8b_4f53" w:hAnsi="_5b8b_4f53" w:eastAsia="_5b8b_4f53" w:cs="_5b8b_4f53"/>
          <w:i w:val="0"/>
          <w:caps w:val="0"/>
          <w:color w:val="000000"/>
          <w:spacing w:val="0"/>
          <w:shd w:val="clear" w:fill="FFFFFF"/>
        </w:rPr>
        <w:t>投标人信用承诺书</w:t>
      </w:r>
    </w:p>
    <w:p>
      <w:pPr>
        <w:keepNext w:val="0"/>
        <w:keepLines w:val="0"/>
        <w:widowControl/>
        <w:suppressLineNumbers w:val="0"/>
        <w:shd w:val="clear" w:fill="FFFFFF"/>
        <w:spacing w:before="0" w:beforeAutospacing="1" w:after="0" w:afterAutospacing="1" w:line="360" w:lineRule="auto"/>
        <w:ind w:left="0" w:right="0" w:firstLine="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市场主体名称：</w:t>
      </w:r>
    </w:p>
    <w:p>
      <w:pPr>
        <w:keepNext w:val="0"/>
        <w:keepLines w:val="0"/>
        <w:widowControl/>
        <w:suppressLineNumbers w:val="0"/>
        <w:shd w:val="clear" w:fill="FFFFFF"/>
        <w:spacing w:before="0" w:beforeAutospacing="1" w:after="0" w:afterAutospacing="1" w:line="360" w:lineRule="auto"/>
        <w:ind w:left="0" w:right="0" w:firstLine="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证件类型：统一社会信用代码</w:t>
      </w:r>
    </w:p>
    <w:p>
      <w:pPr>
        <w:keepNext w:val="0"/>
        <w:keepLines w:val="0"/>
        <w:widowControl/>
        <w:suppressLineNumbers w:val="0"/>
        <w:shd w:val="clear" w:fill="FFFFFF"/>
        <w:spacing w:before="0" w:beforeAutospacing="1" w:after="0" w:afterAutospacing="1" w:line="360" w:lineRule="auto"/>
        <w:ind w:left="0" w:right="0" w:firstLine="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证件号码：</w:t>
      </w:r>
    </w:p>
    <w:p>
      <w:pPr>
        <w:keepNext w:val="0"/>
        <w:keepLines w:val="0"/>
        <w:widowControl/>
        <w:suppressLineNumbers w:val="0"/>
        <w:shd w:val="clear" w:fill="FFFFFF"/>
        <w:spacing w:before="0" w:beforeAutospacing="1" w:after="0" w:afterAutospacing="1" w:line="360" w:lineRule="auto"/>
        <w:ind w:left="0" w:right="0" w:firstLine="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行政区划代码：</w:t>
      </w:r>
    </w:p>
    <w:p>
      <w:pPr>
        <w:keepNext w:val="0"/>
        <w:keepLines w:val="0"/>
        <w:widowControl/>
        <w:suppressLineNumbers w:val="0"/>
        <w:shd w:val="clear" w:fill="FFFFFF"/>
        <w:spacing w:before="0" w:beforeAutospacing="1" w:after="0" w:afterAutospacing="1" w:line="360" w:lineRule="auto"/>
        <w:ind w:left="0" w:right="0" w:firstLine="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主管部门：</w:t>
      </w:r>
    </w:p>
    <w:p>
      <w:pPr>
        <w:keepNext w:val="0"/>
        <w:keepLines w:val="0"/>
        <w:widowControl/>
        <w:suppressLineNumbers w:val="0"/>
        <w:shd w:val="clear" w:fill="FFFFFF"/>
        <w:spacing w:before="0" w:beforeAutospacing="1" w:after="0" w:afterAutospacing="1" w:line="360" w:lineRule="auto"/>
        <w:ind w:left="0" w:right="0" w:firstLine="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承诺内容：</w:t>
      </w:r>
    </w:p>
    <w:p>
      <w:pPr>
        <w:keepNext w:val="0"/>
        <w:keepLines w:val="0"/>
        <w:widowControl/>
        <w:suppressLineNumbers w:val="0"/>
        <w:shd w:val="clear" w:fill="FFFFFF"/>
        <w:spacing w:before="0" w:beforeAutospacing="1" w:after="0" w:afterAutospacing="1" w:line="360" w:lineRule="auto"/>
        <w:ind w:left="0" w:right="0" w:firstLine="48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为维护公开、公平、公正的政府采购市场秩序，树立诚实守信的政府采购供应商形象，本单位自愿做出以下承诺：</w:t>
      </w:r>
    </w:p>
    <w:p>
      <w:pPr>
        <w:keepNext w:val="0"/>
        <w:keepLines w:val="0"/>
        <w:widowControl/>
        <w:suppressLineNumbers w:val="0"/>
        <w:shd w:val="clear" w:fill="FFFFFF"/>
        <w:spacing w:before="0" w:beforeAutospacing="1" w:after="0" w:afterAutospacing="1" w:line="540" w:lineRule="atLeast"/>
        <w:ind w:left="0" w:right="0" w:firstLine="48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一、承诺本单位严格遵守国家法律、法规和规章，全面履行应尽的责任和义务，全面做到履约守信，具备《政府采购法》第二十二条第一款规定的条件。</w:t>
      </w:r>
    </w:p>
    <w:p>
      <w:pPr>
        <w:keepNext w:val="0"/>
        <w:keepLines w:val="0"/>
        <w:widowControl/>
        <w:suppressLineNumbers w:val="0"/>
        <w:shd w:val="clear" w:fill="FFFFFF"/>
        <w:spacing w:before="0" w:beforeAutospacing="1" w:after="0" w:afterAutospacing="1" w:line="540" w:lineRule="atLeast"/>
        <w:ind w:left="0" w:right="0" w:firstLine="48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二、承诺本单位提供给注册登记部门、行业管理部门、司法部门、行业组织以及在政府采购活动中提交的所有资料均合法、真实、有效，无任何伪造、修改、虚假成份，并对所提供资料的真实性负责；</w:t>
      </w:r>
    </w:p>
    <w:p>
      <w:pPr>
        <w:keepNext w:val="0"/>
        <w:keepLines w:val="0"/>
        <w:widowControl/>
        <w:suppressLineNumbers w:val="0"/>
        <w:shd w:val="clear" w:fill="FFFFFF"/>
        <w:spacing w:before="0" w:beforeAutospacing="1" w:after="0" w:afterAutospacing="1" w:line="540" w:lineRule="atLeast"/>
        <w:ind w:left="0" w:right="0" w:firstLine="48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三、承诺本单位严格依法开展生产经营活动，主动接受行业监管，自愿接受依法开展的日常检查；违法失信经营后将自愿接受约束和惩戒，并依法承担相应责任；</w:t>
      </w:r>
    </w:p>
    <w:p>
      <w:pPr>
        <w:keepNext w:val="0"/>
        <w:keepLines w:val="0"/>
        <w:widowControl/>
        <w:suppressLineNumbers w:val="0"/>
        <w:shd w:val="clear" w:fill="FFFFFF"/>
        <w:spacing w:before="0" w:beforeAutospacing="1" w:after="0" w:afterAutospacing="1" w:line="540" w:lineRule="atLeast"/>
        <w:ind w:left="0" w:right="0" w:firstLine="48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四、承诺本单位自觉接受行政管理部门、行业组织、社会公众、新闻舆论的监督；</w:t>
      </w:r>
    </w:p>
    <w:p>
      <w:pPr>
        <w:keepNext w:val="0"/>
        <w:keepLines w:val="0"/>
        <w:widowControl/>
        <w:suppressLineNumbers w:val="0"/>
        <w:shd w:val="clear" w:fill="FFFFFF"/>
        <w:spacing w:before="0" w:beforeAutospacing="1" w:after="0" w:afterAutospacing="1" w:line="540" w:lineRule="atLeast"/>
        <w:ind w:left="0" w:right="0" w:firstLine="48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五、承诺本单位将按照《湖北省社会信用信息管理条例》要求，向社会公示信用信息；</w:t>
      </w:r>
    </w:p>
    <w:p>
      <w:pPr>
        <w:keepNext w:val="0"/>
        <w:keepLines w:val="0"/>
        <w:widowControl/>
        <w:suppressLineNumbers w:val="0"/>
        <w:shd w:val="clear" w:fill="FFFFFF"/>
        <w:spacing w:before="0" w:beforeAutospacing="1" w:after="0" w:afterAutospacing="1" w:line="540" w:lineRule="atLeast"/>
        <w:ind w:left="0" w:right="0" w:firstLine="48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六、承诺本单位自我约束、自我管理，重合同、守信用，不制假售假、商标侵权、虚假宣传、违约毁约、恶意逃债、偷税漏税、价格欺诈、垄断和不正当竞争，维护经营者、消费者的合法权益；</w:t>
      </w:r>
    </w:p>
    <w:p>
      <w:pPr>
        <w:keepNext w:val="0"/>
        <w:keepLines w:val="0"/>
        <w:widowControl/>
        <w:suppressLineNumbers w:val="0"/>
        <w:shd w:val="clear" w:fill="FFFFFF"/>
        <w:spacing w:before="0" w:beforeAutospacing="1" w:after="0" w:afterAutospacing="1" w:line="540" w:lineRule="atLeast"/>
        <w:ind w:left="0" w:right="0" w:firstLine="48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七、承诺本单位在信用中国（湖北）网站中无违法违规、较重或严重失信记录；</w:t>
      </w:r>
    </w:p>
    <w:p>
      <w:pPr>
        <w:keepNext w:val="0"/>
        <w:keepLines w:val="0"/>
        <w:widowControl/>
        <w:suppressLineNumbers w:val="0"/>
        <w:shd w:val="clear" w:fill="FFFFFF"/>
        <w:spacing w:before="0" w:beforeAutospacing="1" w:after="0" w:afterAutospacing="1" w:line="540" w:lineRule="atLeast"/>
        <w:ind w:left="0" w:right="0" w:firstLine="48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八、承诺本单位提出政府采购质疑和投诉坚持依法依规、诚实信用原则，在全国范围12个月内没有三次以上查无实据的政府采购投诉；</w:t>
      </w:r>
    </w:p>
    <w:p>
      <w:pPr>
        <w:keepNext w:val="0"/>
        <w:keepLines w:val="0"/>
        <w:widowControl/>
        <w:suppressLineNumbers w:val="0"/>
        <w:shd w:val="clear" w:fill="FFFFFF"/>
        <w:spacing w:before="0" w:beforeAutospacing="1" w:after="0" w:afterAutospacing="1" w:line="540" w:lineRule="atLeast"/>
        <w:ind w:left="0" w:right="0" w:firstLine="48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九、根据政府采购相关法律法规的规定需要作出的其他承诺：</w:t>
      </w:r>
      <w:r>
        <w:rPr>
          <w:rFonts w:hint="default" w:ascii="_5b8b_4f53" w:hAnsi="_5b8b_4f53" w:eastAsia="_5b8b_4f53" w:cs="_5b8b_4f53"/>
          <w:i w:val="0"/>
          <w:caps w:val="0"/>
          <w:color w:val="000000"/>
          <w:spacing w:val="0"/>
          <w:kern w:val="0"/>
          <w:sz w:val="24"/>
          <w:szCs w:val="24"/>
          <w:u w:val="single"/>
          <w:shd w:val="clear" w:fill="FFFFFF"/>
          <w:lang w:val="en-US" w:eastAsia="zh-CN" w:bidi="ar"/>
        </w:rPr>
        <w:t>                                             0</w:t>
      </w:r>
    </w:p>
    <w:p>
      <w:pPr>
        <w:keepNext w:val="0"/>
        <w:keepLines w:val="0"/>
        <w:widowControl/>
        <w:suppressLineNumbers w:val="0"/>
        <w:shd w:val="clear" w:fill="FFFFFF"/>
        <w:spacing w:before="0" w:beforeAutospacing="1" w:after="0" w:afterAutospacing="1" w:line="540" w:lineRule="atLeast"/>
        <w:ind w:left="0" w:right="0" w:firstLine="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u w:val="single"/>
          <w:shd w:val="clear" w:fill="FFFFFF"/>
          <w:lang w:val="en-US" w:eastAsia="zh-CN" w:bidi="ar"/>
        </w:rPr>
        <w:t>                                                  </w:t>
      </w:r>
    </w:p>
    <w:p>
      <w:pPr>
        <w:keepNext w:val="0"/>
        <w:keepLines w:val="0"/>
        <w:widowControl/>
        <w:suppressLineNumbers w:val="0"/>
        <w:shd w:val="clear" w:fill="FFFFFF"/>
        <w:spacing w:before="0" w:beforeAutospacing="1" w:after="0" w:afterAutospacing="1" w:line="540" w:lineRule="atLeast"/>
        <w:ind w:left="0" w:right="0" w:firstLine="48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十、承诺本单位若违背承诺约定，经查实，愿意接受行采购人管部门和信用管理部门相应的规定处罚，承担违约责任，并依法承担相应的法律责任。自愿按照《湖北省社会信用信息管理条例》规定，违背承诺约定行为作为失信信息，记录到省社会信用信息服务平台，并予公开。</w:t>
      </w:r>
    </w:p>
    <w:p>
      <w:pPr>
        <w:keepNext w:val="0"/>
        <w:keepLines w:val="0"/>
        <w:widowControl/>
        <w:suppressLineNumbers w:val="0"/>
        <w:shd w:val="clear" w:fill="FFFFFF"/>
        <w:spacing w:before="0" w:beforeAutospacing="1" w:after="0" w:afterAutospacing="1" w:line="540" w:lineRule="atLeast"/>
        <w:ind w:left="0" w:right="0" w:firstLine="48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十一、承诺本单位同意将以上承诺事项上网公示。</w:t>
      </w:r>
    </w:p>
    <w:p>
      <w:pPr>
        <w:keepNext w:val="0"/>
        <w:keepLines w:val="0"/>
        <w:widowControl/>
        <w:suppressLineNumbers w:val="0"/>
        <w:shd w:val="clear" w:fill="FFFFFF"/>
        <w:spacing w:before="0" w:beforeAutospacing="1" w:after="0" w:afterAutospacing="1" w:line="540" w:lineRule="atLeast"/>
        <w:ind w:left="0" w:right="0" w:firstLine="48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1" w:after="0" w:afterAutospacing="1" w:line="540" w:lineRule="atLeast"/>
        <w:ind w:left="0" w:right="0" w:firstLine="48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                  承诺单位（盖章）：</w:t>
      </w:r>
    </w:p>
    <w:p>
      <w:pPr>
        <w:keepNext w:val="0"/>
        <w:keepLines w:val="0"/>
        <w:widowControl/>
        <w:suppressLineNumbers w:val="0"/>
        <w:shd w:val="clear" w:fill="FFFFFF"/>
        <w:spacing w:before="0" w:beforeAutospacing="1" w:after="0" w:afterAutospacing="1" w:line="540" w:lineRule="atLeast"/>
        <w:ind w:left="0" w:right="0" w:firstLine="48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                  法定代表人（负责人）：</w:t>
      </w:r>
    </w:p>
    <w:p>
      <w:pPr>
        <w:keepNext w:val="0"/>
        <w:keepLines w:val="0"/>
        <w:widowControl/>
        <w:suppressLineNumbers w:val="0"/>
        <w:shd w:val="clear" w:fill="FFFFFF"/>
        <w:spacing w:before="0" w:beforeAutospacing="1" w:after="0" w:afterAutospacing="1" w:line="540" w:lineRule="atLeast"/>
        <w:ind w:left="0" w:right="0" w:firstLine="48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                  承诺日期：</w:t>
      </w:r>
    </w:p>
    <w:p>
      <w:pPr>
        <w:keepNext w:val="0"/>
        <w:keepLines w:val="0"/>
        <w:widowControl/>
        <w:suppressLineNumbers w:val="0"/>
        <w:shd w:val="clear" w:fill="FFFFFF"/>
        <w:spacing w:before="0" w:beforeAutospacing="1" w:after="0" w:afterAutospacing="1" w:line="540" w:lineRule="atLeast"/>
        <w:ind w:left="0" w:right="0" w:firstLine="48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1" w:after="0" w:afterAutospacing="1" w:line="540" w:lineRule="atLeast"/>
        <w:ind w:left="0" w:right="0" w:firstLine="48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注：法定代表人或负责人、主体名称发生变更的应当重新做出承诺。</w:t>
      </w:r>
    </w:p>
    <w:p>
      <w:pPr>
        <w:keepNext w:val="0"/>
        <w:keepLines w:val="0"/>
        <w:widowControl/>
        <w:suppressLineNumbers w:val="0"/>
        <w:shd w:val="clear" w:fill="FFFFFF"/>
        <w:spacing w:before="0" w:beforeAutospacing="1" w:after="0" w:afterAutospacing="1"/>
        <w:ind w:left="0" w:right="0" w:firstLine="0"/>
        <w:jc w:val="both"/>
        <w:rPr>
          <w:rFonts w:hint="eastAsia" w:ascii="微软雅黑" w:hAnsi="微软雅黑" w:eastAsia="微软雅黑" w:cs="微软雅黑"/>
          <w:i w:val="0"/>
          <w:caps w:val="0"/>
          <w:color w:val="000000"/>
          <w:spacing w:val="0"/>
          <w:sz w:val="27"/>
          <w:szCs w:val="27"/>
        </w:rPr>
      </w:pPr>
      <w:r>
        <w:rPr>
          <w:rFonts w:hint="default" w:ascii="_5b8b_4f53" w:hAnsi="_5b8b_4f53" w:eastAsia="_5b8b_4f53" w:cs="_5b8b_4f53"/>
          <w:i w:val="0"/>
          <w:caps w:val="0"/>
          <w:color w:val="000000"/>
          <w:spacing w:val="0"/>
          <w:kern w:val="0"/>
          <w:sz w:val="24"/>
          <w:szCs w:val="24"/>
          <w:shd w:val="clear" w:fill="FFFFFF"/>
          <w:lang w:val="en-US" w:eastAsia="zh-CN" w:bidi="ar"/>
        </w:rPr>
        <w:t> </w:t>
      </w:r>
    </w:p>
    <w:p/>
    <w:sectPr>
      <w:pgSz w:w="11906" w:h="16838"/>
      <w:pgMar w:top="1134" w:right="1191" w:bottom="1134" w:left="1191" w:header="851" w:footer="851"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Arial Narrow">
    <w:panose1 w:val="020B0606020202030204"/>
    <w:charset w:val="00"/>
    <w:family w:val="auto"/>
    <w:pitch w:val="default"/>
    <w:sig w:usb0="00000287" w:usb1="00000800" w:usb2="00000000" w:usb3="00000000" w:csb0="2000009F" w:csb1="DFD70000"/>
  </w:font>
  <w:font w:name="楷体_GB2312">
    <w:altName w:val="楷体"/>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Verdana,Arial">
    <w:altName w:val="Times New Roman"/>
    <w:panose1 w:val="00000000000000000000"/>
    <w:charset w:val="00"/>
    <w:family w:val="auto"/>
    <w:pitch w:val="default"/>
    <w:sig w:usb0="00000000" w:usb1="00000000" w:usb2="00000000" w:usb3="00000000" w:csb0="00040001" w:csb1="00000000"/>
  </w:font>
  <w:font w:name="Helvetica">
    <w:altName w:val="Vijaya"/>
    <w:panose1 w:val="020B0604020202020204"/>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_5b8b_4f53">
    <w:altName w:val="Segoe Print"/>
    <w:panose1 w:val="00000000000000000000"/>
    <w:charset w:val="00"/>
    <w:family w:val="auto"/>
    <w:pitch w:val="default"/>
    <w:sig w:usb0="00000000" w:usb1="00000000" w:usb2="00000000" w:usb3="00000000" w:csb0="00000000" w:csb1="00000000"/>
  </w:font>
  <w:font w:name="Corbel">
    <w:panose1 w:val="020B0503020204020204"/>
    <w:charset w:val="00"/>
    <w:family w:val="auto"/>
    <w:pitch w:val="default"/>
    <w:sig w:usb0="A00002EF" w:usb1="4000A44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Vijaya">
    <w:panose1 w:val="020B0604020202020204"/>
    <w:charset w:val="00"/>
    <w:family w:val="auto"/>
    <w:pitch w:val="default"/>
    <w:sig w:usb0="0010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000000" w:sz="4" w:space="1"/>
      </w:pBdr>
      <w:tabs>
        <w:tab w:val="clear" w:pos="4153"/>
        <w:tab w:val="clear" w:pos="8306"/>
      </w:tabs>
      <w:ind w:right="-9"/>
      <w:jc w:val="center"/>
      <w:rPr>
        <w:rFonts w:ascii="宋体" w:hAnsi="宋体"/>
        <w:b/>
      </w:rPr>
    </w:pPr>
    <w:r>
      <w:rPr>
        <w:rFonts w:hint="eastAsia" w:ascii="宋体" w:hAnsi="宋体"/>
      </w:rPr>
      <w:t>潜江市华康建设工程招标代理有限责任公司</w:t>
    </w:r>
    <w:r>
      <w:rPr>
        <w:rFonts w:ascii="宋体" w:hAnsi="宋体"/>
        <w:b/>
        <w:bCs/>
      </w:rPr>
      <w:fldChar w:fldCharType="begin"/>
    </w:r>
    <w:r>
      <w:rPr>
        <w:rFonts w:ascii="宋体" w:hAnsi="宋体"/>
        <w:b/>
        <w:bCs/>
      </w:rPr>
      <w:instrText xml:space="preserve">PAGE</w:instrText>
    </w:r>
    <w:r>
      <w:rPr>
        <w:rFonts w:ascii="宋体" w:hAnsi="宋体"/>
        <w:b/>
        <w:bCs/>
      </w:rPr>
      <w:fldChar w:fldCharType="separate"/>
    </w:r>
    <w:r>
      <w:rPr>
        <w:rFonts w:ascii="宋体" w:hAnsi="宋体"/>
        <w:b/>
        <w:bCs/>
      </w:rPr>
      <w:t>19</w:t>
    </w:r>
    <w:r>
      <w:rPr>
        <w:rFonts w:ascii="宋体" w:hAnsi="宋体"/>
        <w:b/>
        <w:bCs/>
      </w:rPr>
      <w:fldChar w:fldCharType="end"/>
    </w:r>
    <w:r>
      <w:rPr>
        <w:rFonts w:ascii="宋体" w:hAnsi="宋体"/>
        <w:b/>
        <w:lang w:val="zh-CN"/>
      </w:rPr>
      <w:t xml:space="preserve"> / </w:t>
    </w:r>
    <w:r>
      <w:rPr>
        <w:rFonts w:ascii="宋体" w:hAnsi="宋体"/>
        <w:b/>
        <w:bCs/>
      </w:rPr>
      <w:fldChar w:fldCharType="begin"/>
    </w:r>
    <w:r>
      <w:rPr>
        <w:rFonts w:ascii="宋体" w:hAnsi="宋体"/>
        <w:b/>
        <w:bCs/>
      </w:rPr>
      <w:instrText xml:space="preserve">NUMPAGES</w:instrText>
    </w:r>
    <w:r>
      <w:rPr>
        <w:rFonts w:ascii="宋体" w:hAnsi="宋体"/>
        <w:b/>
        <w:bCs/>
      </w:rPr>
      <w:fldChar w:fldCharType="separate"/>
    </w:r>
    <w:r>
      <w:rPr>
        <w:rFonts w:ascii="宋体" w:hAnsi="宋体"/>
        <w:b/>
        <w:bCs/>
      </w:rPr>
      <w:t>114</w:t>
    </w:r>
    <w:r>
      <w:rPr>
        <w:rFonts w:ascii="宋体" w:hAnsi="宋体"/>
        <w:b/>
        <w:bC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000000" w:sz="4" w:space="1"/>
      </w:pBdr>
      <w:tabs>
        <w:tab w:val="clear" w:pos="4153"/>
      </w:tabs>
      <w:jc w:val="left"/>
      <w:rPr>
        <w:bCs/>
      </w:rPr>
    </w:pPr>
    <w:r>
      <w:rPr>
        <w:rFonts w:hint="eastAsia"/>
        <w:bCs/>
      </w:rPr>
      <w:t xml:space="preserve"> </w:t>
    </w:r>
    <w:r>
      <w:rPr>
        <w:rFonts w:hint="eastAsia"/>
        <w:bCs/>
        <w:lang w:eastAsia="zh-CN"/>
      </w:rPr>
      <w:t>湖北省烟草公司潜江市公司信息安全咨询服务采购项目</w:t>
    </w:r>
    <w:r>
      <w:rPr>
        <w:rFonts w:hint="eastAsia"/>
        <w:bCs/>
      </w:rPr>
      <w:t xml:space="preserve">       </w:t>
    </w:r>
    <w:r>
      <w:rPr>
        <w:rFonts w:hint="eastAsia"/>
        <w:bCs/>
        <w:lang w:val="en-US" w:eastAsia="zh-CN"/>
      </w:rPr>
      <w:t xml:space="preserve">                                         </w:t>
    </w:r>
    <w:r>
      <w:rPr>
        <w:rFonts w:hint="eastAsia"/>
        <w:bCs/>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31.%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B"/>
    <w:multiLevelType w:val="multilevel"/>
    <w:tmpl w:val="0000000B"/>
    <w:lvl w:ilvl="0" w:tentative="0">
      <w:start w:val="1"/>
      <w:numFmt w:val="decimal"/>
      <w:lvlText w:val="3.1.%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2">
    <w:nsid w:val="0000000C"/>
    <w:multiLevelType w:val="multilevel"/>
    <w:tmpl w:val="0000000C"/>
    <w:lvl w:ilvl="0" w:tentative="0">
      <w:start w:val="1"/>
      <w:numFmt w:val="decimal"/>
      <w:lvlText w:val="3.%1 "/>
      <w:lvlJc w:val="left"/>
      <w:pPr>
        <w:ind w:left="3681"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3">
    <w:nsid w:val="0000000E"/>
    <w:multiLevelType w:val="multilevel"/>
    <w:tmpl w:val="0000000E"/>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F"/>
    <w:multiLevelType w:val="multilevel"/>
    <w:tmpl w:val="0000000F"/>
    <w:lvl w:ilvl="0" w:tentative="0">
      <w:start w:val="1"/>
      <w:numFmt w:val="decimal"/>
      <w:lvlText w:val="%1. "/>
      <w:lvlJc w:val="left"/>
      <w:pPr>
        <w:ind w:left="1117" w:hanging="420"/>
      </w:pPr>
      <w:rPr>
        <w:rFonts w:hint="default" w:ascii="仿宋" w:hAnsi="仿宋" w:eastAsia="仿宋"/>
        <w:b w:val="0"/>
        <w:strike w:val="0"/>
        <w:color w:val="auto"/>
      </w:rPr>
    </w:lvl>
    <w:lvl w:ilvl="1" w:tentative="0">
      <w:start w:val="1"/>
      <w:numFmt w:val="lowerLetter"/>
      <w:lvlText w:val="%2)"/>
      <w:lvlJc w:val="left"/>
      <w:pPr>
        <w:ind w:left="1537" w:hanging="420"/>
      </w:pPr>
    </w:lvl>
    <w:lvl w:ilvl="2" w:tentative="0">
      <w:start w:val="1"/>
      <w:numFmt w:val="lowerRoman"/>
      <w:lvlText w:val="%3."/>
      <w:lvlJc w:val="right"/>
      <w:pPr>
        <w:ind w:left="1957" w:hanging="420"/>
      </w:pPr>
    </w:lvl>
    <w:lvl w:ilvl="3" w:tentative="0">
      <w:start w:val="1"/>
      <w:numFmt w:val="decimal"/>
      <w:lvlText w:val="%4. "/>
      <w:lvlJc w:val="left"/>
      <w:pPr>
        <w:ind w:left="704" w:hanging="420"/>
      </w:pPr>
      <w:rPr>
        <w:rFonts w:hint="eastAsia"/>
        <w:b/>
      </w:rPr>
    </w:lvl>
    <w:lvl w:ilvl="4" w:tentative="0">
      <w:start w:val="1"/>
      <w:numFmt w:val="lowerLetter"/>
      <w:lvlText w:val="%5)"/>
      <w:lvlJc w:val="left"/>
      <w:pPr>
        <w:ind w:left="2797" w:hanging="420"/>
      </w:pPr>
    </w:lvl>
    <w:lvl w:ilvl="5" w:tentative="0">
      <w:start w:val="1"/>
      <w:numFmt w:val="lowerRoman"/>
      <w:lvlText w:val="%6."/>
      <w:lvlJc w:val="right"/>
      <w:pPr>
        <w:ind w:left="3217" w:hanging="420"/>
      </w:pPr>
    </w:lvl>
    <w:lvl w:ilvl="6" w:tentative="0">
      <w:start w:val="1"/>
      <w:numFmt w:val="decimal"/>
      <w:lvlText w:val="%7."/>
      <w:lvlJc w:val="left"/>
      <w:pPr>
        <w:ind w:left="3637" w:hanging="420"/>
      </w:pPr>
    </w:lvl>
    <w:lvl w:ilvl="7" w:tentative="0">
      <w:start w:val="1"/>
      <w:numFmt w:val="lowerLetter"/>
      <w:lvlText w:val="%8)"/>
      <w:lvlJc w:val="left"/>
      <w:pPr>
        <w:ind w:left="4057" w:hanging="420"/>
      </w:pPr>
    </w:lvl>
    <w:lvl w:ilvl="8" w:tentative="0">
      <w:start w:val="1"/>
      <w:numFmt w:val="lowerRoman"/>
      <w:lvlText w:val="%9."/>
      <w:lvlJc w:val="right"/>
      <w:pPr>
        <w:ind w:left="4477" w:hanging="420"/>
      </w:pPr>
    </w:lvl>
  </w:abstractNum>
  <w:abstractNum w:abstractNumId="5">
    <w:nsid w:val="00000010"/>
    <w:multiLevelType w:val="multilevel"/>
    <w:tmpl w:val="00000010"/>
    <w:lvl w:ilvl="0" w:tentative="0">
      <w:start w:val="1"/>
      <w:numFmt w:val="decimal"/>
      <w:lvlText w:val="%1. "/>
      <w:lvlJc w:val="left"/>
      <w:pPr>
        <w:ind w:left="824" w:hanging="420"/>
      </w:pPr>
      <w:rPr>
        <w:rFonts w:hint="default" w:ascii="宋体" w:hAnsi="宋体" w:eastAsia="宋体"/>
        <w:b/>
        <w:strike w:val="0"/>
        <w:color w:val="auto"/>
      </w:rPr>
    </w:lvl>
    <w:lvl w:ilvl="1" w:tentative="0">
      <w:start w:val="1"/>
      <w:numFmt w:val="lowerLetter"/>
      <w:lvlText w:val="%2)"/>
      <w:lvlJc w:val="left"/>
      <w:pPr>
        <w:ind w:left="1244" w:hanging="420"/>
      </w:pPr>
    </w:lvl>
    <w:lvl w:ilvl="2" w:tentative="0">
      <w:start w:val="1"/>
      <w:numFmt w:val="lowerRoman"/>
      <w:lvlText w:val="%3."/>
      <w:lvlJc w:val="right"/>
      <w:pPr>
        <w:ind w:left="1664" w:hanging="420"/>
      </w:pPr>
    </w:lvl>
    <w:lvl w:ilvl="3" w:tentative="0">
      <w:start w:val="1"/>
      <w:numFmt w:val="decimal"/>
      <w:lvlText w:val="%4."/>
      <w:lvlJc w:val="left"/>
      <w:pPr>
        <w:ind w:left="2084" w:hanging="420"/>
      </w:pPr>
    </w:lvl>
    <w:lvl w:ilvl="4" w:tentative="0">
      <w:start w:val="1"/>
      <w:numFmt w:val="lowerLetter"/>
      <w:lvlText w:val="%5)"/>
      <w:lvlJc w:val="left"/>
      <w:pPr>
        <w:ind w:left="2504" w:hanging="420"/>
      </w:pPr>
    </w:lvl>
    <w:lvl w:ilvl="5" w:tentative="0">
      <w:start w:val="1"/>
      <w:numFmt w:val="lowerRoman"/>
      <w:lvlText w:val="%6."/>
      <w:lvlJc w:val="right"/>
      <w:pPr>
        <w:ind w:left="2924" w:hanging="420"/>
      </w:pPr>
    </w:lvl>
    <w:lvl w:ilvl="6" w:tentative="0">
      <w:start w:val="1"/>
      <w:numFmt w:val="decimal"/>
      <w:lvlText w:val="%7."/>
      <w:lvlJc w:val="left"/>
      <w:pPr>
        <w:ind w:left="3344" w:hanging="420"/>
      </w:pPr>
    </w:lvl>
    <w:lvl w:ilvl="7" w:tentative="0">
      <w:start w:val="1"/>
      <w:numFmt w:val="lowerLetter"/>
      <w:lvlText w:val="%8)"/>
      <w:lvlJc w:val="left"/>
      <w:pPr>
        <w:ind w:left="3764" w:hanging="420"/>
      </w:pPr>
    </w:lvl>
    <w:lvl w:ilvl="8" w:tentative="0">
      <w:start w:val="1"/>
      <w:numFmt w:val="lowerRoman"/>
      <w:lvlText w:val="%9."/>
      <w:lvlJc w:val="right"/>
      <w:pPr>
        <w:ind w:left="4184" w:hanging="420"/>
      </w:pPr>
    </w:lvl>
  </w:abstractNum>
  <w:abstractNum w:abstractNumId="6">
    <w:nsid w:val="00000012"/>
    <w:multiLevelType w:val="multilevel"/>
    <w:tmpl w:val="00000012"/>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13"/>
    <w:multiLevelType w:val="multilevel"/>
    <w:tmpl w:val="00000013"/>
    <w:lvl w:ilvl="0" w:tentative="0">
      <w:start w:val="1"/>
      <w:numFmt w:val="decimal"/>
      <w:lvlText w:val="24.%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14"/>
    <w:multiLevelType w:val="multilevel"/>
    <w:tmpl w:val="00000014"/>
    <w:lvl w:ilvl="0" w:tentative="0">
      <w:start w:val="1"/>
      <w:numFmt w:val="decimal"/>
      <w:lvlText w:val="26.%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15"/>
    <w:multiLevelType w:val="multilevel"/>
    <w:tmpl w:val="00000015"/>
    <w:lvl w:ilvl="0" w:tentative="0">
      <w:start w:val="1"/>
      <w:numFmt w:val="chineseCountingThousand"/>
      <w:lvlText w:val="附件%1、"/>
      <w:lvlJc w:val="left"/>
      <w:pPr>
        <w:ind w:left="420" w:hanging="420"/>
      </w:pPr>
      <w:rPr>
        <w:rFonts w:hint="eastAsia" w:ascii="宋体" w:hAnsi="宋体" w:eastAsia="宋体"/>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16"/>
    <w:multiLevelType w:val="multilevel"/>
    <w:tmpl w:val="00000016"/>
    <w:lvl w:ilvl="0" w:tentative="0">
      <w:start w:val="1"/>
      <w:numFmt w:val="decimal"/>
      <w:lvlText w:val="4.6.%1 "/>
      <w:lvlJc w:val="left"/>
      <w:pPr>
        <w:ind w:left="1271" w:hanging="420"/>
      </w:pPr>
      <w:rPr>
        <w:rFonts w:hint="default" w:ascii="楷体" w:hAnsi="楷体" w:eastAsia="楷体"/>
        <w:b w:val="0"/>
        <w:strike w:val="0"/>
        <w:color w:val="auto"/>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1">
    <w:nsid w:val="00000017"/>
    <w:multiLevelType w:val="multilevel"/>
    <w:tmpl w:val="00000017"/>
    <w:lvl w:ilvl="0" w:tentative="0">
      <w:start w:val="1"/>
      <w:numFmt w:val="decimal"/>
      <w:lvlText w:val="1.%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8"/>
    <w:multiLevelType w:val="multilevel"/>
    <w:tmpl w:val="00000018"/>
    <w:lvl w:ilvl="0" w:tentative="0">
      <w:start w:val="1"/>
      <w:numFmt w:val="decimal"/>
      <w:lvlText w:val="16.%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9"/>
    <w:multiLevelType w:val="multilevel"/>
    <w:tmpl w:val="00000019"/>
    <w:lvl w:ilvl="0" w:tentative="0">
      <w:start w:val="1"/>
      <w:numFmt w:val="decimal"/>
      <w:lvlText w:val="35.%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1A"/>
    <w:multiLevelType w:val="multilevel"/>
    <w:tmpl w:val="0000001A"/>
    <w:lvl w:ilvl="0" w:tentative="0">
      <w:start w:val="1"/>
      <w:numFmt w:val="decimal"/>
      <w:lvlText w:val="%1."/>
      <w:lvlJc w:val="left"/>
      <w:pPr>
        <w:ind w:left="420" w:hanging="420"/>
      </w:pPr>
      <w:rPr>
        <w:rFonts w:hint="default" w:ascii="宋体" w:hAnsi="宋体" w:eastAsia="宋体"/>
        <w:b/>
        <w:strike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1B"/>
    <w:multiLevelType w:val="multilevel"/>
    <w:tmpl w:val="0000001B"/>
    <w:lvl w:ilvl="0" w:tentative="0">
      <w:start w:val="1"/>
      <w:numFmt w:val="decimal"/>
      <w:lvlText w:val="8.%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6">
    <w:nsid w:val="0000001C"/>
    <w:multiLevelType w:val="multilevel"/>
    <w:tmpl w:val="0000001C"/>
    <w:lvl w:ilvl="0" w:tentative="0">
      <w:start w:val="1"/>
      <w:numFmt w:val="decimal"/>
      <w:lvlText w:val="4.%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1D"/>
    <w:multiLevelType w:val="multilevel"/>
    <w:tmpl w:val="0000001D"/>
    <w:lvl w:ilvl="0" w:tentative="0">
      <w:start w:val="1"/>
      <w:numFmt w:val="decimal"/>
      <w:lvlText w:val="20.%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1E"/>
    <w:multiLevelType w:val="multilevel"/>
    <w:tmpl w:val="0000001E"/>
    <w:lvl w:ilvl="0" w:tentative="0">
      <w:start w:val="1"/>
      <w:numFmt w:val="decimal"/>
      <w:lvlText w:val="%1. "/>
      <w:lvlJc w:val="left"/>
      <w:pPr>
        <w:ind w:left="824" w:hanging="420"/>
      </w:pPr>
      <w:rPr>
        <w:rFonts w:hint="default" w:ascii="宋体" w:hAnsi="宋体" w:eastAsia="宋体"/>
        <w:b/>
        <w:strike w:val="0"/>
        <w:color w:val="auto"/>
      </w:rPr>
    </w:lvl>
    <w:lvl w:ilvl="1" w:tentative="0">
      <w:start w:val="1"/>
      <w:numFmt w:val="lowerLetter"/>
      <w:lvlText w:val="%2)"/>
      <w:lvlJc w:val="left"/>
      <w:pPr>
        <w:ind w:left="1244" w:hanging="420"/>
      </w:pPr>
    </w:lvl>
    <w:lvl w:ilvl="2" w:tentative="0">
      <w:start w:val="1"/>
      <w:numFmt w:val="lowerRoman"/>
      <w:lvlText w:val="%3."/>
      <w:lvlJc w:val="right"/>
      <w:pPr>
        <w:ind w:left="1664" w:hanging="420"/>
      </w:pPr>
    </w:lvl>
    <w:lvl w:ilvl="3" w:tentative="0">
      <w:start w:val="1"/>
      <w:numFmt w:val="decimal"/>
      <w:lvlText w:val="%4."/>
      <w:lvlJc w:val="left"/>
      <w:pPr>
        <w:ind w:left="2084" w:hanging="420"/>
      </w:pPr>
    </w:lvl>
    <w:lvl w:ilvl="4" w:tentative="0">
      <w:start w:val="1"/>
      <w:numFmt w:val="lowerLetter"/>
      <w:lvlText w:val="%5)"/>
      <w:lvlJc w:val="left"/>
      <w:pPr>
        <w:ind w:left="2504" w:hanging="420"/>
      </w:pPr>
    </w:lvl>
    <w:lvl w:ilvl="5" w:tentative="0">
      <w:start w:val="1"/>
      <w:numFmt w:val="lowerRoman"/>
      <w:lvlText w:val="%6."/>
      <w:lvlJc w:val="right"/>
      <w:pPr>
        <w:ind w:left="2924" w:hanging="420"/>
      </w:pPr>
    </w:lvl>
    <w:lvl w:ilvl="6" w:tentative="0">
      <w:start w:val="1"/>
      <w:numFmt w:val="decimal"/>
      <w:lvlText w:val="%7."/>
      <w:lvlJc w:val="left"/>
      <w:pPr>
        <w:ind w:left="3344" w:hanging="420"/>
      </w:pPr>
    </w:lvl>
    <w:lvl w:ilvl="7" w:tentative="0">
      <w:start w:val="1"/>
      <w:numFmt w:val="lowerLetter"/>
      <w:lvlText w:val="%8)"/>
      <w:lvlJc w:val="left"/>
      <w:pPr>
        <w:ind w:left="3764" w:hanging="420"/>
      </w:pPr>
    </w:lvl>
    <w:lvl w:ilvl="8" w:tentative="0">
      <w:start w:val="1"/>
      <w:numFmt w:val="lowerRoman"/>
      <w:lvlText w:val="%9."/>
      <w:lvlJc w:val="right"/>
      <w:pPr>
        <w:ind w:left="4184" w:hanging="420"/>
      </w:pPr>
    </w:lvl>
  </w:abstractNum>
  <w:abstractNum w:abstractNumId="19">
    <w:nsid w:val="0000001F"/>
    <w:multiLevelType w:val="multilevel"/>
    <w:tmpl w:val="0000001F"/>
    <w:lvl w:ilvl="0" w:tentative="0">
      <w:start w:val="1"/>
      <w:numFmt w:val="decimal"/>
      <w:lvlText w:val="29.2.%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20">
    <w:nsid w:val="00000020"/>
    <w:multiLevelType w:val="multilevel"/>
    <w:tmpl w:val="00000020"/>
    <w:lvl w:ilvl="0" w:tentative="0">
      <w:start w:val="1"/>
      <w:numFmt w:val="decimal"/>
      <w:lvlText w:val="21.%1"/>
      <w:lvlJc w:val="left"/>
      <w:pPr>
        <w:ind w:left="562" w:hanging="420"/>
      </w:pPr>
      <w:rPr>
        <w:rFonts w:hint="default" w:ascii="仿宋" w:hAnsi="仿宋" w:eastAsia="仿宋"/>
        <w:b w:val="0"/>
        <w:strike w:val="0"/>
        <w:color w:val="auto"/>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1">
    <w:nsid w:val="00000021"/>
    <w:multiLevelType w:val="multilevel"/>
    <w:tmpl w:val="00000021"/>
    <w:lvl w:ilvl="0" w:tentative="0">
      <w:start w:val="1"/>
      <w:numFmt w:val="decimal"/>
      <w:lvlText w:val="3.%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0000022"/>
    <w:multiLevelType w:val="multilevel"/>
    <w:tmpl w:val="00000022"/>
    <w:lvl w:ilvl="0" w:tentative="0">
      <w:start w:val="1"/>
      <w:numFmt w:val="decimal"/>
      <w:lvlText w:val="4.%1  "/>
      <w:lvlJc w:val="left"/>
      <w:pPr>
        <w:ind w:left="846"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23">
    <w:nsid w:val="00000023"/>
    <w:multiLevelType w:val="multilevel"/>
    <w:tmpl w:val="00000023"/>
    <w:lvl w:ilvl="0" w:tentative="0">
      <w:start w:val="1"/>
      <w:numFmt w:val="decimal"/>
      <w:lvlText w:val="11.%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00000024"/>
    <w:multiLevelType w:val="multilevel"/>
    <w:tmpl w:val="00000024"/>
    <w:lvl w:ilvl="0" w:tentative="0">
      <w:start w:val="1"/>
      <w:numFmt w:val="decimal"/>
      <w:lvlText w:val="2.%1 "/>
      <w:lvlJc w:val="left"/>
      <w:pPr>
        <w:ind w:left="840" w:hanging="420"/>
      </w:pPr>
      <w:rPr>
        <w:rFonts w:hint="eastAsia" w:ascii="仿宋" w:hAnsi="仿宋" w:eastAsia="仿宋"/>
        <w:b w:val="0"/>
        <w:caps w:val="0"/>
        <w:strike w:val="0"/>
        <w:dstrike w:val="0"/>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00000025"/>
    <w:multiLevelType w:val="multilevel"/>
    <w:tmpl w:val="00000025"/>
    <w:lvl w:ilvl="0" w:tentative="0">
      <w:start w:val="1"/>
      <w:numFmt w:val="decimal"/>
      <w:lvlText w:val="23.%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00000026"/>
    <w:multiLevelType w:val="multilevel"/>
    <w:tmpl w:val="00000026"/>
    <w:lvl w:ilvl="0" w:tentative="0">
      <w:start w:val="1"/>
      <w:numFmt w:val="decimal"/>
      <w:lvlText w:val="%1. "/>
      <w:lvlJc w:val="left"/>
      <w:pPr>
        <w:ind w:left="840" w:hanging="420"/>
      </w:pPr>
      <w:rPr>
        <w:rFonts w:hint="default" w:ascii="宋体" w:hAnsi="宋体" w:eastAsia="宋体"/>
        <w:b/>
        <w:strike w:val="0"/>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00000027"/>
    <w:multiLevelType w:val="multilevel"/>
    <w:tmpl w:val="00000027"/>
    <w:lvl w:ilvl="0" w:tentative="0">
      <w:start w:val="1"/>
      <w:numFmt w:val="decimal"/>
      <w:lvlText w:val="%1. "/>
      <w:lvlJc w:val="left"/>
      <w:pPr>
        <w:ind w:left="988" w:hanging="420"/>
      </w:pPr>
      <w:rPr>
        <w:rFonts w:hint="default" w:ascii="宋体" w:hAnsi="宋体" w:eastAsia="宋体"/>
        <w:b/>
        <w:strike w:val="0"/>
        <w:color w:val="auto"/>
      </w:rPr>
    </w:lvl>
    <w:lvl w:ilvl="1" w:tentative="0">
      <w:start w:val="1"/>
      <w:numFmt w:val="lowerLetter"/>
      <w:lvlText w:val="%2)"/>
      <w:lvlJc w:val="left"/>
      <w:pPr>
        <w:ind w:left="2881" w:hanging="420"/>
      </w:pPr>
    </w:lvl>
    <w:lvl w:ilvl="2" w:tentative="0">
      <w:start w:val="1"/>
      <w:numFmt w:val="lowerRoman"/>
      <w:lvlText w:val="%3."/>
      <w:lvlJc w:val="right"/>
      <w:pPr>
        <w:ind w:left="3301" w:hanging="420"/>
      </w:pPr>
    </w:lvl>
    <w:lvl w:ilvl="3" w:tentative="0">
      <w:start w:val="1"/>
      <w:numFmt w:val="decimal"/>
      <w:lvlText w:val="%4."/>
      <w:lvlJc w:val="left"/>
      <w:pPr>
        <w:ind w:left="3721" w:hanging="420"/>
      </w:pPr>
    </w:lvl>
    <w:lvl w:ilvl="4" w:tentative="0">
      <w:start w:val="1"/>
      <w:numFmt w:val="lowerLetter"/>
      <w:lvlText w:val="%5)"/>
      <w:lvlJc w:val="left"/>
      <w:pPr>
        <w:ind w:left="4141" w:hanging="420"/>
      </w:pPr>
    </w:lvl>
    <w:lvl w:ilvl="5" w:tentative="0">
      <w:start w:val="1"/>
      <w:numFmt w:val="lowerRoman"/>
      <w:lvlText w:val="%6."/>
      <w:lvlJc w:val="right"/>
      <w:pPr>
        <w:ind w:left="4561" w:hanging="420"/>
      </w:pPr>
    </w:lvl>
    <w:lvl w:ilvl="6" w:tentative="0">
      <w:start w:val="1"/>
      <w:numFmt w:val="decimal"/>
      <w:lvlText w:val="%7."/>
      <w:lvlJc w:val="left"/>
      <w:pPr>
        <w:ind w:left="4981" w:hanging="420"/>
      </w:pPr>
    </w:lvl>
    <w:lvl w:ilvl="7" w:tentative="0">
      <w:start w:val="1"/>
      <w:numFmt w:val="lowerLetter"/>
      <w:lvlText w:val="%8)"/>
      <w:lvlJc w:val="left"/>
      <w:pPr>
        <w:ind w:left="5401" w:hanging="420"/>
      </w:pPr>
    </w:lvl>
    <w:lvl w:ilvl="8" w:tentative="0">
      <w:start w:val="1"/>
      <w:numFmt w:val="lowerRoman"/>
      <w:lvlText w:val="%9."/>
      <w:lvlJc w:val="right"/>
      <w:pPr>
        <w:ind w:left="5821" w:hanging="420"/>
      </w:pPr>
    </w:lvl>
  </w:abstractNum>
  <w:abstractNum w:abstractNumId="28">
    <w:nsid w:val="00000028"/>
    <w:multiLevelType w:val="multilevel"/>
    <w:tmpl w:val="00000028"/>
    <w:lvl w:ilvl="0" w:tentative="0">
      <w:start w:val="1"/>
      <w:numFmt w:val="decimal"/>
      <w:lvlText w:val="%1. "/>
      <w:lvlJc w:val="left"/>
      <w:pPr>
        <w:ind w:left="824" w:hanging="420"/>
      </w:pPr>
      <w:rPr>
        <w:rFonts w:hint="default" w:ascii="宋体" w:hAnsi="宋体" w:eastAsia="宋体"/>
        <w:b/>
        <w:strike w:val="0"/>
        <w:color w:val="auto"/>
      </w:rPr>
    </w:lvl>
    <w:lvl w:ilvl="1" w:tentative="0">
      <w:start w:val="1"/>
      <w:numFmt w:val="lowerLetter"/>
      <w:lvlText w:val="%2)"/>
      <w:lvlJc w:val="left"/>
      <w:pPr>
        <w:ind w:left="1244" w:hanging="420"/>
      </w:pPr>
    </w:lvl>
    <w:lvl w:ilvl="2" w:tentative="0">
      <w:start w:val="1"/>
      <w:numFmt w:val="lowerRoman"/>
      <w:lvlText w:val="%3."/>
      <w:lvlJc w:val="right"/>
      <w:pPr>
        <w:ind w:left="1664" w:hanging="420"/>
      </w:pPr>
    </w:lvl>
    <w:lvl w:ilvl="3" w:tentative="0">
      <w:start w:val="1"/>
      <w:numFmt w:val="decimal"/>
      <w:lvlText w:val="%4."/>
      <w:lvlJc w:val="left"/>
      <w:pPr>
        <w:ind w:left="2084" w:hanging="420"/>
      </w:pPr>
    </w:lvl>
    <w:lvl w:ilvl="4" w:tentative="0">
      <w:start w:val="1"/>
      <w:numFmt w:val="lowerLetter"/>
      <w:lvlText w:val="%5)"/>
      <w:lvlJc w:val="left"/>
      <w:pPr>
        <w:ind w:left="2504" w:hanging="420"/>
      </w:pPr>
    </w:lvl>
    <w:lvl w:ilvl="5" w:tentative="0">
      <w:start w:val="1"/>
      <w:numFmt w:val="lowerRoman"/>
      <w:lvlText w:val="%6."/>
      <w:lvlJc w:val="right"/>
      <w:pPr>
        <w:ind w:left="2924" w:hanging="420"/>
      </w:pPr>
    </w:lvl>
    <w:lvl w:ilvl="6" w:tentative="0">
      <w:start w:val="1"/>
      <w:numFmt w:val="decimal"/>
      <w:lvlText w:val="%7."/>
      <w:lvlJc w:val="left"/>
      <w:pPr>
        <w:ind w:left="3344" w:hanging="420"/>
      </w:pPr>
    </w:lvl>
    <w:lvl w:ilvl="7" w:tentative="0">
      <w:start w:val="1"/>
      <w:numFmt w:val="lowerLetter"/>
      <w:lvlText w:val="%8)"/>
      <w:lvlJc w:val="left"/>
      <w:pPr>
        <w:ind w:left="3764" w:hanging="420"/>
      </w:pPr>
    </w:lvl>
    <w:lvl w:ilvl="8" w:tentative="0">
      <w:start w:val="1"/>
      <w:numFmt w:val="lowerRoman"/>
      <w:lvlText w:val="%9."/>
      <w:lvlJc w:val="right"/>
      <w:pPr>
        <w:ind w:left="4184" w:hanging="420"/>
      </w:pPr>
    </w:lvl>
  </w:abstractNum>
  <w:abstractNum w:abstractNumId="29">
    <w:nsid w:val="00000029"/>
    <w:multiLevelType w:val="multilevel"/>
    <w:tmpl w:val="00000029"/>
    <w:lvl w:ilvl="0" w:tentative="0">
      <w:start w:val="1"/>
      <w:numFmt w:val="decimal"/>
      <w:lvlText w:val="29.%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0000002A"/>
    <w:multiLevelType w:val="multilevel"/>
    <w:tmpl w:val="0000002A"/>
    <w:lvl w:ilvl="0" w:tentative="0">
      <w:start w:val="1"/>
      <w:numFmt w:val="decimal"/>
      <w:lvlText w:val="34.%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0000002B"/>
    <w:multiLevelType w:val="multilevel"/>
    <w:tmpl w:val="0000002B"/>
    <w:lvl w:ilvl="0" w:tentative="0">
      <w:start w:val="1"/>
      <w:numFmt w:val="decimal"/>
      <w:lvlText w:val="27.%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0000002C"/>
    <w:multiLevelType w:val="multilevel"/>
    <w:tmpl w:val="0000002C"/>
    <w:lvl w:ilvl="0" w:tentative="0">
      <w:start w:val="1"/>
      <w:numFmt w:val="decimal"/>
      <w:lvlText w:val="15.%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0000002D"/>
    <w:multiLevelType w:val="multilevel"/>
    <w:tmpl w:val="0000002D"/>
    <w:lvl w:ilvl="0" w:tentative="0">
      <w:start w:val="1"/>
      <w:numFmt w:val="decimal"/>
      <w:lvlText w:val="18.%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0000002E"/>
    <w:multiLevelType w:val="multilevel"/>
    <w:tmpl w:val="0000002E"/>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0000002F"/>
    <w:multiLevelType w:val="multilevel"/>
    <w:tmpl w:val="0000002F"/>
    <w:lvl w:ilvl="0" w:tentative="0">
      <w:start w:val="1"/>
      <w:numFmt w:val="decimal"/>
      <w:lvlText w:val="2.%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00000030"/>
    <w:multiLevelType w:val="multilevel"/>
    <w:tmpl w:val="00000030"/>
    <w:lvl w:ilvl="0" w:tentative="0">
      <w:start w:val="1"/>
      <w:numFmt w:val="decimal"/>
      <w:lvlText w:val="2.%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00000031"/>
    <w:multiLevelType w:val="multilevel"/>
    <w:tmpl w:val="00000031"/>
    <w:lvl w:ilvl="0" w:tentative="0">
      <w:start w:val="1"/>
      <w:numFmt w:val="decimal"/>
      <w:lvlText w:val="19.%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00000032"/>
    <w:multiLevelType w:val="multilevel"/>
    <w:tmpl w:val="00000032"/>
    <w:lvl w:ilvl="0" w:tentative="0">
      <w:start w:val="1"/>
      <w:numFmt w:val="decimal"/>
      <w:lvlText w:val="7.%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39">
    <w:nsid w:val="00000033"/>
    <w:multiLevelType w:val="multilevel"/>
    <w:tmpl w:val="00000033"/>
    <w:lvl w:ilvl="0" w:tentative="0">
      <w:start w:val="1"/>
      <w:numFmt w:val="decimal"/>
      <w:lvlText w:val="%1"/>
      <w:lvlJc w:val="left"/>
      <w:pPr>
        <w:ind w:left="420" w:hanging="420"/>
      </w:pPr>
      <w:rPr>
        <w:rFonts w:hint="default" w:ascii="宋体" w:hAnsi="宋体" w:eastAsia="宋体"/>
        <w:b/>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00000034"/>
    <w:multiLevelType w:val="multilevel"/>
    <w:tmpl w:val="00000034"/>
    <w:lvl w:ilvl="0" w:tentative="0">
      <w:start w:val="1"/>
      <w:numFmt w:val="decimal"/>
      <w:lvlText w:val="12.3.%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41">
    <w:nsid w:val="00000035"/>
    <w:multiLevelType w:val="multilevel"/>
    <w:tmpl w:val="00000035"/>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00000036"/>
    <w:multiLevelType w:val="multilevel"/>
    <w:tmpl w:val="00000036"/>
    <w:lvl w:ilvl="0" w:tentative="0">
      <w:start w:val="1"/>
      <w:numFmt w:val="decimal"/>
      <w:lvlText w:val="27.1.%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43">
    <w:nsid w:val="00000037"/>
    <w:multiLevelType w:val="multilevel"/>
    <w:tmpl w:val="00000037"/>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00000038"/>
    <w:multiLevelType w:val="multilevel"/>
    <w:tmpl w:val="00000038"/>
    <w:lvl w:ilvl="0" w:tentative="0">
      <w:start w:val="1"/>
      <w:numFmt w:val="decimal"/>
      <w:lvlText w:val="22.%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00000039"/>
    <w:multiLevelType w:val="multilevel"/>
    <w:tmpl w:val="00000039"/>
    <w:lvl w:ilvl="0" w:tentative="0">
      <w:start w:val="1"/>
      <w:numFmt w:val="chineseCountingThousand"/>
      <w:lvlText w:val="（%1） "/>
      <w:lvlJc w:val="left"/>
      <w:pPr>
        <w:ind w:left="902" w:hanging="420"/>
      </w:pPr>
      <w:rPr>
        <w:rFonts w:hint="eastAsia"/>
        <w:b/>
        <w:strike w:val="0"/>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6">
    <w:nsid w:val="0000003A"/>
    <w:multiLevelType w:val="multilevel"/>
    <w:tmpl w:val="0000003A"/>
    <w:lvl w:ilvl="0" w:tentative="0">
      <w:start w:val="1"/>
      <w:numFmt w:val="decimal"/>
      <w:lvlText w:val="%1. "/>
      <w:lvlJc w:val="left"/>
      <w:pPr>
        <w:ind w:left="2121" w:hanging="420"/>
      </w:pPr>
      <w:rPr>
        <w:rFonts w:hint="default" w:ascii="宋体" w:hAnsi="宋体" w:eastAsia="宋体"/>
        <w:b/>
        <w:strike w:val="0"/>
        <w:color w:val="auto"/>
      </w:rPr>
    </w:lvl>
    <w:lvl w:ilvl="1" w:tentative="0">
      <w:start w:val="1"/>
      <w:numFmt w:val="lowerLetter"/>
      <w:lvlText w:val="%2)"/>
      <w:lvlJc w:val="left"/>
      <w:pPr>
        <w:ind w:left="2881" w:hanging="420"/>
      </w:pPr>
    </w:lvl>
    <w:lvl w:ilvl="2" w:tentative="0">
      <w:start w:val="1"/>
      <w:numFmt w:val="lowerRoman"/>
      <w:lvlText w:val="%3."/>
      <w:lvlJc w:val="right"/>
      <w:pPr>
        <w:ind w:left="3301" w:hanging="420"/>
      </w:pPr>
    </w:lvl>
    <w:lvl w:ilvl="3" w:tentative="0">
      <w:start w:val="1"/>
      <w:numFmt w:val="decimal"/>
      <w:lvlText w:val="%4."/>
      <w:lvlJc w:val="left"/>
      <w:pPr>
        <w:ind w:left="3721" w:hanging="420"/>
      </w:pPr>
    </w:lvl>
    <w:lvl w:ilvl="4" w:tentative="0">
      <w:start w:val="1"/>
      <w:numFmt w:val="lowerLetter"/>
      <w:lvlText w:val="%5)"/>
      <w:lvlJc w:val="left"/>
      <w:pPr>
        <w:ind w:left="4141" w:hanging="420"/>
      </w:pPr>
    </w:lvl>
    <w:lvl w:ilvl="5" w:tentative="0">
      <w:start w:val="1"/>
      <w:numFmt w:val="lowerRoman"/>
      <w:lvlText w:val="%6."/>
      <w:lvlJc w:val="right"/>
      <w:pPr>
        <w:ind w:left="4561" w:hanging="420"/>
      </w:pPr>
    </w:lvl>
    <w:lvl w:ilvl="6" w:tentative="0">
      <w:start w:val="1"/>
      <w:numFmt w:val="decimal"/>
      <w:lvlText w:val="%7."/>
      <w:lvlJc w:val="left"/>
      <w:pPr>
        <w:ind w:left="4981" w:hanging="420"/>
      </w:pPr>
    </w:lvl>
    <w:lvl w:ilvl="7" w:tentative="0">
      <w:start w:val="1"/>
      <w:numFmt w:val="lowerLetter"/>
      <w:lvlText w:val="%8)"/>
      <w:lvlJc w:val="left"/>
      <w:pPr>
        <w:ind w:left="5401" w:hanging="420"/>
      </w:pPr>
    </w:lvl>
    <w:lvl w:ilvl="8" w:tentative="0">
      <w:start w:val="1"/>
      <w:numFmt w:val="lowerRoman"/>
      <w:lvlText w:val="%9."/>
      <w:lvlJc w:val="right"/>
      <w:pPr>
        <w:ind w:left="5821" w:hanging="420"/>
      </w:pPr>
    </w:lvl>
  </w:abstractNum>
  <w:abstractNum w:abstractNumId="47">
    <w:nsid w:val="0000003B"/>
    <w:multiLevelType w:val="multilevel"/>
    <w:tmpl w:val="0000003B"/>
    <w:lvl w:ilvl="0" w:tentative="0">
      <w:start w:val="1"/>
      <w:numFmt w:val="decimal"/>
      <w:lvlText w:val="3.2.%1"/>
      <w:lvlJc w:val="left"/>
      <w:pPr>
        <w:ind w:left="987" w:hanging="420"/>
      </w:pPr>
      <w:rPr>
        <w:rFonts w:ascii="楷体" w:hAnsi="楷体" w:eastAsia="楷体"/>
        <w:strike w:val="0"/>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48">
    <w:nsid w:val="0000003C"/>
    <w:multiLevelType w:val="multilevel"/>
    <w:tmpl w:val="0000003C"/>
    <w:lvl w:ilvl="0" w:tentative="0">
      <w:start w:val="1"/>
      <w:numFmt w:val="decimal"/>
      <w:lvlText w:val="5.%1 "/>
      <w:lvlJc w:val="left"/>
      <w:pPr>
        <w:ind w:left="3681"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49">
    <w:nsid w:val="0000003D"/>
    <w:multiLevelType w:val="multilevel"/>
    <w:tmpl w:val="0000003D"/>
    <w:lvl w:ilvl="0" w:tentative="0">
      <w:start w:val="1"/>
      <w:numFmt w:val="decimal"/>
      <w:lvlText w:val="%1. "/>
      <w:lvlJc w:val="left"/>
      <w:pPr>
        <w:ind w:left="2121" w:hanging="420"/>
      </w:pPr>
      <w:rPr>
        <w:rFonts w:hint="default" w:ascii="宋体" w:hAnsi="宋体" w:eastAsia="宋体"/>
        <w:b/>
        <w:strike w:val="0"/>
        <w:color w:val="auto"/>
      </w:rPr>
    </w:lvl>
    <w:lvl w:ilvl="1" w:tentative="0">
      <w:start w:val="1"/>
      <w:numFmt w:val="lowerLetter"/>
      <w:lvlText w:val="%2)"/>
      <w:lvlJc w:val="left"/>
      <w:pPr>
        <w:ind w:left="2881" w:hanging="420"/>
      </w:pPr>
    </w:lvl>
    <w:lvl w:ilvl="2" w:tentative="0">
      <w:start w:val="1"/>
      <w:numFmt w:val="lowerRoman"/>
      <w:lvlText w:val="%3."/>
      <w:lvlJc w:val="right"/>
      <w:pPr>
        <w:ind w:left="3301" w:hanging="420"/>
      </w:pPr>
    </w:lvl>
    <w:lvl w:ilvl="3" w:tentative="0">
      <w:start w:val="1"/>
      <w:numFmt w:val="decimal"/>
      <w:lvlText w:val="%4."/>
      <w:lvlJc w:val="left"/>
      <w:pPr>
        <w:ind w:left="3721" w:hanging="420"/>
      </w:pPr>
    </w:lvl>
    <w:lvl w:ilvl="4" w:tentative="0">
      <w:start w:val="1"/>
      <w:numFmt w:val="lowerLetter"/>
      <w:lvlText w:val="%5)"/>
      <w:lvlJc w:val="left"/>
      <w:pPr>
        <w:ind w:left="4141" w:hanging="420"/>
      </w:pPr>
    </w:lvl>
    <w:lvl w:ilvl="5" w:tentative="0">
      <w:start w:val="1"/>
      <w:numFmt w:val="lowerRoman"/>
      <w:lvlText w:val="%6."/>
      <w:lvlJc w:val="right"/>
      <w:pPr>
        <w:ind w:left="4561" w:hanging="420"/>
      </w:pPr>
    </w:lvl>
    <w:lvl w:ilvl="6" w:tentative="0">
      <w:start w:val="1"/>
      <w:numFmt w:val="decimal"/>
      <w:lvlText w:val="%7."/>
      <w:lvlJc w:val="left"/>
      <w:pPr>
        <w:ind w:left="4981" w:hanging="420"/>
      </w:pPr>
    </w:lvl>
    <w:lvl w:ilvl="7" w:tentative="0">
      <w:start w:val="1"/>
      <w:numFmt w:val="lowerLetter"/>
      <w:lvlText w:val="%8)"/>
      <w:lvlJc w:val="left"/>
      <w:pPr>
        <w:ind w:left="5401" w:hanging="420"/>
      </w:pPr>
    </w:lvl>
    <w:lvl w:ilvl="8" w:tentative="0">
      <w:start w:val="1"/>
      <w:numFmt w:val="lowerRoman"/>
      <w:lvlText w:val="%9."/>
      <w:lvlJc w:val="right"/>
      <w:pPr>
        <w:ind w:left="5821" w:hanging="420"/>
      </w:pPr>
    </w:lvl>
  </w:abstractNum>
  <w:abstractNum w:abstractNumId="50">
    <w:nsid w:val="0000003E"/>
    <w:multiLevelType w:val="multilevel"/>
    <w:tmpl w:val="0000003E"/>
    <w:lvl w:ilvl="0" w:tentative="0">
      <w:start w:val="1"/>
      <w:numFmt w:val="decimal"/>
      <w:lvlText w:val="3.%1 "/>
      <w:lvlJc w:val="left"/>
      <w:pPr>
        <w:ind w:left="3681"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51">
    <w:nsid w:val="0000003F"/>
    <w:multiLevelType w:val="multilevel"/>
    <w:tmpl w:val="0000003F"/>
    <w:lvl w:ilvl="0" w:tentative="0">
      <w:start w:val="1"/>
      <w:numFmt w:val="decimal"/>
      <w:lvlText w:val="%1. "/>
      <w:lvlJc w:val="left"/>
      <w:pPr>
        <w:ind w:left="2121" w:hanging="420"/>
      </w:pPr>
      <w:rPr>
        <w:rFonts w:hint="default" w:ascii="宋体" w:hAnsi="宋体" w:eastAsia="宋体"/>
        <w:b/>
        <w:strike w:val="0"/>
        <w:color w:val="auto"/>
      </w:rPr>
    </w:lvl>
    <w:lvl w:ilvl="1" w:tentative="0">
      <w:start w:val="1"/>
      <w:numFmt w:val="lowerLetter"/>
      <w:lvlText w:val="%2)"/>
      <w:lvlJc w:val="left"/>
      <w:pPr>
        <w:ind w:left="2881" w:hanging="420"/>
      </w:pPr>
    </w:lvl>
    <w:lvl w:ilvl="2" w:tentative="0">
      <w:start w:val="1"/>
      <w:numFmt w:val="lowerRoman"/>
      <w:lvlText w:val="%3."/>
      <w:lvlJc w:val="right"/>
      <w:pPr>
        <w:ind w:left="3301" w:hanging="420"/>
      </w:pPr>
    </w:lvl>
    <w:lvl w:ilvl="3" w:tentative="0">
      <w:start w:val="1"/>
      <w:numFmt w:val="decimal"/>
      <w:lvlText w:val="%4."/>
      <w:lvlJc w:val="left"/>
      <w:pPr>
        <w:ind w:left="3721" w:hanging="420"/>
      </w:pPr>
    </w:lvl>
    <w:lvl w:ilvl="4" w:tentative="0">
      <w:start w:val="1"/>
      <w:numFmt w:val="lowerLetter"/>
      <w:lvlText w:val="%5)"/>
      <w:lvlJc w:val="left"/>
      <w:pPr>
        <w:ind w:left="4141" w:hanging="420"/>
      </w:pPr>
    </w:lvl>
    <w:lvl w:ilvl="5" w:tentative="0">
      <w:start w:val="1"/>
      <w:numFmt w:val="lowerRoman"/>
      <w:lvlText w:val="%6."/>
      <w:lvlJc w:val="right"/>
      <w:pPr>
        <w:ind w:left="4561" w:hanging="420"/>
      </w:pPr>
    </w:lvl>
    <w:lvl w:ilvl="6" w:tentative="0">
      <w:start w:val="1"/>
      <w:numFmt w:val="decimal"/>
      <w:lvlText w:val="%7."/>
      <w:lvlJc w:val="left"/>
      <w:pPr>
        <w:ind w:left="4981" w:hanging="420"/>
      </w:pPr>
    </w:lvl>
    <w:lvl w:ilvl="7" w:tentative="0">
      <w:start w:val="1"/>
      <w:numFmt w:val="lowerLetter"/>
      <w:lvlText w:val="%8)"/>
      <w:lvlJc w:val="left"/>
      <w:pPr>
        <w:ind w:left="5401" w:hanging="420"/>
      </w:pPr>
    </w:lvl>
    <w:lvl w:ilvl="8" w:tentative="0">
      <w:start w:val="1"/>
      <w:numFmt w:val="lowerRoman"/>
      <w:lvlText w:val="%9."/>
      <w:lvlJc w:val="right"/>
      <w:pPr>
        <w:ind w:left="5821" w:hanging="420"/>
      </w:pPr>
    </w:lvl>
  </w:abstractNum>
  <w:abstractNum w:abstractNumId="52">
    <w:nsid w:val="00000040"/>
    <w:multiLevelType w:val="multilevel"/>
    <w:tmpl w:val="00000040"/>
    <w:lvl w:ilvl="0" w:tentative="0">
      <w:start w:val="1"/>
      <w:numFmt w:val="decimal"/>
      <w:lvlText w:val="25.%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00000042"/>
    <w:multiLevelType w:val="multilevel"/>
    <w:tmpl w:val="00000042"/>
    <w:lvl w:ilvl="0" w:tentative="0">
      <w:start w:val="1"/>
      <w:numFmt w:val="decimal"/>
      <w:lvlText w:val="12.%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00000043"/>
    <w:multiLevelType w:val="multilevel"/>
    <w:tmpl w:val="00000043"/>
    <w:lvl w:ilvl="0" w:tentative="0">
      <w:start w:val="1"/>
      <w:numFmt w:val="decimal"/>
      <w:lvlText w:val="32.%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00000045"/>
    <w:multiLevelType w:val="multilevel"/>
    <w:tmpl w:val="00000045"/>
    <w:lvl w:ilvl="0" w:tentative="0">
      <w:start w:val="1"/>
      <w:numFmt w:val="decimal"/>
      <w:lvlText w:val="28.%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00000046"/>
    <w:multiLevelType w:val="multilevel"/>
    <w:tmpl w:val="00000046"/>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00000047"/>
    <w:multiLevelType w:val="singleLevel"/>
    <w:tmpl w:val="00000047"/>
    <w:lvl w:ilvl="0" w:tentative="0">
      <w:start w:val="1"/>
      <w:numFmt w:val="chineseCounting"/>
      <w:suff w:val="space"/>
      <w:lvlText w:val="第%1章"/>
      <w:lvlJc w:val="left"/>
    </w:lvl>
  </w:abstractNum>
  <w:abstractNum w:abstractNumId="58">
    <w:nsid w:val="00000048"/>
    <w:multiLevelType w:val="multilevel"/>
    <w:tmpl w:val="00000048"/>
    <w:lvl w:ilvl="0" w:tentative="0">
      <w:start w:val="1"/>
      <w:numFmt w:val="decimal"/>
      <w:lvlText w:val="4.%1 "/>
      <w:lvlJc w:val="left"/>
      <w:pPr>
        <w:ind w:left="3681"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59">
    <w:nsid w:val="00000049"/>
    <w:multiLevelType w:val="multilevel"/>
    <w:tmpl w:val="00000049"/>
    <w:lvl w:ilvl="0" w:tentative="0">
      <w:start w:val="1"/>
      <w:numFmt w:val="decimal"/>
      <w:lvlText w:val="6.%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60">
    <w:nsid w:val="78023C11"/>
    <w:multiLevelType w:val="multilevel"/>
    <w:tmpl w:val="78023C11"/>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9"/>
  </w:num>
  <w:num w:numId="2">
    <w:abstractNumId w:val="56"/>
  </w:num>
  <w:num w:numId="3">
    <w:abstractNumId w:val="14"/>
  </w:num>
  <w:num w:numId="4">
    <w:abstractNumId w:val="35"/>
  </w:num>
  <w:num w:numId="5">
    <w:abstractNumId w:val="21"/>
  </w:num>
  <w:num w:numId="6">
    <w:abstractNumId w:val="1"/>
  </w:num>
  <w:num w:numId="7">
    <w:abstractNumId w:val="16"/>
  </w:num>
  <w:num w:numId="8">
    <w:abstractNumId w:val="57"/>
  </w:num>
  <w:num w:numId="9">
    <w:abstractNumId w:val="59"/>
  </w:num>
  <w:num w:numId="10">
    <w:abstractNumId w:val="38"/>
  </w:num>
  <w:num w:numId="11">
    <w:abstractNumId w:val="15"/>
  </w:num>
  <w:num w:numId="12">
    <w:abstractNumId w:val="23"/>
  </w:num>
  <w:num w:numId="13">
    <w:abstractNumId w:val="53"/>
  </w:num>
  <w:num w:numId="14">
    <w:abstractNumId w:val="40"/>
  </w:num>
  <w:num w:numId="15">
    <w:abstractNumId w:val="32"/>
  </w:num>
  <w:num w:numId="16">
    <w:abstractNumId w:val="12"/>
  </w:num>
  <w:num w:numId="17">
    <w:abstractNumId w:val="33"/>
  </w:num>
  <w:num w:numId="18">
    <w:abstractNumId w:val="37"/>
  </w:num>
  <w:num w:numId="19">
    <w:abstractNumId w:val="17"/>
  </w:num>
  <w:num w:numId="20">
    <w:abstractNumId w:val="20"/>
  </w:num>
  <w:num w:numId="21">
    <w:abstractNumId w:val="44"/>
  </w:num>
  <w:num w:numId="22">
    <w:abstractNumId w:val="25"/>
  </w:num>
  <w:num w:numId="23">
    <w:abstractNumId w:val="7"/>
  </w:num>
  <w:num w:numId="24">
    <w:abstractNumId w:val="52"/>
  </w:num>
  <w:num w:numId="25">
    <w:abstractNumId w:val="8"/>
  </w:num>
  <w:num w:numId="26">
    <w:abstractNumId w:val="31"/>
  </w:num>
  <w:num w:numId="27">
    <w:abstractNumId w:val="42"/>
  </w:num>
  <w:num w:numId="28">
    <w:abstractNumId w:val="55"/>
  </w:num>
  <w:num w:numId="29">
    <w:abstractNumId w:val="29"/>
  </w:num>
  <w:num w:numId="30">
    <w:abstractNumId w:val="19"/>
  </w:num>
  <w:num w:numId="31">
    <w:abstractNumId w:val="0"/>
  </w:num>
  <w:num w:numId="32">
    <w:abstractNumId w:val="54"/>
  </w:num>
  <w:num w:numId="33">
    <w:abstractNumId w:val="30"/>
  </w:num>
  <w:num w:numId="34">
    <w:abstractNumId w:val="13"/>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6"/>
  </w:num>
  <w:num w:numId="38">
    <w:abstractNumId w:val="24"/>
  </w:num>
  <w:num w:numId="39">
    <w:abstractNumId w:val="34"/>
  </w:num>
  <w:num w:numId="40">
    <w:abstractNumId w:val="45"/>
  </w:num>
  <w:num w:numId="41">
    <w:abstractNumId w:val="51"/>
  </w:num>
  <w:num w:numId="42">
    <w:abstractNumId w:val="49"/>
  </w:num>
  <w:num w:numId="43">
    <w:abstractNumId w:val="50"/>
  </w:num>
  <w:num w:numId="44">
    <w:abstractNumId w:val="46"/>
  </w:num>
  <w:num w:numId="45">
    <w:abstractNumId w:val="2"/>
  </w:num>
  <w:num w:numId="46">
    <w:abstractNumId w:val="47"/>
    <w:lvlOverride w:ilvl="0">
      <w:startOverride w:val="1"/>
    </w:lvlOverride>
  </w:num>
  <w:num w:numId="47">
    <w:abstractNumId w:val="58"/>
  </w:num>
  <w:num w:numId="48">
    <w:abstractNumId w:val="48"/>
  </w:num>
  <w:num w:numId="49">
    <w:abstractNumId w:val="27"/>
  </w:num>
  <w:num w:numId="50">
    <w:abstractNumId w:val="4"/>
  </w:num>
  <w:num w:numId="51">
    <w:abstractNumId w:val="22"/>
  </w:num>
  <w:num w:numId="52">
    <w:abstractNumId w:val="10"/>
  </w:num>
  <w:num w:numId="53">
    <w:abstractNumId w:val="28"/>
  </w:num>
  <w:num w:numId="54">
    <w:abstractNumId w:val="18"/>
  </w:num>
  <w:num w:numId="55">
    <w:abstractNumId w:val="5"/>
  </w:num>
  <w:num w:numId="56">
    <w:abstractNumId w:val="9"/>
  </w:num>
  <w:num w:numId="57">
    <w:abstractNumId w:val="3"/>
  </w:num>
  <w:num w:numId="58">
    <w:abstractNumId w:val="43"/>
  </w:num>
  <w:num w:numId="59">
    <w:abstractNumId w:val="41"/>
  </w:num>
  <w:num w:numId="60">
    <w:abstractNumId w:val="11"/>
  </w:num>
  <w:num w:numId="6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799057B"/>
    <w:rsid w:val="087D4945"/>
    <w:rsid w:val="09D119C3"/>
    <w:rsid w:val="0D2907D0"/>
    <w:rsid w:val="0D7B63A5"/>
    <w:rsid w:val="0DFA6D9F"/>
    <w:rsid w:val="0FC351FA"/>
    <w:rsid w:val="110A4519"/>
    <w:rsid w:val="115500E0"/>
    <w:rsid w:val="133329D4"/>
    <w:rsid w:val="14061E9C"/>
    <w:rsid w:val="15212771"/>
    <w:rsid w:val="16157CFF"/>
    <w:rsid w:val="18DF6545"/>
    <w:rsid w:val="19514422"/>
    <w:rsid w:val="19EB6EFC"/>
    <w:rsid w:val="1A7E530F"/>
    <w:rsid w:val="1B240BFF"/>
    <w:rsid w:val="1C2F73FD"/>
    <w:rsid w:val="1CF01294"/>
    <w:rsid w:val="1EED15B8"/>
    <w:rsid w:val="1EF17564"/>
    <w:rsid w:val="231C2D6C"/>
    <w:rsid w:val="242F2667"/>
    <w:rsid w:val="257E45D2"/>
    <w:rsid w:val="27641C0F"/>
    <w:rsid w:val="29427FB6"/>
    <w:rsid w:val="2B792837"/>
    <w:rsid w:val="2E811957"/>
    <w:rsid w:val="31B07AEF"/>
    <w:rsid w:val="349C51A6"/>
    <w:rsid w:val="35F8261C"/>
    <w:rsid w:val="36574978"/>
    <w:rsid w:val="37383E14"/>
    <w:rsid w:val="37E411E4"/>
    <w:rsid w:val="39196B83"/>
    <w:rsid w:val="3B9F0611"/>
    <w:rsid w:val="3CFA15CE"/>
    <w:rsid w:val="3D2020DB"/>
    <w:rsid w:val="3DF37EC1"/>
    <w:rsid w:val="408E4FA7"/>
    <w:rsid w:val="424231B9"/>
    <w:rsid w:val="428C1D55"/>
    <w:rsid w:val="47382C1C"/>
    <w:rsid w:val="47516876"/>
    <w:rsid w:val="49783A4F"/>
    <w:rsid w:val="4AC36A77"/>
    <w:rsid w:val="4BA12EEA"/>
    <w:rsid w:val="4C1A6C84"/>
    <w:rsid w:val="4CEB53BD"/>
    <w:rsid w:val="4D207699"/>
    <w:rsid w:val="4FA07D49"/>
    <w:rsid w:val="50632EAF"/>
    <w:rsid w:val="50D57536"/>
    <w:rsid w:val="52D367F3"/>
    <w:rsid w:val="54625107"/>
    <w:rsid w:val="55055FCC"/>
    <w:rsid w:val="55623327"/>
    <w:rsid w:val="573F5FD8"/>
    <w:rsid w:val="5A255F47"/>
    <w:rsid w:val="5BD21604"/>
    <w:rsid w:val="5C3706EB"/>
    <w:rsid w:val="5DA82F58"/>
    <w:rsid w:val="5E390DFA"/>
    <w:rsid w:val="60293021"/>
    <w:rsid w:val="60641B25"/>
    <w:rsid w:val="63D539A0"/>
    <w:rsid w:val="64E27607"/>
    <w:rsid w:val="65747CB7"/>
    <w:rsid w:val="672C6BAC"/>
    <w:rsid w:val="76326190"/>
    <w:rsid w:val="77E70DE8"/>
    <w:rsid w:val="78AA4A74"/>
    <w:rsid w:val="79615A79"/>
    <w:rsid w:val="7B9D0D33"/>
    <w:rsid w:val="7E6A36C6"/>
    <w:rsid w:val="7EC904CD"/>
    <w:rsid w:val="7FAA64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0"/>
    <w:qFormat/>
    <w:uiPriority w:val="0"/>
    <w:pPr>
      <w:keepNext/>
      <w:keepLines/>
      <w:spacing w:before="260" w:after="260" w:line="416" w:lineRule="auto"/>
      <w:outlineLvl w:val="1"/>
    </w:pPr>
    <w:rPr>
      <w:rFonts w:ascii="Cambria" w:hAnsi="Cambria" w:eastAsia="宋体" w:cs="黑体"/>
      <w:b/>
      <w:bCs/>
      <w:sz w:val="32"/>
      <w:szCs w:val="32"/>
    </w:rPr>
  </w:style>
  <w:style w:type="character" w:default="1" w:styleId="15">
    <w:name w:val="Default Paragraph Font"/>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link w:val="41"/>
    <w:qFormat/>
    <w:uiPriority w:val="0"/>
    <w:pPr>
      <w:jc w:val="left"/>
    </w:pPr>
  </w:style>
  <w:style w:type="paragraph" w:styleId="5">
    <w:name w:val="Body Text"/>
    <w:basedOn w:val="1"/>
    <w:qFormat/>
    <w:uiPriority w:val="0"/>
    <w:pPr>
      <w:spacing w:after="120"/>
    </w:pPr>
  </w:style>
  <w:style w:type="paragraph" w:styleId="6">
    <w:name w:val="toc 3"/>
    <w:basedOn w:val="1"/>
    <w:next w:val="1"/>
    <w:qFormat/>
    <w:uiPriority w:val="0"/>
    <w:pPr>
      <w:widowControl/>
      <w:spacing w:after="100" w:line="276" w:lineRule="auto"/>
      <w:ind w:left="440"/>
      <w:jc w:val="left"/>
    </w:pPr>
    <w:rPr>
      <w:kern w:val="0"/>
      <w:sz w:val="22"/>
    </w:rPr>
  </w:style>
  <w:style w:type="paragraph" w:styleId="7">
    <w:name w:val="endnote text"/>
    <w:basedOn w:val="1"/>
    <w:link w:val="42"/>
    <w:qFormat/>
    <w:uiPriority w:val="0"/>
    <w:pPr>
      <w:snapToGrid w:val="0"/>
      <w:jc w:val="left"/>
    </w:pPr>
  </w:style>
  <w:style w:type="paragraph" w:styleId="8">
    <w:name w:val="footer"/>
    <w:basedOn w:val="1"/>
    <w:link w:val="43"/>
    <w:qFormat/>
    <w:uiPriority w:val="0"/>
    <w:pPr>
      <w:tabs>
        <w:tab w:val="center" w:pos="4153"/>
        <w:tab w:val="right" w:pos="8306"/>
      </w:tabs>
      <w:snapToGrid w:val="0"/>
      <w:jc w:val="left"/>
    </w:pPr>
    <w:rPr>
      <w:sz w:val="18"/>
      <w:szCs w:val="18"/>
    </w:rPr>
  </w:style>
  <w:style w:type="paragraph" w:styleId="9">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1"/>
    <w:next w:val="2"/>
    <w:qFormat/>
    <w:uiPriority w:val="0"/>
    <w:pPr>
      <w:widowControl/>
      <w:spacing w:line="440" w:lineRule="exact"/>
      <w:jc w:val="left"/>
    </w:pPr>
    <w:rPr>
      <w:rFonts w:eastAsia="黑体"/>
      <w:b/>
      <w:i w:val="0"/>
      <w:kern w:val="0"/>
      <w:sz w:val="28"/>
    </w:rPr>
  </w:style>
  <w:style w:type="paragraph" w:customStyle="1" w:styleId="11">
    <w:name w:val="文本块1"/>
    <w:basedOn w:val="1"/>
    <w:next w:val="1"/>
    <w:link w:val="48"/>
    <w:qFormat/>
    <w:uiPriority w:val="0"/>
    <w:rPr>
      <w:i/>
      <w:iCs/>
      <w:color w:val="000000"/>
    </w:rPr>
  </w:style>
  <w:style w:type="paragraph" w:styleId="12">
    <w:name w:val="toc 2"/>
    <w:basedOn w:val="11"/>
    <w:next w:val="3"/>
    <w:qFormat/>
    <w:uiPriority w:val="0"/>
    <w:pPr>
      <w:widowControl/>
      <w:tabs>
        <w:tab w:val="left" w:pos="756"/>
        <w:tab w:val="left" w:pos="966"/>
        <w:tab w:val="left" w:pos="1204"/>
        <w:tab w:val="left" w:pos="1442"/>
        <w:tab w:val="right" w:leader="dot" w:pos="9514"/>
      </w:tabs>
      <w:spacing w:line="276" w:lineRule="auto"/>
      <w:ind w:left="220"/>
      <w:jc w:val="left"/>
    </w:pPr>
    <w:rPr>
      <w:rFonts w:ascii="宋体" w:hAnsi="宋体"/>
      <w:i w:val="0"/>
      <w:kern w:val="0"/>
      <w:sz w:val="24"/>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6">
    <w:name w:val="Strong"/>
    <w:qFormat/>
    <w:uiPriority w:val="0"/>
    <w:rPr>
      <w:b/>
    </w:rPr>
  </w:style>
  <w:style w:type="character" w:styleId="17">
    <w:name w:val="endnote reference"/>
    <w:qFormat/>
    <w:uiPriority w:val="0"/>
    <w:rPr>
      <w:vertAlign w:val="superscript"/>
    </w:rPr>
  </w:style>
  <w:style w:type="character" w:styleId="18">
    <w:name w:val="Hyperlink"/>
    <w:qFormat/>
    <w:uiPriority w:val="0"/>
    <w:rPr>
      <w:color w:val="0000FF"/>
      <w:u w:val="single"/>
    </w:rPr>
  </w:style>
  <w:style w:type="character" w:customStyle="1" w:styleId="19">
    <w:name w:val="批注主题 Char"/>
    <w:link w:val="20"/>
    <w:semiHidden/>
    <w:qFormat/>
    <w:uiPriority w:val="0"/>
    <w:rPr>
      <w:b/>
      <w:bCs/>
    </w:rPr>
  </w:style>
  <w:style w:type="paragraph" w:customStyle="1" w:styleId="20">
    <w:name w:val="批注主题1"/>
    <w:basedOn w:val="4"/>
    <w:next w:val="4"/>
    <w:link w:val="19"/>
    <w:qFormat/>
    <w:uiPriority w:val="0"/>
    <w:rPr>
      <w:b/>
      <w:bCs/>
    </w:rPr>
  </w:style>
  <w:style w:type="character" w:customStyle="1" w:styleId="21">
    <w:name w:val="正文缩进 Char"/>
    <w:link w:val="22"/>
    <w:semiHidden/>
    <w:qFormat/>
    <w:uiPriority w:val="0"/>
    <w:rPr>
      <w:szCs w:val="20"/>
    </w:rPr>
  </w:style>
  <w:style w:type="paragraph" w:customStyle="1" w:styleId="22">
    <w:name w:val="Normal Indent"/>
    <w:basedOn w:val="1"/>
    <w:link w:val="21"/>
    <w:qFormat/>
    <w:uiPriority w:val="0"/>
    <w:pPr>
      <w:ind w:firstLine="420"/>
    </w:pPr>
    <w:rPr>
      <w:szCs w:val="20"/>
    </w:rPr>
  </w:style>
  <w:style w:type="character" w:customStyle="1" w:styleId="23">
    <w:name w:val="文档结构图 Char"/>
    <w:link w:val="24"/>
    <w:semiHidden/>
    <w:qFormat/>
    <w:uiPriority w:val="0"/>
    <w:rPr>
      <w:rFonts w:ascii="宋体" w:eastAsia="宋体"/>
      <w:sz w:val="18"/>
      <w:szCs w:val="18"/>
    </w:rPr>
  </w:style>
  <w:style w:type="paragraph" w:customStyle="1" w:styleId="24">
    <w:name w:val="文档结构图1"/>
    <w:basedOn w:val="1"/>
    <w:link w:val="23"/>
    <w:qFormat/>
    <w:uiPriority w:val="0"/>
    <w:rPr>
      <w:rFonts w:ascii="宋体" w:eastAsia="宋体"/>
      <w:sz w:val="18"/>
      <w:szCs w:val="18"/>
    </w:rPr>
  </w:style>
  <w:style w:type="character" w:customStyle="1" w:styleId="25">
    <w:name w:val="纯文本 Char"/>
    <w:link w:val="26"/>
    <w:semiHidden/>
    <w:qFormat/>
    <w:uiPriority w:val="0"/>
    <w:rPr>
      <w:rFonts w:ascii="宋体" w:hAnsi="Courier New" w:cs="Courier New"/>
      <w:szCs w:val="21"/>
    </w:rPr>
  </w:style>
  <w:style w:type="paragraph" w:customStyle="1" w:styleId="26">
    <w:name w:val="纯文本1"/>
    <w:basedOn w:val="1"/>
    <w:link w:val="25"/>
    <w:qFormat/>
    <w:uiPriority w:val="0"/>
    <w:rPr>
      <w:rFonts w:ascii="宋体" w:hAnsi="Courier New" w:cs="Courier New"/>
      <w:szCs w:val="21"/>
    </w:rPr>
  </w:style>
  <w:style w:type="paragraph" w:customStyle="1" w:styleId="27">
    <w:name w:val="正文缩进1"/>
    <w:basedOn w:val="1"/>
    <w:qFormat/>
    <w:uiPriority w:val="0"/>
    <w:pPr>
      <w:ind w:firstLine="420"/>
    </w:pPr>
    <w:rPr>
      <w:szCs w:val="20"/>
    </w:rPr>
  </w:style>
  <w:style w:type="paragraph" w:customStyle="1" w:styleId="28">
    <w:name w:val="正文文本 21"/>
    <w:basedOn w:val="1"/>
    <w:qFormat/>
    <w:uiPriority w:val="0"/>
    <w:rPr>
      <w:rFonts w:ascii="仿宋_GB2312"/>
      <w:b/>
      <w:bCs/>
      <w:kern w:val="44"/>
      <w:szCs w:val="44"/>
    </w:rPr>
  </w:style>
  <w:style w:type="paragraph" w:customStyle="1" w:styleId="29">
    <w:name w:val="批注框文本 Char Char"/>
    <w:basedOn w:val="1"/>
    <w:link w:val="45"/>
    <w:qFormat/>
    <w:uiPriority w:val="0"/>
    <w:rPr>
      <w:sz w:val="18"/>
      <w:szCs w:val="18"/>
    </w:rPr>
  </w:style>
  <w:style w:type="paragraph" w:customStyle="1" w:styleId="30">
    <w:name w:val="列出段落1"/>
    <w:basedOn w:val="1"/>
    <w:qFormat/>
    <w:uiPriority w:val="0"/>
    <w:pPr>
      <w:ind w:firstLine="420" w:firstLineChars="200"/>
    </w:pPr>
  </w:style>
  <w:style w:type="paragraph" w:customStyle="1" w:styleId="31">
    <w:name w:val="TOC 标题1"/>
    <w:basedOn w:val="2"/>
    <w:next w:val="1"/>
    <w:qFormat/>
    <w:uiPriority w:val="0"/>
    <w:pPr>
      <w:widowControl/>
      <w:spacing w:before="480" w:after="0" w:line="276" w:lineRule="auto"/>
      <w:jc w:val="left"/>
      <w:outlineLvl w:val="9"/>
    </w:pPr>
    <w:rPr>
      <w:rFonts w:ascii="Cambria" w:hAnsi="Cambria"/>
      <w:color w:val="365F90"/>
      <w:kern w:val="0"/>
      <w:sz w:val="28"/>
      <w:szCs w:val="28"/>
    </w:rPr>
  </w:style>
  <w:style w:type="paragraph" w:customStyle="1" w:styleId="32">
    <w:name w:val="_Style 2"/>
    <w:basedOn w:val="1"/>
    <w:qFormat/>
    <w:uiPriority w:val="0"/>
    <w:pPr>
      <w:ind w:firstLine="420" w:firstLineChars="200"/>
    </w:pPr>
    <w:rPr>
      <w:rFonts w:ascii="Times New Roman" w:hAnsi="Times New Roman" w:cs="Times New Roman"/>
      <w:szCs w:val="24"/>
    </w:rPr>
  </w:style>
  <w:style w:type="paragraph" w:customStyle="1" w:styleId="33">
    <w:name w:val="列出段落2"/>
    <w:basedOn w:val="1"/>
    <w:qFormat/>
    <w:uiPriority w:val="0"/>
    <w:pPr>
      <w:ind w:firstLine="420" w:firstLineChars="200"/>
    </w:pPr>
    <w:rPr>
      <w:rFonts w:ascii="等线" w:hAnsi="等线" w:eastAsia="等线" w:cs="Times New Roman"/>
    </w:rPr>
  </w:style>
  <w:style w:type="paragraph" w:customStyle="1" w:styleId="34">
    <w:name w:val="_正文"/>
    <w:basedOn w:val="1"/>
    <w:qFormat/>
    <w:uiPriority w:val="0"/>
    <w:pPr>
      <w:adjustRightInd w:val="0"/>
      <w:snapToGrid w:val="0"/>
      <w:spacing w:line="360" w:lineRule="auto"/>
      <w:ind w:firstLine="1596" w:firstLineChars="200"/>
    </w:pPr>
    <w:rPr>
      <w:rFonts w:cs="Times New Roman"/>
      <w:sz w:val="24"/>
      <w:szCs w:val="21"/>
    </w:rPr>
  </w:style>
  <w:style w:type="paragraph" w:customStyle="1" w:styleId="35">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36">
    <w:name w:val="Default"/>
    <w:qFormat/>
    <w:uiPriority w:val="0"/>
    <w:pPr>
      <w:widowControl w:val="0"/>
      <w:autoSpaceDE w:val="0"/>
      <w:autoSpaceDN w:val="0"/>
      <w:adjustRightInd w:val="0"/>
    </w:pPr>
    <w:rPr>
      <w:rFonts w:ascii="Arial Narrow" w:hAnsi="Arial Narrow" w:eastAsia="宋体" w:cs="Arial Narrow"/>
      <w:color w:val="000000"/>
      <w:sz w:val="24"/>
      <w:szCs w:val="24"/>
      <w:lang w:val="en-US" w:eastAsia="zh-CN" w:bidi="ar-SA"/>
    </w:rPr>
  </w:style>
  <w:style w:type="character" w:customStyle="1" w:styleId="37">
    <w:name w:val="page number"/>
    <w:basedOn w:val="15"/>
    <w:qFormat/>
    <w:uiPriority w:val="0"/>
  </w:style>
  <w:style w:type="character" w:customStyle="1" w:styleId="38">
    <w:name w:val="页码1"/>
    <w:basedOn w:val="15"/>
    <w:qFormat/>
    <w:uiPriority w:val="0"/>
  </w:style>
  <w:style w:type="character" w:customStyle="1" w:styleId="39">
    <w:name w:val="标题 1 字符"/>
    <w:link w:val="2"/>
    <w:semiHidden/>
    <w:qFormat/>
    <w:uiPriority w:val="0"/>
    <w:rPr>
      <w:b/>
      <w:bCs/>
      <w:kern w:val="44"/>
      <w:sz w:val="44"/>
      <w:szCs w:val="44"/>
    </w:rPr>
  </w:style>
  <w:style w:type="character" w:customStyle="1" w:styleId="40">
    <w:name w:val="标题 2 字符"/>
    <w:link w:val="3"/>
    <w:semiHidden/>
    <w:qFormat/>
    <w:uiPriority w:val="0"/>
    <w:rPr>
      <w:rFonts w:ascii="Cambria" w:hAnsi="Cambria" w:eastAsia="宋体" w:cs="黑体"/>
      <w:b/>
      <w:bCs/>
      <w:sz w:val="32"/>
      <w:szCs w:val="32"/>
    </w:rPr>
  </w:style>
  <w:style w:type="character" w:customStyle="1" w:styleId="41">
    <w:name w:val="批注文字 字符"/>
    <w:basedOn w:val="15"/>
    <w:link w:val="4"/>
    <w:semiHidden/>
    <w:qFormat/>
    <w:uiPriority w:val="0"/>
  </w:style>
  <w:style w:type="character" w:customStyle="1" w:styleId="42">
    <w:name w:val="尾注文本 字符"/>
    <w:basedOn w:val="15"/>
    <w:link w:val="7"/>
    <w:semiHidden/>
    <w:qFormat/>
    <w:uiPriority w:val="0"/>
  </w:style>
  <w:style w:type="character" w:customStyle="1" w:styleId="43">
    <w:name w:val="页脚 字符"/>
    <w:link w:val="8"/>
    <w:semiHidden/>
    <w:qFormat/>
    <w:uiPriority w:val="0"/>
    <w:rPr>
      <w:sz w:val="18"/>
      <w:szCs w:val="18"/>
    </w:rPr>
  </w:style>
  <w:style w:type="character" w:customStyle="1" w:styleId="44">
    <w:name w:val="页眉 字符"/>
    <w:link w:val="9"/>
    <w:semiHidden/>
    <w:qFormat/>
    <w:uiPriority w:val="0"/>
    <w:rPr>
      <w:sz w:val="18"/>
      <w:szCs w:val="18"/>
    </w:rPr>
  </w:style>
  <w:style w:type="character" w:customStyle="1" w:styleId="45">
    <w:name w:val="批注框文本 Char Char Char Char"/>
    <w:link w:val="29"/>
    <w:semiHidden/>
    <w:qFormat/>
    <w:uiPriority w:val="0"/>
    <w:rPr>
      <w:sz w:val="18"/>
      <w:szCs w:val="18"/>
    </w:rPr>
  </w:style>
  <w:style w:type="character" w:customStyle="1" w:styleId="46">
    <w:name w:val="批注引用1"/>
    <w:qFormat/>
    <w:uiPriority w:val="0"/>
    <w:rPr>
      <w:sz w:val="21"/>
    </w:rPr>
  </w:style>
  <w:style w:type="character" w:customStyle="1" w:styleId="47">
    <w:name w:val="纯文本 Char1"/>
    <w:qFormat/>
    <w:uiPriority w:val="0"/>
    <w:rPr>
      <w:rFonts w:ascii="宋体" w:hAnsi="Courier New" w:eastAsia="宋体" w:cs="Courier New"/>
      <w:szCs w:val="21"/>
    </w:rPr>
  </w:style>
  <w:style w:type="character" w:customStyle="1" w:styleId="48">
    <w:name w:val="引用 Char"/>
    <w:link w:val="11"/>
    <w:semiHidden/>
    <w:qFormat/>
    <w:uiPriority w:val="0"/>
    <w:rPr>
      <w:i/>
      <w:iCs/>
      <w:color w:val="000000"/>
    </w:rPr>
  </w:style>
  <w:style w:type="character" w:customStyle="1" w:styleId="49">
    <w:name w:val="页码11"/>
    <w:qFormat/>
    <w:uiPriority w:val="0"/>
    <w:rPr>
      <w:rFonts w:ascii="Times New Roman" w:cs="Times New Roman"/>
      <w:sz w:val="24"/>
    </w:rPr>
  </w:style>
  <w:style w:type="character" w:customStyle="1" w:styleId="50">
    <w:name w:val="font01"/>
    <w:qFormat/>
    <w:uiPriority w:val="0"/>
    <w:rPr>
      <w:rFonts w:hint="eastAsia" w:ascii="宋体" w:hAnsi="宋体" w:eastAsia="宋体" w:cs="宋体"/>
      <w:color w:val="000000"/>
      <w:sz w:val="20"/>
      <w:szCs w:val="20"/>
      <w:u w:val="none"/>
    </w:rPr>
  </w:style>
  <w:style w:type="paragraph" w:styleId="5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114</Pages>
  <Words>11613</Words>
  <Characters>66200</Characters>
  <Lines>551</Lines>
  <Paragraphs>155</Paragraphs>
  <TotalTime>48</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2018-01-27T12:08:00Z</dcterms:created>
  <dc:creator>502-2</dc:creator>
  <cp:lastModifiedBy>Administrator</cp:lastModifiedBy>
  <cp:lastPrinted>2019-07-04T06:48:00Z</cp:lastPrinted>
  <dcterms:modified xsi:type="dcterms:W3CDTF">2019-07-10T02:09:15Z</dcterms:modified>
  <dc:title>JZ02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